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AF6596" w:rsidRDefault="00AF6596" w:rsidP="00AF659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F6596" w:rsidRDefault="00AF65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F0C32" w:rsidRDefault="00704EF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GOSURAN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704EF7">
        <w:rPr>
          <w:snapToGrid w:val="0"/>
        </w:rPr>
        <w:t>Letrozolo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704EF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Genetic</w:t>
      </w:r>
      <w:proofErr w:type="spellEnd"/>
    </w:p>
    <w:p w:rsidR="0097369A" w:rsidRDefault="0097369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234D1" w:rsidRPr="00062636" w:rsidRDefault="008234D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704EF7">
        <w:rPr>
          <w:rFonts w:cs="Helvetica"/>
          <w:b/>
        </w:rPr>
        <w:t>043311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F0C32" w:rsidRDefault="00AF0C32" w:rsidP="004241AC">
      <w:pPr>
        <w:spacing w:after="0" w:line="240" w:lineRule="auto"/>
        <w:jc w:val="center"/>
        <w:rPr>
          <w:b/>
        </w:rPr>
      </w:pPr>
    </w:p>
    <w:p w:rsidR="00AF0C32" w:rsidRPr="00062636" w:rsidRDefault="00AF0C32" w:rsidP="004241AC">
      <w:pPr>
        <w:spacing w:after="0" w:line="240" w:lineRule="auto"/>
        <w:jc w:val="center"/>
        <w:rPr>
          <w:b/>
        </w:rPr>
      </w:pPr>
    </w:p>
    <w:p w:rsidR="00AF0C32" w:rsidRPr="0033523E" w:rsidRDefault="00AF0C32" w:rsidP="00AF0C3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04EF7">
        <w:rPr>
          <w:rFonts w:eastAsia="Calibri" w:cs="Calibri"/>
          <w:color w:val="000000"/>
          <w:lang w:eastAsia="it-IT"/>
        </w:rPr>
        <w:t>Gosuran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04EF7">
        <w:rPr>
          <w:rFonts w:eastAsia="Calibri" w:cs="Calibri"/>
          <w:color w:val="000000"/>
          <w:lang w:eastAsia="it-IT"/>
        </w:rPr>
        <w:t>Gosuran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C41B0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04EF7">
        <w:rPr>
          <w:rFonts w:eastAsia="Calibri" w:cs="Calibri"/>
          <w:color w:val="000000"/>
          <w:lang w:eastAsia="it-IT"/>
        </w:rPr>
        <w:t>Gosura</w:t>
      </w:r>
      <w:r w:rsidR="00920AF3">
        <w:rPr>
          <w:rFonts w:eastAsia="Calibri" w:cs="Calibri"/>
          <w:color w:val="000000"/>
          <w:lang w:eastAsia="it-IT"/>
        </w:rPr>
        <w:t>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04EF7">
        <w:rPr>
          <w:rFonts w:eastAsia="Calibri" w:cs="Calibri"/>
          <w:color w:val="000000"/>
          <w:lang w:eastAsia="it-IT"/>
        </w:rPr>
        <w:t>Gosura</w:t>
      </w:r>
      <w:r w:rsidR="00920AF3">
        <w:rPr>
          <w:rFonts w:eastAsia="Calibri" w:cs="Calibri"/>
          <w:color w:val="000000"/>
          <w:lang w:eastAsia="it-IT"/>
        </w:rPr>
        <w:t>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04EF7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947492" w:rsidRDefault="00704EF7" w:rsidP="007C0DF8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Gosuran</w:t>
      </w:r>
      <w:proofErr w:type="spellEnd"/>
      <w:r w:rsidR="00E83F8D" w:rsidRPr="009474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947492">
        <w:rPr>
          <w:rFonts w:eastAsia="Calibri" w:cs="Calibri"/>
          <w:color w:val="000000"/>
          <w:lang w:eastAsia="it-IT"/>
        </w:rPr>
        <w:t>i</w:t>
      </w:r>
      <w:r w:rsidR="00E83F8D" w:rsidRPr="00947492">
        <w:rPr>
          <w:rFonts w:eastAsia="Calibri" w:cs="Calibri"/>
          <w:color w:val="000000"/>
          <w:lang w:eastAsia="it-IT"/>
        </w:rPr>
        <w:t>l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attiv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letrozolo</w:t>
      </w:r>
      <w:proofErr w:type="spellEnd"/>
      <w:r w:rsidR="0097369A">
        <w:rPr>
          <w:rFonts w:eastAsia="Calibri" w:cs="Calibri"/>
          <w:color w:val="000000"/>
          <w:lang w:eastAsia="it-IT"/>
        </w:rPr>
        <w:t xml:space="preserve"> ed </w:t>
      </w:r>
      <w:r w:rsidR="004241AC" w:rsidRPr="00947492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947492">
        <w:rPr>
          <w:rFonts w:eastAsia="Calibri" w:cs="Calibri"/>
          <w:color w:val="000000"/>
          <w:lang w:eastAsia="it-IT"/>
        </w:rPr>
        <w:t>compresse</w:t>
      </w:r>
      <w:r w:rsidR="007C0DF8">
        <w:rPr>
          <w:rFonts w:eastAsia="Calibri" w:cs="Calibri"/>
          <w:color w:val="000000"/>
          <w:lang w:eastAsia="it-IT"/>
        </w:rPr>
        <w:t xml:space="preserve"> rivestite con film</w:t>
      </w:r>
      <w:r w:rsidR="004241AC" w:rsidRPr="00947492">
        <w:rPr>
          <w:rFonts w:eastAsia="Calibri" w:cs="Calibri"/>
          <w:color w:val="000000"/>
          <w:lang w:eastAsia="it-IT"/>
        </w:rPr>
        <w:t xml:space="preserve"> contenenti </w:t>
      </w:r>
      <w:r w:rsidR="00920AF3">
        <w:rPr>
          <w:rFonts w:eastAsia="Calibri" w:cs="Calibri"/>
          <w:color w:val="000000"/>
          <w:lang w:eastAsia="it-IT"/>
        </w:rPr>
        <w:t>2</w:t>
      </w:r>
      <w:r>
        <w:rPr>
          <w:rFonts w:eastAsia="Calibri" w:cs="Calibri"/>
          <w:color w:val="000000"/>
          <w:lang w:eastAsia="it-IT"/>
        </w:rPr>
        <w:t>,</w:t>
      </w:r>
      <w:r w:rsidR="00920AF3">
        <w:rPr>
          <w:rFonts w:eastAsia="Calibri" w:cs="Calibri"/>
          <w:color w:val="000000"/>
          <w:lang w:eastAsia="it-IT"/>
        </w:rPr>
        <w:t>5</w:t>
      </w:r>
      <w:r w:rsidR="00947492" w:rsidRPr="00947492">
        <w:rPr>
          <w:rFonts w:eastAsia="Calibri" w:cs="Calibri"/>
          <w:color w:val="000000"/>
          <w:lang w:eastAsia="it-IT"/>
        </w:rPr>
        <w:t xml:space="preserve"> mg di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 attivo</w:t>
      </w:r>
      <w:r w:rsidR="004241AC" w:rsidRPr="00947492">
        <w:t>.</w:t>
      </w:r>
    </w:p>
    <w:p w:rsidR="0029011E" w:rsidRDefault="00704EF7" w:rsidP="0029011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E83F8D" w:rsidRPr="00947492">
        <w:rPr>
          <w:rFonts w:eastAsia="Calibri" w:cs="Calibri"/>
          <w:color w:val="000000"/>
          <w:lang w:eastAsia="it-IT"/>
        </w:rPr>
        <w:t xml:space="preserve"> </w:t>
      </w:r>
      <w:r w:rsidR="00013020" w:rsidRPr="00947492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29011E" w:rsidRPr="007C11D5">
        <w:rPr>
          <w:rFonts w:eastAsia="Calibri" w:cs="Calibri"/>
          <w:color w:val="000000"/>
          <w:lang w:eastAsia="it-IT"/>
        </w:rPr>
        <w:t xml:space="preserve">già autorizzato in Italia, </w:t>
      </w:r>
      <w:proofErr w:type="spellStart"/>
      <w:r w:rsidR="0029011E">
        <w:rPr>
          <w:rFonts w:eastAsia="Calibri" w:cs="Calibri"/>
          <w:color w:val="000000"/>
          <w:lang w:eastAsia="it-IT"/>
        </w:rPr>
        <w:t>Femara</w:t>
      </w:r>
      <w:proofErr w:type="spellEnd"/>
      <w:r w:rsidR="0029011E">
        <w:rPr>
          <w:rFonts w:eastAsia="Calibri" w:cs="Calibri"/>
          <w:color w:val="000000"/>
          <w:lang w:eastAsia="it-IT"/>
        </w:rPr>
        <w:t>,</w:t>
      </w:r>
      <w:r w:rsidR="0029011E" w:rsidRPr="007C11D5">
        <w:rPr>
          <w:rFonts w:eastAsia="Calibri" w:cs="Calibri"/>
          <w:color w:val="000000"/>
          <w:lang w:eastAsia="it-IT"/>
        </w:rPr>
        <w:t xml:space="preserve"> che è stato autorizzato con procedura decentrata con la </w:t>
      </w:r>
      <w:r w:rsidR="0029011E">
        <w:rPr>
          <w:rFonts w:eastAsia="Calibri" w:cs="Calibri"/>
          <w:color w:val="000000"/>
          <w:lang w:eastAsia="it-IT"/>
        </w:rPr>
        <w:t>Francia</w:t>
      </w:r>
      <w:r w:rsidR="0029011E" w:rsidRPr="007C11D5">
        <w:rPr>
          <w:rFonts w:eastAsia="Calibri" w:cs="Calibri"/>
          <w:color w:val="000000"/>
          <w:lang w:eastAsia="it-IT"/>
        </w:rPr>
        <w:t xml:space="preserve"> come stato di riferimento (</w:t>
      </w:r>
      <w:hyperlink r:id="rId6" w:history="1">
        <w:r w:rsidR="0029011E" w:rsidRPr="008B3E61">
          <w:rPr>
            <w:rStyle w:val="Collegamentoipertestuale"/>
          </w:rPr>
          <w:t>http://www.ansm.sante.fr</w:t>
        </w:r>
      </w:hyperlink>
      <w:r w:rsidR="0029011E">
        <w:t>)</w:t>
      </w:r>
      <w:r w:rsidR="0029011E"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29011E"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9011E" w:rsidRPr="007C11D5">
        <w:rPr>
          <w:rFonts w:eastAsia="Calibri" w:cs="Calibri"/>
          <w:lang w:eastAsia="it-IT"/>
        </w:rPr>
        <w:t>)</w:t>
      </w:r>
      <w:r w:rsidR="0029011E" w:rsidRPr="007C11D5">
        <w:t xml:space="preserve"> </w:t>
      </w:r>
      <w:r w:rsidR="0029011E"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29011E">
        <w:rPr>
          <w:rFonts w:eastAsia="Calibri" w:cs="Calibri"/>
          <w:color w:val="000000"/>
          <w:lang w:eastAsia="it-IT"/>
        </w:rPr>
        <w:t>Femara</w:t>
      </w:r>
      <w:proofErr w:type="spellEnd"/>
      <w:r w:rsidR="0029011E" w:rsidRPr="007C11D5">
        <w:rPr>
          <w:rFonts w:eastAsia="Calibri" w:cs="Calibri"/>
          <w:color w:val="000000"/>
          <w:lang w:eastAsia="it-IT"/>
        </w:rPr>
        <w:t>.</w:t>
      </w:r>
    </w:p>
    <w:p w:rsidR="00E83F8D" w:rsidRDefault="00704EF7" w:rsidP="0029011E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E83F8D" w:rsidRPr="00941200">
        <w:rPr>
          <w:rFonts w:eastAsia="Calibri" w:cs="Calibri"/>
          <w:color w:val="000000"/>
          <w:lang w:eastAsia="it-IT"/>
        </w:rPr>
        <w:t xml:space="preserve"> </w:t>
      </w:r>
      <w:r w:rsidR="00947492" w:rsidRPr="00941200">
        <w:rPr>
          <w:rFonts w:eastAsia="Calibri" w:cs="Calibri"/>
          <w:color w:val="000000"/>
          <w:lang w:eastAsia="it-IT"/>
        </w:rPr>
        <w:t xml:space="preserve">si usa per </w:t>
      </w:r>
      <w:r w:rsidR="003122EE" w:rsidRPr="007B0B57">
        <w:rPr>
          <w:spacing w:val="5"/>
          <w:lang w:eastAsia="it-IT"/>
        </w:rPr>
        <w:t xml:space="preserve">prevenire il ripresentarsi del cancro al seno. Può essere utilizzato come un trattamento di prima linea prima della chirurgia mammaria nel caso in cui l’intervento chirurgico immediato non sia possibile o dopo chirurgia mammaria o dopo cinque anni di trattamento con </w:t>
      </w:r>
      <w:proofErr w:type="spellStart"/>
      <w:r w:rsidR="003122EE" w:rsidRPr="007B0B57">
        <w:rPr>
          <w:spacing w:val="5"/>
          <w:lang w:eastAsia="it-IT"/>
        </w:rPr>
        <w:t>tamoxifene</w:t>
      </w:r>
      <w:proofErr w:type="spellEnd"/>
      <w:r w:rsidR="003122EE" w:rsidRPr="007B0B57">
        <w:rPr>
          <w:spacing w:val="5"/>
          <w:lang w:eastAsia="it-IT"/>
        </w:rPr>
        <w:t xml:space="preserve">. </w:t>
      </w:r>
      <w:proofErr w:type="spellStart"/>
      <w:r w:rsidR="003122EE" w:rsidRPr="007B0B57">
        <w:rPr>
          <w:spacing w:val="5"/>
          <w:lang w:eastAsia="it-IT"/>
        </w:rPr>
        <w:t>G</w:t>
      </w:r>
      <w:r w:rsidR="0029011E" w:rsidRPr="007B0B57">
        <w:rPr>
          <w:spacing w:val="5"/>
          <w:lang w:eastAsia="it-IT"/>
        </w:rPr>
        <w:t>osuran</w:t>
      </w:r>
      <w:proofErr w:type="spellEnd"/>
      <w:r w:rsidR="003122EE" w:rsidRPr="007B0B57">
        <w:rPr>
          <w:spacing w:val="5"/>
          <w:lang w:eastAsia="it-IT"/>
        </w:rPr>
        <w:t xml:space="preserve"> viene anche usato per prevenire la diffusione del tumore in altre parti del corpo in pazienti con cancro al seno in fase avanzata.</w:t>
      </w:r>
    </w:p>
    <w:p w:rsidR="008A4F11" w:rsidRDefault="008A4F11" w:rsidP="00920A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011E" w:rsidRPr="00947492" w:rsidRDefault="0029011E" w:rsidP="00920A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947492" w:rsidRDefault="004241AC" w:rsidP="00920A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7492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122EE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Pr="0094749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7C0DF8" w:rsidRDefault="003122EE" w:rsidP="00712BD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7C0DF8">
        <w:rPr>
          <w:rFonts w:cs="Arial"/>
        </w:rPr>
        <w:t>Gosuran</w:t>
      </w:r>
      <w:proofErr w:type="spellEnd"/>
      <w:r w:rsidR="0097369A" w:rsidRPr="007C0DF8">
        <w:rPr>
          <w:rFonts w:cs="Arial"/>
        </w:rPr>
        <w:t xml:space="preserve"> </w:t>
      </w:r>
      <w:r w:rsidR="004241AC" w:rsidRPr="007C0DF8">
        <w:rPr>
          <w:rFonts w:cs="Arial"/>
        </w:rPr>
        <w:t>può essere ottenuto solo dietro prescrizione da parte del medico (ricetta ripetibile).</w:t>
      </w:r>
    </w:p>
    <w:p w:rsidR="003122EE" w:rsidRPr="007C0DF8" w:rsidRDefault="00874733" w:rsidP="003122EE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7C0DF8">
        <w:rPr>
          <w:rFonts w:cs="Arial"/>
        </w:rPr>
        <w:t>Generalmente, l</w:t>
      </w:r>
      <w:r w:rsidR="004241AC" w:rsidRPr="007C0DF8">
        <w:rPr>
          <w:rFonts w:cs="Arial"/>
        </w:rPr>
        <w:t xml:space="preserve">a dose </w:t>
      </w:r>
      <w:r w:rsidRPr="007C0DF8">
        <w:rPr>
          <w:rFonts w:cs="Arial"/>
        </w:rPr>
        <w:t xml:space="preserve">raccomandata </w:t>
      </w:r>
      <w:r w:rsidR="004241AC" w:rsidRPr="007C0DF8">
        <w:rPr>
          <w:rFonts w:cs="Arial"/>
        </w:rPr>
        <w:t xml:space="preserve">è di una </w:t>
      </w:r>
      <w:r w:rsidR="00FA2702" w:rsidRPr="007C0DF8">
        <w:rPr>
          <w:rFonts w:cs="Arial"/>
        </w:rPr>
        <w:t>compressa</w:t>
      </w:r>
      <w:r w:rsidR="00E83F8D" w:rsidRPr="007C0DF8">
        <w:rPr>
          <w:rFonts w:cs="Arial"/>
        </w:rPr>
        <w:t xml:space="preserve"> da </w:t>
      </w:r>
      <w:r w:rsidR="003122EE" w:rsidRPr="007C0DF8">
        <w:rPr>
          <w:rFonts w:cs="Arial"/>
        </w:rPr>
        <w:t>2,5</w:t>
      </w:r>
      <w:r w:rsidR="00E83F8D" w:rsidRPr="007C0DF8">
        <w:rPr>
          <w:rFonts w:cs="Arial"/>
        </w:rPr>
        <w:t xml:space="preserve"> mg</w:t>
      </w:r>
      <w:r w:rsidR="00E43089" w:rsidRPr="007C0DF8">
        <w:rPr>
          <w:rFonts w:cs="Arial"/>
        </w:rPr>
        <w:t xml:space="preserve"> </w:t>
      </w:r>
      <w:r w:rsidR="004241AC" w:rsidRPr="007C0DF8">
        <w:rPr>
          <w:rFonts w:cs="Arial"/>
        </w:rPr>
        <w:t>al giorno</w:t>
      </w:r>
      <w:r w:rsidRPr="007C0DF8">
        <w:rPr>
          <w:rFonts w:cs="Arial"/>
        </w:rPr>
        <w:t>.</w:t>
      </w:r>
      <w:r w:rsidR="00920AF3" w:rsidRPr="007C0DF8">
        <w:rPr>
          <w:rFonts w:cs="Arial"/>
        </w:rPr>
        <w:t xml:space="preserve"> </w:t>
      </w:r>
      <w:r w:rsidR="003122EE" w:rsidRPr="007C0DF8">
        <w:rPr>
          <w:rFonts w:cs="Arial"/>
        </w:rPr>
        <w:t>Non è richiesta alcuna modifica della dose nelle pazienti anziane.</w:t>
      </w:r>
    </w:p>
    <w:p w:rsidR="008A4F11" w:rsidRPr="007C0DF8" w:rsidRDefault="003122EE" w:rsidP="00DB6E74">
      <w:pPr>
        <w:tabs>
          <w:tab w:val="left" w:pos="0"/>
        </w:tabs>
        <w:spacing w:after="0" w:line="240" w:lineRule="auto"/>
        <w:jc w:val="both"/>
        <w:rPr>
          <w:rFonts w:cs="Arial"/>
        </w:rPr>
      </w:pPr>
      <w:proofErr w:type="spellStart"/>
      <w:r w:rsidRPr="007C0DF8">
        <w:rPr>
          <w:rFonts w:cs="Arial"/>
        </w:rPr>
        <w:t>Gosuran</w:t>
      </w:r>
      <w:proofErr w:type="spellEnd"/>
      <w:r w:rsidRPr="007C0DF8">
        <w:rPr>
          <w:rFonts w:cs="Arial"/>
        </w:rPr>
        <w:t xml:space="preserve"> non è raccomandato per l’uso nei bambini e negli adolescenti. </w:t>
      </w:r>
    </w:p>
    <w:p w:rsidR="004241AC" w:rsidRPr="007C0DF8" w:rsidRDefault="008A4F11" w:rsidP="00DB6E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7C0DF8">
        <w:rPr>
          <w:rFonts w:cs="Arial"/>
        </w:rPr>
        <w:lastRenderedPageBreak/>
        <w:t xml:space="preserve">Le compresse </w:t>
      </w:r>
      <w:r w:rsidR="0029011E">
        <w:rPr>
          <w:rFonts w:cs="Arial"/>
        </w:rPr>
        <w:t>si assumono con un po’ di acqua, indipendentemente dai pasti</w:t>
      </w:r>
      <w:r w:rsidRPr="007C0DF8">
        <w:rPr>
          <w:rFonts w:cs="Arial"/>
        </w:rPr>
        <w:t>.</w:t>
      </w:r>
    </w:p>
    <w:p w:rsidR="008A4F11" w:rsidRDefault="008A4F11" w:rsidP="00DB6E7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8A4F11" w:rsidRPr="00BA7D67" w:rsidRDefault="008A4F11" w:rsidP="00DB6E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A3D64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A3D64" w:rsidRDefault="001A3D64" w:rsidP="007C0DF8">
      <w:pPr>
        <w:widowControl w:val="0"/>
        <w:kinsoku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Gosuran</w:t>
      </w:r>
      <w:proofErr w:type="spellEnd"/>
      <w:r w:rsidR="00B65D34">
        <w:rPr>
          <w:rFonts w:eastAsia="Calibri" w:cs="Calibri"/>
          <w:bCs/>
          <w:color w:val="000000"/>
          <w:lang w:eastAsia="it-IT"/>
        </w:rPr>
        <w:t xml:space="preserve">, </w:t>
      </w:r>
      <w:r w:rsidR="00B65D34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B65D34">
        <w:rPr>
          <w:rFonts w:eastAsia="Calibri" w:cs="Calibri"/>
          <w:bCs/>
          <w:color w:val="000000"/>
          <w:lang w:eastAsia="it-IT"/>
        </w:rPr>
        <w:t xml:space="preserve">cui </w:t>
      </w:r>
      <w:r w:rsidR="00B65D34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Pr="0008140C">
        <w:t>L02BG04</w:t>
      </w:r>
      <w:r w:rsidR="00B65D34"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letrozolo</w:t>
      </w:r>
      <w:proofErr w:type="spellEnd"/>
      <w:r w:rsidR="00B65D34">
        <w:rPr>
          <w:rFonts w:eastAsia="Calibri" w:cs="Calibri"/>
          <w:color w:val="000000"/>
          <w:lang w:eastAsia="it-IT"/>
        </w:rPr>
        <w:t xml:space="preserve"> che </w:t>
      </w:r>
      <w:r w:rsidRPr="007B0B57">
        <w:rPr>
          <w:spacing w:val="5"/>
          <w:lang w:eastAsia="it-IT"/>
        </w:rPr>
        <w:t xml:space="preserve">appartiene ad un gruppo di medicinali chiamati inibitori delle </w:t>
      </w:r>
      <w:proofErr w:type="spellStart"/>
      <w:r w:rsidRPr="007B0B57">
        <w:rPr>
          <w:spacing w:val="5"/>
          <w:lang w:eastAsia="it-IT"/>
        </w:rPr>
        <w:t>aromatasi</w:t>
      </w:r>
      <w:proofErr w:type="spellEnd"/>
      <w:r w:rsidR="00DB6E74" w:rsidRPr="00B140CC">
        <w:t xml:space="preserve">. </w:t>
      </w:r>
    </w:p>
    <w:p w:rsidR="001A3D64" w:rsidRPr="007C0DF8" w:rsidRDefault="001A3D64" w:rsidP="007C0DF8">
      <w:pPr>
        <w:widowControl w:val="0"/>
        <w:kinsoku w:val="0"/>
        <w:spacing w:after="0" w:line="240" w:lineRule="auto"/>
        <w:jc w:val="both"/>
        <w:rPr>
          <w:rFonts w:cs="Arial"/>
        </w:rPr>
      </w:pPr>
      <w:r w:rsidRPr="007C0DF8">
        <w:rPr>
          <w:rFonts w:cs="Arial"/>
        </w:rPr>
        <w:t xml:space="preserve">La crescita del cancro al seno è spesso stimolata dagli estrogeni che sono ormoni sessuali femminili. </w:t>
      </w:r>
      <w:proofErr w:type="spellStart"/>
      <w:r w:rsidRPr="007C0DF8">
        <w:rPr>
          <w:rFonts w:cs="Arial"/>
        </w:rPr>
        <w:t>Gosuran</w:t>
      </w:r>
      <w:proofErr w:type="spellEnd"/>
      <w:r w:rsidRPr="007C0DF8">
        <w:rPr>
          <w:rFonts w:cs="Arial"/>
        </w:rPr>
        <w:t xml:space="preserve"> riduce la quantità di estrogeni bloccando un enzima (</w:t>
      </w:r>
      <w:proofErr w:type="spellStart"/>
      <w:r w:rsidRPr="007C0DF8">
        <w:rPr>
          <w:rFonts w:cs="Arial"/>
        </w:rPr>
        <w:t>aromatasi</w:t>
      </w:r>
      <w:proofErr w:type="spellEnd"/>
      <w:r w:rsidRPr="007C0DF8">
        <w:rPr>
          <w:rFonts w:cs="Arial"/>
        </w:rPr>
        <w:t>) che è coinvolto nella produzione di estrogeni e</w:t>
      </w:r>
      <w:r w:rsidR="0029011E">
        <w:rPr>
          <w:rFonts w:cs="Arial"/>
        </w:rPr>
        <w:t>,</w:t>
      </w:r>
      <w:r w:rsidRPr="007C0DF8">
        <w:rPr>
          <w:rFonts w:cs="Arial"/>
        </w:rPr>
        <w:t xml:space="preserve"> pertanto</w:t>
      </w:r>
      <w:r w:rsidR="0029011E">
        <w:rPr>
          <w:rFonts w:cs="Arial"/>
        </w:rPr>
        <w:t>,</w:t>
      </w:r>
      <w:r w:rsidRPr="007C0DF8">
        <w:rPr>
          <w:rFonts w:cs="Arial"/>
        </w:rPr>
        <w:t xml:space="preserve"> può bloccare la crescita di tumori al seno che hanno bisogno di questi ormoni per crescere. In conseguenza di ciò, viene rallentata o bloccata la proliferazione e/o la diffusione delle cellule tumorali in altre parti del corpo.</w:t>
      </w:r>
    </w:p>
    <w:p w:rsidR="004241AC" w:rsidRDefault="004241AC" w:rsidP="001A3D64">
      <w:pPr>
        <w:spacing w:after="0" w:line="240" w:lineRule="auto"/>
        <w:jc w:val="both"/>
        <w:rPr>
          <w:iCs/>
        </w:rPr>
      </w:pPr>
    </w:p>
    <w:p w:rsidR="00B1392F" w:rsidRDefault="00B1392F" w:rsidP="00DB6E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A3D64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DB6E74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1A3D64">
        <w:rPr>
          <w:rFonts w:cs="Arial"/>
        </w:rPr>
        <w:t>Gosuran</w:t>
      </w:r>
      <w:proofErr w:type="spellEnd"/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1A3D64">
        <w:rPr>
          <w:rFonts w:cs="Arial"/>
        </w:rPr>
        <w:t>Femara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24F6D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924F6D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Gosuran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24F6D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924F6D">
        <w:rPr>
          <w:rFonts w:eastAsia="Calibri" w:cs="Calibri"/>
          <w:lang w:eastAsia="it-IT"/>
        </w:rPr>
        <w:t>16-18</w:t>
      </w:r>
      <w:r w:rsidR="00DB6E74">
        <w:rPr>
          <w:rFonts w:eastAsia="Calibri" w:cs="Calibri"/>
          <w:lang w:eastAsia="it-IT"/>
        </w:rPr>
        <w:t xml:space="preserve"> </w:t>
      </w:r>
      <w:r w:rsidR="00924F6D">
        <w:rPr>
          <w:rFonts w:eastAsia="Calibri" w:cs="Calibri"/>
          <w:lang w:eastAsia="it-IT"/>
        </w:rPr>
        <w:t>febbraio</w:t>
      </w:r>
      <w:r w:rsidR="00DB6E74">
        <w:rPr>
          <w:rFonts w:eastAsia="Calibri" w:cs="Calibri"/>
          <w:lang w:eastAsia="it-IT"/>
        </w:rPr>
        <w:t xml:space="preserve"> 201</w:t>
      </w:r>
      <w:r w:rsidR="00924F6D">
        <w:rPr>
          <w:rFonts w:eastAsia="Calibri" w:cs="Calibri"/>
          <w:lang w:eastAsia="it-IT"/>
        </w:rPr>
        <w:t>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24F6D">
        <w:rPr>
          <w:rFonts w:eastAsia="Calibri" w:cs="Calibri"/>
          <w:lang w:eastAsia="it-IT"/>
        </w:rPr>
        <w:t>Femara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E2681C">
        <w:rPr>
          <w:rFonts w:eastAsia="Calibri" w:cs="Calibri"/>
          <w:lang w:eastAsia="it-IT"/>
        </w:rPr>
        <w:t>Gosuran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2F67C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 xml:space="preserve">di prescrizione di cui al punto 2) di questo Riassunto e la classe di rimborsabilità del </w:t>
      </w:r>
      <w:r w:rsidRPr="00240CAB">
        <w:rPr>
          <w:rFonts w:eastAsia="Calibri" w:cs="Calibri"/>
          <w:lang w:eastAsia="it-IT"/>
        </w:rPr>
        <w:t>medicinale</w:t>
      </w:r>
      <w:r w:rsidR="00D20170" w:rsidRPr="00240CAB">
        <w:rPr>
          <w:rFonts w:eastAsia="Calibri" w:cs="Calibri"/>
          <w:lang w:eastAsia="it-IT"/>
        </w:rPr>
        <w:t xml:space="preserve"> </w:t>
      </w:r>
      <w:r w:rsidRPr="00240CAB">
        <w:rPr>
          <w:rFonts w:eastAsia="Calibri" w:cs="Calibri"/>
          <w:lang w:eastAsia="it-IT"/>
        </w:rPr>
        <w:t>(</w:t>
      </w:r>
      <w:r w:rsidR="0011250C" w:rsidRPr="00240CAB">
        <w:rPr>
          <w:rFonts w:eastAsia="Calibri" w:cs="Calibri"/>
          <w:lang w:eastAsia="it-IT"/>
        </w:rPr>
        <w:t>A</w:t>
      </w:r>
      <w:r w:rsidRPr="00240CAB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2681C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246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2681C">
        <w:rPr>
          <w:rFonts w:eastAsia="Calibri" w:cs="Calibri"/>
          <w:lang w:eastAsia="it-IT"/>
        </w:rPr>
        <w:t>Gosuran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2681C">
        <w:rPr>
          <w:rFonts w:eastAsia="Calibri" w:cs="Calibri"/>
          <w:b/>
          <w:bCs/>
          <w:color w:val="000000"/>
          <w:lang w:eastAsia="it-IT"/>
        </w:rPr>
        <w:t>Gosuran</w:t>
      </w:r>
      <w:proofErr w:type="spellEnd"/>
    </w:p>
    <w:p w:rsidR="004241AC" w:rsidRPr="00CA3A1E" w:rsidRDefault="00100F6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21 gennaio 2016</w:t>
      </w:r>
      <w:r w:rsidR="00E2681C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E2681C">
        <w:rPr>
          <w:rFonts w:eastAsia="Calibri" w:cs="Calibri"/>
          <w:bCs/>
          <w:color w:val="000000"/>
          <w:lang w:eastAsia="it-IT"/>
        </w:rPr>
        <w:t>Gosuran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F0C32" w:rsidRDefault="00AF0C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F0C32" w:rsidRDefault="00AF0C32" w:rsidP="00AF0C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2681C">
        <w:rPr>
          <w:rFonts w:eastAsia="Calibri" w:cs="Calibri"/>
          <w:bCs/>
          <w:color w:val="000000"/>
          <w:lang w:eastAsia="it-IT"/>
        </w:rPr>
        <w:t>Gosuran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6524D">
        <w:rPr>
          <w:rFonts w:eastAsia="Calibri" w:cs="Calibri"/>
          <w:lang w:eastAsia="it-IT"/>
        </w:rPr>
        <w:t>(</w:t>
      </w:r>
      <w:hyperlink r:id="rId8" w:history="1">
        <w:r w:rsidR="0066524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6524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2681C">
        <w:rPr>
          <w:rFonts w:eastAsia="Calibri" w:cs="Calibri"/>
          <w:lang w:eastAsia="it-IT"/>
        </w:rPr>
        <w:t>21</w:t>
      </w:r>
      <w:r w:rsidR="00FD04D4">
        <w:rPr>
          <w:rFonts w:eastAsia="Calibri" w:cs="Calibri"/>
          <w:lang w:eastAsia="it-IT"/>
        </w:rPr>
        <w:t>.0</w:t>
      </w:r>
      <w:r w:rsidR="00E2681C">
        <w:rPr>
          <w:rFonts w:eastAsia="Calibri" w:cs="Calibri"/>
          <w:lang w:eastAsia="it-IT"/>
        </w:rPr>
        <w:t>9</w:t>
      </w:r>
      <w:r w:rsidR="00FD04D4">
        <w:rPr>
          <w:rFonts w:eastAsia="Calibri" w:cs="Calibri"/>
          <w:lang w:eastAsia="it-IT"/>
        </w:rPr>
        <w:t>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AF0C32" w:rsidRDefault="00AF0C32"/>
    <w:p w:rsidR="00941200" w:rsidRDefault="00941200"/>
    <w:p w:rsidR="00AF0C32" w:rsidRDefault="00AF0C32" w:rsidP="00AF0C3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Pr="0033523E" w:rsidRDefault="00AF0C32" w:rsidP="00AF0C3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8206E7" w:rsidRDefault="00AF0C32" w:rsidP="00AF0C32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F0C32" w:rsidRPr="002A3F14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Pr="002E4DCB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F0C32" w:rsidRDefault="00AF0C32" w:rsidP="00AF0C3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F0C32" w:rsidRPr="00BC23ED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0C3112" w:rsidRDefault="000C3112" w:rsidP="00AF0C32"/>
    <w:p w:rsidR="00AF0C32" w:rsidRPr="008206E7" w:rsidRDefault="00941200" w:rsidP="00AF0C3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AF0C32" w:rsidRPr="008206E7">
        <w:rPr>
          <w:b/>
        </w:rPr>
        <w:t>NTRODUZIONE</w:t>
      </w:r>
    </w:p>
    <w:p w:rsidR="00AF0C32" w:rsidRDefault="00AF0C32" w:rsidP="001F321C">
      <w:pPr>
        <w:autoSpaceDE w:val="0"/>
        <w:autoSpaceDN w:val="0"/>
        <w:adjustRightInd w:val="0"/>
        <w:spacing w:after="0" w:line="240" w:lineRule="auto"/>
        <w:jc w:val="both"/>
      </w:pPr>
      <w:r>
        <w:t>Sulla base dei dati di qualità, sicurezza ed efficacia, l’AIFA ha rilasciato</w:t>
      </w:r>
      <w:r w:rsidR="00240CAB">
        <w:t xml:space="preserve"> </w:t>
      </w:r>
      <w:r>
        <w:t xml:space="preserve">a </w:t>
      </w:r>
      <w:proofErr w:type="spellStart"/>
      <w:r w:rsidR="00E2681C">
        <w:t>Genetic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E2681C">
        <w:t>Gosuran</w:t>
      </w:r>
      <w:proofErr w:type="spellEnd"/>
      <w:r>
        <w:t xml:space="preserve"> </w:t>
      </w:r>
      <w:r w:rsidR="0029011E">
        <w:rPr>
          <w:rFonts w:eastAsia="Calibri" w:cs="Calibri"/>
          <w:bCs/>
          <w:iCs/>
          <w:lang w:eastAsia="it-IT"/>
        </w:rPr>
        <w:t>il</w:t>
      </w:r>
      <w:r w:rsidR="00240CAB">
        <w:rPr>
          <w:rFonts w:eastAsia="Calibri" w:cs="Calibri"/>
          <w:bCs/>
          <w:iCs/>
          <w:lang w:eastAsia="it-IT"/>
        </w:rPr>
        <w:t xml:space="preserve"> </w:t>
      </w:r>
      <w:r w:rsidR="00100F65">
        <w:rPr>
          <w:rFonts w:eastAsia="Calibri" w:cs="Calibri"/>
          <w:bCs/>
          <w:iCs/>
          <w:lang w:eastAsia="it-IT"/>
        </w:rPr>
        <w:t>21 gennaio 2016.</w:t>
      </w:r>
      <w:r>
        <w:t xml:space="preserve">  </w:t>
      </w:r>
    </w:p>
    <w:p w:rsidR="00AF0C32" w:rsidRDefault="00AF0C32" w:rsidP="001F321C">
      <w:pPr>
        <w:spacing w:after="0" w:line="240" w:lineRule="auto"/>
        <w:jc w:val="both"/>
      </w:pPr>
    </w:p>
    <w:p w:rsidR="00AF0C32" w:rsidRPr="007461B9" w:rsidRDefault="00E2681C" w:rsidP="001F32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AF0C32">
        <w:rPr>
          <w:rFonts w:eastAsia="Calibri" w:cs="Calibri"/>
          <w:color w:val="000000"/>
          <w:lang w:eastAsia="it-IT"/>
        </w:rPr>
        <w:t xml:space="preserve"> </w:t>
      </w:r>
      <w:r w:rsidR="00AF0C3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F0C32" w:rsidRPr="007461B9">
        <w:rPr>
          <w:rFonts w:eastAsia="Calibri" w:cs="Calibri"/>
          <w:color w:val="000000"/>
          <w:lang w:eastAsia="it-IT"/>
        </w:rPr>
        <w:t>(ricetta ripetibile).</w:t>
      </w:r>
    </w:p>
    <w:p w:rsidR="00AF0C32" w:rsidRPr="007461B9" w:rsidRDefault="00AF0C32" w:rsidP="001F321C">
      <w:pPr>
        <w:spacing w:after="0" w:line="240" w:lineRule="auto"/>
        <w:jc w:val="both"/>
      </w:pPr>
    </w:p>
    <w:p w:rsidR="00AF0C32" w:rsidRPr="00C608F7" w:rsidRDefault="00AF0C32" w:rsidP="001F321C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F0C32" w:rsidRPr="00C608F7" w:rsidRDefault="00AF0C32" w:rsidP="001F321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F0C32" w:rsidRPr="00C608F7" w:rsidRDefault="00E2681C" w:rsidP="001F321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Gosuran</w:t>
      </w:r>
      <w:proofErr w:type="spellEnd"/>
      <w:r w:rsidR="00AF0C32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AF0C32"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B65D34">
        <w:rPr>
          <w:rFonts w:eastAsia="Calibri" w:cs="Calibri"/>
          <w:color w:val="000000"/>
          <w:lang w:eastAsia="it-IT"/>
        </w:rPr>
        <w:t xml:space="preserve">generico </w:t>
      </w:r>
      <w:r w:rsidR="00AF0C32"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letrozolo</w:t>
      </w:r>
      <w:proofErr w:type="spellEnd"/>
      <w:r w:rsidR="00AF0C32"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Femara</w:t>
      </w:r>
      <w:proofErr w:type="spellEnd"/>
      <w:r w:rsidR="00AF0C32"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AF0C32" w:rsidRPr="00C608F7" w:rsidRDefault="00AF0C32" w:rsidP="001F321C">
      <w:pPr>
        <w:spacing w:after="0" w:line="240" w:lineRule="auto"/>
        <w:jc w:val="both"/>
        <w:rPr>
          <w:highlight w:val="yellow"/>
        </w:rPr>
      </w:pPr>
    </w:p>
    <w:p w:rsidR="00E2681C" w:rsidRDefault="00E2681C" w:rsidP="00E2681C">
      <w:pPr>
        <w:pStyle w:val="Text"/>
        <w:widowControl w:val="0"/>
        <w:spacing w:before="0"/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</w:pP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Gosuran</w:t>
      </w:r>
      <w:proofErr w:type="spellEnd"/>
      <w:r w:rsidR="00AF0C32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, il cui </w:t>
      </w:r>
      <w:r w:rsidR="001F321C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codice ATC è </w:t>
      </w: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L02BG04</w:t>
      </w:r>
      <w:r w:rsidR="001F321C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, contiene il princi</w:t>
      </w:r>
      <w:r w:rsidR="00FD04D4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p</w:t>
      </w:r>
      <w:r w:rsidR="001F321C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io attivo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letrozolo</w:t>
      </w:r>
      <w:proofErr w:type="spellEnd"/>
      <w:r w:rsidR="00DB6E74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appartenente </w:t>
      </w:r>
      <w:r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ad un gruppo di </w:t>
      </w: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medicinali noti come</w:t>
      </w:r>
      <w:r w:rsidR="00DB6E74"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inibitori delle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aromatasi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. </w:t>
      </w:r>
    </w:p>
    <w:p w:rsidR="00E2681C" w:rsidRPr="00E2681C" w:rsidRDefault="00E2681C" w:rsidP="00E2681C">
      <w:pPr>
        <w:pStyle w:val="Text"/>
        <w:widowControl w:val="0"/>
        <w:spacing w:before="0"/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</w:pP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L’inibizione della stimol</w:t>
      </w:r>
      <w:r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azione della crescita cellulare </w:t>
      </w: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mediata da estrogeni è un prerequisito per la risposta tumorale nei casi in cui </w:t>
      </w:r>
      <w:r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la crescita del tessuto </w:t>
      </w: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tumorale dipenda dalla presenza di estrogeni e sia utilizzata la terapia endocrina. Nelle donne in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postmenopausa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, gli estrogeni derivano principalmente dall’azione dell’enzima dell’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aromatasi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, che converte gli estrogeni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surrenalici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- principalmente l’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androstenedione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ed il testosterone - in estrone e estradiolo. La soppressione della biosintesi di estrogeni nei tessuti periferici e nel tessuto neoplastico stesso può pertanto essere ottenuta mediante l’inibizione specifica dell’enzima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aromatasi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.</w:t>
      </w:r>
    </w:p>
    <w:p w:rsidR="00E2681C" w:rsidRPr="00E2681C" w:rsidRDefault="00E2681C" w:rsidP="00E2681C">
      <w:pPr>
        <w:pStyle w:val="Text"/>
        <w:widowControl w:val="0"/>
        <w:spacing w:before="0"/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</w:pPr>
    </w:p>
    <w:p w:rsidR="00E2681C" w:rsidRPr="00E2681C" w:rsidRDefault="00E2681C" w:rsidP="00E2681C">
      <w:pPr>
        <w:pStyle w:val="Text"/>
        <w:widowControl w:val="0"/>
        <w:spacing w:before="0"/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</w:pPr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Il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letrozolo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è un inibitore non steroideo dell’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aromatasi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. Esso inibisce l’enzima </w:t>
      </w:r>
      <w:proofErr w:type="spellStart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aromatasi</w:t>
      </w:r>
      <w:proofErr w:type="spellEnd"/>
      <w:r w:rsidRPr="00E2681C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legandosi completamente all’eme del citocromo P450, con conseguente riduzione della biosintesi di estrogeni in tutti i tessuti dove è presente.</w:t>
      </w:r>
    </w:p>
    <w:p w:rsidR="00AF0C32" w:rsidRPr="0002468C" w:rsidRDefault="00AF0C32" w:rsidP="00E2681C">
      <w:pPr>
        <w:spacing w:after="0" w:line="240" w:lineRule="auto"/>
        <w:jc w:val="both"/>
        <w:rPr>
          <w:iCs/>
          <w:highlight w:val="yellow"/>
        </w:rPr>
      </w:pPr>
    </w:p>
    <w:p w:rsidR="00941200" w:rsidRPr="00941200" w:rsidRDefault="00E2681C" w:rsidP="00941200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1F321C" w:rsidRPr="00941200">
        <w:rPr>
          <w:rFonts w:eastAsia="Calibri" w:cs="Calibri"/>
          <w:color w:val="000000"/>
          <w:lang w:eastAsia="it-IT"/>
        </w:rPr>
        <w:t xml:space="preserve"> si usa per </w:t>
      </w:r>
      <w:r>
        <w:rPr>
          <w:rFonts w:eastAsia="Calibri" w:cs="Calibri"/>
          <w:color w:val="000000"/>
          <w:lang w:eastAsia="it-IT"/>
        </w:rPr>
        <w:t>il:</w:t>
      </w:r>
    </w:p>
    <w:p w:rsidR="00E2681C" w:rsidRPr="00E2681C" w:rsidRDefault="00E2681C" w:rsidP="00E2681C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adiuvante del carcinoma mammario invasivo in fase precoce in donne in </w:t>
      </w:r>
      <w:proofErr w:type="spellStart"/>
      <w:r w:rsidRPr="00E2681C">
        <w:t>postmenopausa</w:t>
      </w:r>
      <w:proofErr w:type="spellEnd"/>
      <w:r w:rsidRPr="00E2681C">
        <w:t xml:space="preserve"> con stato recettoriale ormonale positivo</w:t>
      </w:r>
      <w:r>
        <w:t>;</w:t>
      </w:r>
    </w:p>
    <w:p w:rsidR="00E2681C" w:rsidRPr="00E2681C" w:rsidRDefault="00E2681C" w:rsidP="00E2681C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adiuvante del carcinoma mammario </w:t>
      </w:r>
      <w:proofErr w:type="spellStart"/>
      <w:r w:rsidRPr="00E2681C">
        <w:t>ormonosensibile</w:t>
      </w:r>
      <w:proofErr w:type="spellEnd"/>
      <w:r w:rsidRPr="00E2681C">
        <w:t xml:space="preserve"> invasivo in donne in </w:t>
      </w:r>
      <w:proofErr w:type="spellStart"/>
      <w:r w:rsidRPr="00E2681C">
        <w:t>postmenopausa</w:t>
      </w:r>
      <w:proofErr w:type="spellEnd"/>
      <w:r w:rsidRPr="00E2681C">
        <w:t xml:space="preserve"> dopo trattamento adiuvante standard con </w:t>
      </w:r>
      <w:proofErr w:type="spellStart"/>
      <w:r w:rsidRPr="00E2681C">
        <w:t>tamoxifene</w:t>
      </w:r>
      <w:proofErr w:type="spellEnd"/>
      <w:r w:rsidRPr="00E2681C">
        <w:t xml:space="preserve"> della durata di 5 anni.</w:t>
      </w:r>
    </w:p>
    <w:p w:rsidR="00E2681C" w:rsidRPr="00E2681C" w:rsidRDefault="00E2681C" w:rsidP="00E2681C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 w:rsidRPr="00E2681C">
        <w:t xml:space="preserve">Trattamento di prima linea del carcinoma mammario </w:t>
      </w:r>
      <w:proofErr w:type="spellStart"/>
      <w:r w:rsidRPr="00E2681C">
        <w:t>ormonosensibile</w:t>
      </w:r>
      <w:proofErr w:type="spellEnd"/>
      <w:r w:rsidRPr="00E2681C">
        <w:t xml:space="preserve">, in fase avanzata, in donne in </w:t>
      </w:r>
      <w:proofErr w:type="spellStart"/>
      <w:r w:rsidRPr="00E2681C">
        <w:t>postmenopausa</w:t>
      </w:r>
      <w:proofErr w:type="spellEnd"/>
      <w:r>
        <w:t>;</w:t>
      </w:r>
    </w:p>
    <w:p w:rsidR="00E2681C" w:rsidRPr="00E2681C" w:rsidRDefault="00E2681C" w:rsidP="00E2681C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del carcinoma mammario in fase avanzata in donne in </w:t>
      </w:r>
      <w:proofErr w:type="spellStart"/>
      <w:r w:rsidRPr="00E2681C">
        <w:t>postmenopausa</w:t>
      </w:r>
      <w:proofErr w:type="spellEnd"/>
      <w:r w:rsidRPr="00E2681C">
        <w:t xml:space="preserve"> naturale o artificialmente indotta, dopo ripresa o progressione della malattia che siano state trattate in precedenza con antiestrogeni</w:t>
      </w:r>
      <w:r>
        <w:t>;</w:t>
      </w:r>
    </w:p>
    <w:p w:rsidR="00E2681C" w:rsidRPr="00E2681C" w:rsidRDefault="00E2681C" w:rsidP="00E2681C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neoadiuvante in donne in </w:t>
      </w:r>
      <w:proofErr w:type="spellStart"/>
      <w:r w:rsidRPr="00E2681C">
        <w:t>postmenopausa</w:t>
      </w:r>
      <w:proofErr w:type="spellEnd"/>
      <w:r w:rsidRPr="00E2681C">
        <w:t xml:space="preserve"> con carcinoma mammario con stato recettoriale ormonale positivo, HER-2 negativo in cui la chemioterapia non è possibile e un immediato intervento chirurgico non è indicato.</w:t>
      </w:r>
    </w:p>
    <w:p w:rsidR="00E2681C" w:rsidRPr="00E2681C" w:rsidRDefault="00E2681C" w:rsidP="00E2681C">
      <w:pPr>
        <w:pStyle w:val="Text"/>
        <w:widowControl w:val="0"/>
        <w:spacing w:before="0"/>
        <w:jc w:val="left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E2681C">
        <w:rPr>
          <w:rFonts w:asciiTheme="minorHAnsi" w:eastAsiaTheme="minorHAnsi" w:hAnsiTheme="minorHAnsi" w:cstheme="minorBidi"/>
          <w:sz w:val="22"/>
          <w:szCs w:val="22"/>
          <w:lang w:val="it-IT"/>
        </w:rPr>
        <w:t>L’efficacia non è stata dimostrata in pazienti con stato recettoriale ormonale negativo.</w:t>
      </w:r>
    </w:p>
    <w:p w:rsidR="001F321C" w:rsidRPr="00E2681C" w:rsidRDefault="001F321C" w:rsidP="001F321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AF0C32" w:rsidRDefault="00AF0C32" w:rsidP="001F321C">
      <w:pPr>
        <w:spacing w:after="0" w:line="240" w:lineRule="auto"/>
        <w:jc w:val="both"/>
      </w:pPr>
      <w:r w:rsidRPr="001F321C">
        <w:t xml:space="preserve">Poiché </w:t>
      </w:r>
      <w:proofErr w:type="spellStart"/>
      <w:r w:rsidR="00E2681C">
        <w:t>Gosuran</w:t>
      </w:r>
      <w:proofErr w:type="spellEnd"/>
      <w:r w:rsidRPr="001F321C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E2681C">
        <w:t>Femara</w:t>
      </w:r>
      <w:proofErr w:type="spellEnd"/>
      <w:r w:rsidRPr="001F321C">
        <w:t xml:space="preserve"> è autorizzato in Italia da oltre 10 anni.</w:t>
      </w:r>
    </w:p>
    <w:p w:rsidR="00A70881" w:rsidRDefault="00A70881" w:rsidP="001F321C">
      <w:pPr>
        <w:spacing w:after="0" w:line="240" w:lineRule="auto"/>
        <w:jc w:val="both"/>
      </w:pPr>
    </w:p>
    <w:p w:rsidR="00AF0C32" w:rsidRPr="0002468C" w:rsidRDefault="00AF0C32" w:rsidP="00AF0C32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="00E2681C">
        <w:t>Gosuran</w:t>
      </w:r>
      <w:proofErr w:type="spellEnd"/>
      <w:r w:rsidRPr="0002468C">
        <w:t xml:space="preserve"> e quelli del medicinale di riferimento </w:t>
      </w:r>
      <w:proofErr w:type="spellStart"/>
      <w:r w:rsidR="00E2681C">
        <w:t>Femara</w:t>
      </w:r>
      <w:proofErr w:type="spellEnd"/>
      <w:r w:rsidRPr="0002468C">
        <w:t>.</w:t>
      </w:r>
    </w:p>
    <w:p w:rsidR="00AF0C32" w:rsidRPr="00900C91" w:rsidRDefault="00AF0C32" w:rsidP="00AF0C32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F0C32" w:rsidRPr="00900C91" w:rsidRDefault="00AF0C32" w:rsidP="00AF0C32">
      <w:pPr>
        <w:spacing w:after="0" w:line="240" w:lineRule="auto"/>
        <w:jc w:val="both"/>
      </w:pPr>
    </w:p>
    <w:p w:rsidR="00977AAC" w:rsidRDefault="00AF0C32" w:rsidP="00977AAC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977AAC">
        <w:t xml:space="preserve">Le autorità </w:t>
      </w:r>
      <w:r w:rsidR="001E4ED5">
        <w:t>regolatorie</w:t>
      </w:r>
      <w:r w:rsidR="00977AAC">
        <w:t xml:space="preserve"> europee competenti hanno rilasciato i certificati GMP per i siti di produzione.</w:t>
      </w:r>
    </w:p>
    <w:p w:rsidR="00AF0C32" w:rsidRPr="00900C91" w:rsidRDefault="00AF0C32" w:rsidP="00AF0C32">
      <w:pPr>
        <w:spacing w:after="0" w:line="240" w:lineRule="auto"/>
        <w:jc w:val="both"/>
        <w:rPr>
          <w:highlight w:val="yellow"/>
        </w:rPr>
      </w:pPr>
    </w:p>
    <w:p w:rsidR="00AF0C32" w:rsidRPr="00900C91" w:rsidRDefault="00AF0C32" w:rsidP="00AF0C32">
      <w:pPr>
        <w:spacing w:after="0" w:line="240" w:lineRule="auto"/>
        <w:jc w:val="both"/>
      </w:pPr>
      <w:r w:rsidRPr="00900C91"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F0C32" w:rsidRPr="00900C91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26FDA">
        <w:t>Gosuran</w:t>
      </w:r>
      <w:proofErr w:type="spellEnd"/>
      <w:r>
        <w:t xml:space="preserve"> </w:t>
      </w:r>
      <w:r w:rsidRPr="00900C91">
        <w:t xml:space="preserve">contiene </w:t>
      </w:r>
      <w:r w:rsidR="00B65D34">
        <w:t xml:space="preserve">un </w:t>
      </w:r>
      <w:r w:rsidRPr="00900C91">
        <w:t>principi</w:t>
      </w:r>
      <w:r w:rsidR="00B65D34">
        <w:t>o attivo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F0C32" w:rsidRDefault="00AF0C32" w:rsidP="00AF0C32">
      <w:pPr>
        <w:spacing w:after="0" w:line="240" w:lineRule="auto"/>
        <w:jc w:val="both"/>
      </w:pPr>
    </w:p>
    <w:p w:rsidR="00AF0C32" w:rsidRPr="001F321C" w:rsidRDefault="00AF0C32" w:rsidP="00AF0C32">
      <w:pPr>
        <w:spacing w:after="0" w:line="240" w:lineRule="auto"/>
        <w:jc w:val="both"/>
      </w:pPr>
    </w:p>
    <w:p w:rsidR="00AF0C32" w:rsidRPr="001F321C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1F321C">
        <w:rPr>
          <w:b/>
        </w:rPr>
        <w:t xml:space="preserve">ASPETTI </w:t>
      </w:r>
      <w:proofErr w:type="spellStart"/>
      <w:r w:rsidRPr="001F321C">
        <w:rPr>
          <w:b/>
        </w:rPr>
        <w:t>DI</w:t>
      </w:r>
      <w:proofErr w:type="spellEnd"/>
      <w:r w:rsidRPr="001F321C">
        <w:rPr>
          <w:b/>
        </w:rPr>
        <w:t xml:space="preserve"> QUALITA’</w:t>
      </w:r>
    </w:p>
    <w:p w:rsidR="00AF0C32" w:rsidRPr="001F321C" w:rsidRDefault="00AF0C32" w:rsidP="00AF0C32">
      <w:pPr>
        <w:spacing w:after="0" w:line="240" w:lineRule="auto"/>
        <w:jc w:val="both"/>
      </w:pPr>
      <w:r w:rsidRPr="001F321C">
        <w:rPr>
          <w:b/>
        </w:rPr>
        <w:t xml:space="preserve">II.1 PRINCIPIO ATTIVO </w:t>
      </w:r>
      <w:r w:rsidR="00F26FDA">
        <w:rPr>
          <w:b/>
        </w:rPr>
        <w:t>LETROZOLO</w:t>
      </w:r>
    </w:p>
    <w:p w:rsidR="00AF0C32" w:rsidRPr="001F321C" w:rsidRDefault="00AF0C32" w:rsidP="00AF0C3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1F321C">
        <w:rPr>
          <w:u w:val="single"/>
        </w:rPr>
        <w:t>Nome chimico</w:t>
      </w:r>
      <w:r w:rsidR="001F321C" w:rsidRPr="001F321C">
        <w:t xml:space="preserve">: </w:t>
      </w:r>
      <w:r w:rsidR="00773F67">
        <w:rPr>
          <w:rStyle w:val="s1"/>
          <w:rFonts w:asciiTheme="minorHAnsi" w:hAnsiTheme="minorHAnsi"/>
        </w:rPr>
        <w:t xml:space="preserve">4,4’-(1H-1,2,4-Triazol-1-ylmethylene) </w:t>
      </w:r>
      <w:proofErr w:type="spellStart"/>
      <w:r w:rsidR="00773F67">
        <w:rPr>
          <w:rStyle w:val="s1"/>
          <w:rFonts w:asciiTheme="minorHAnsi" w:hAnsiTheme="minorHAnsi"/>
        </w:rPr>
        <w:t>dibenzonitrile</w:t>
      </w:r>
      <w:proofErr w:type="spellEnd"/>
    </w:p>
    <w:p w:rsidR="00AF0C32" w:rsidRPr="001F321C" w:rsidRDefault="00AF0C32" w:rsidP="00AF0C3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1F321C">
        <w:rPr>
          <w:u w:val="single"/>
        </w:rPr>
        <w:t>Struttura</w:t>
      </w:r>
      <w:r w:rsidRPr="001F321C">
        <w:t>:</w:t>
      </w:r>
    </w:p>
    <w:p w:rsidR="00AF0C32" w:rsidRPr="001F321C" w:rsidRDefault="00773F67" w:rsidP="00AF0C32">
      <w:pPr>
        <w:spacing w:after="0" w:line="240" w:lineRule="auto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1420136" cy="788924"/>
            <wp:effectExtent l="19050" t="0" r="8614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84" cy="791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C32" w:rsidRPr="00773F67" w:rsidRDefault="00AF0C32" w:rsidP="00AF0C32">
      <w:pPr>
        <w:spacing w:after="0" w:line="240" w:lineRule="auto"/>
        <w:jc w:val="both"/>
        <w:rPr>
          <w:rFonts w:cs="Arial"/>
          <w:color w:val="252525"/>
          <w:shd w:val="clear" w:color="auto" w:fill="F9F9F9"/>
        </w:rPr>
      </w:pPr>
      <w:r w:rsidRPr="001F321C">
        <w:rPr>
          <w:u w:val="single"/>
        </w:rPr>
        <w:t>Formula molecolare</w:t>
      </w:r>
      <w:r w:rsidRPr="001F321C">
        <w:t>:</w:t>
      </w:r>
      <w:r w:rsidRPr="001F321C">
        <w:rPr>
          <w:rStyle w:val="s1"/>
          <w:rFonts w:asciiTheme="minorHAnsi" w:hAnsiTheme="minorHAnsi"/>
        </w:rPr>
        <w:t xml:space="preserve"> </w:t>
      </w:r>
      <w:r w:rsidR="001F321C" w:rsidRPr="001F321C">
        <w:rPr>
          <w:rStyle w:val="s1"/>
          <w:rFonts w:asciiTheme="minorHAnsi" w:hAnsiTheme="minorHAnsi"/>
        </w:rPr>
        <w:t>C</w:t>
      </w:r>
      <w:r w:rsidR="00773F67">
        <w:rPr>
          <w:rStyle w:val="s1"/>
          <w:rFonts w:asciiTheme="minorHAnsi" w:hAnsiTheme="minorHAnsi"/>
          <w:vertAlign w:val="subscript"/>
        </w:rPr>
        <w:t>17</w:t>
      </w:r>
      <w:r w:rsidR="001F321C" w:rsidRPr="001F321C">
        <w:rPr>
          <w:rStyle w:val="s1"/>
          <w:rFonts w:asciiTheme="minorHAnsi" w:hAnsiTheme="minorHAnsi"/>
        </w:rPr>
        <w:t>H</w:t>
      </w:r>
      <w:r w:rsidR="00773F67">
        <w:rPr>
          <w:rStyle w:val="s1"/>
          <w:rFonts w:asciiTheme="minorHAnsi" w:hAnsiTheme="minorHAnsi"/>
          <w:vertAlign w:val="subscript"/>
        </w:rPr>
        <w:t>11</w:t>
      </w:r>
      <w:r w:rsidR="001F321C" w:rsidRPr="001F321C">
        <w:rPr>
          <w:rStyle w:val="s1"/>
          <w:rFonts w:asciiTheme="minorHAnsi" w:hAnsiTheme="minorHAnsi"/>
        </w:rPr>
        <w:t>N</w:t>
      </w:r>
      <w:r w:rsidR="00773F67">
        <w:rPr>
          <w:rStyle w:val="s1"/>
          <w:rFonts w:asciiTheme="minorHAnsi" w:hAnsiTheme="minorHAnsi"/>
          <w:vertAlign w:val="subscript"/>
        </w:rPr>
        <w:t>5</w:t>
      </w:r>
    </w:p>
    <w:p w:rsidR="00AF0C32" w:rsidRPr="001F321C" w:rsidRDefault="00AF0C32" w:rsidP="00AF0C32">
      <w:pPr>
        <w:spacing w:after="0" w:line="240" w:lineRule="auto"/>
        <w:jc w:val="both"/>
      </w:pPr>
      <w:r w:rsidRPr="001F321C">
        <w:rPr>
          <w:u w:val="single"/>
        </w:rPr>
        <w:t>Peso molecolare</w:t>
      </w:r>
      <w:r w:rsidRPr="001F321C">
        <w:t>:</w:t>
      </w:r>
      <w:r w:rsidRPr="001F321C">
        <w:rPr>
          <w:rFonts w:cs="Arial"/>
          <w:color w:val="252525"/>
          <w:shd w:val="clear" w:color="auto" w:fill="F9F9F9"/>
        </w:rPr>
        <w:t xml:space="preserve"> </w:t>
      </w:r>
      <w:r w:rsidR="00773F67">
        <w:rPr>
          <w:rStyle w:val="s1"/>
          <w:rFonts w:asciiTheme="minorHAnsi" w:hAnsiTheme="minorHAnsi"/>
        </w:rPr>
        <w:t>285.3</w:t>
      </w:r>
      <w:r w:rsidR="001F321C" w:rsidRPr="001F321C">
        <w:rPr>
          <w:rStyle w:val="s1"/>
          <w:rFonts w:asciiTheme="minorHAnsi" w:hAnsiTheme="minorHAnsi"/>
        </w:rPr>
        <w:t xml:space="preserve"> </w:t>
      </w:r>
      <w:r w:rsidRPr="001F321C">
        <w:rPr>
          <w:rFonts w:cs="Arial"/>
          <w:color w:val="252525"/>
          <w:shd w:val="clear" w:color="auto" w:fill="F9F9F9"/>
        </w:rPr>
        <w:t>g</w:t>
      </w:r>
      <w:r w:rsidRPr="001F321C">
        <w:rPr>
          <w:rStyle w:val="s1"/>
          <w:rFonts w:asciiTheme="minorHAnsi" w:hAnsiTheme="minorHAnsi"/>
        </w:rPr>
        <w:t>/mol</w:t>
      </w:r>
    </w:p>
    <w:p w:rsidR="00AF0C32" w:rsidRPr="001F321C" w:rsidRDefault="00AF0C32" w:rsidP="00AF0C32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1F321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1F321C">
        <w:rPr>
          <w:rFonts w:asciiTheme="minorHAnsi" w:hAnsiTheme="minorHAnsi"/>
          <w:b w:val="0"/>
          <w:sz w:val="22"/>
          <w:szCs w:val="22"/>
        </w:rPr>
        <w:t xml:space="preserve">: </w:t>
      </w:r>
      <w:r w:rsidR="001F321C" w:rsidRPr="001F321C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773F67">
        <w:rPr>
          <w:rStyle w:val="s1"/>
          <w:rFonts w:asciiTheme="minorHAnsi" w:hAnsiTheme="minorHAnsi"/>
          <w:b w:val="0"/>
          <w:sz w:val="22"/>
          <w:szCs w:val="22"/>
        </w:rPr>
        <w:t>112809-51-5</w:t>
      </w:r>
      <w:r w:rsidR="001F321C" w:rsidRPr="001F321C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F0C32" w:rsidRPr="001F321C" w:rsidRDefault="00AF0C32" w:rsidP="00AF0C32">
      <w:pPr>
        <w:spacing w:after="0" w:line="240" w:lineRule="auto"/>
        <w:jc w:val="both"/>
      </w:pPr>
      <w:r w:rsidRPr="001F321C">
        <w:rPr>
          <w:u w:val="single"/>
        </w:rPr>
        <w:t>Aspetto</w:t>
      </w:r>
      <w:r w:rsidRPr="001F321C">
        <w:t xml:space="preserve">: polvere </w:t>
      </w:r>
      <w:r w:rsidR="00773F67">
        <w:t>cristallina di colore bianco o giallastro</w:t>
      </w:r>
    </w:p>
    <w:p w:rsidR="00AF0C32" w:rsidRPr="001F321C" w:rsidRDefault="00AF0C32" w:rsidP="00AF0C32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1F321C">
        <w:rPr>
          <w:u w:val="single"/>
        </w:rPr>
        <w:t>Solubilità</w:t>
      </w:r>
      <w:r w:rsidRPr="001F321C">
        <w:t xml:space="preserve">: </w:t>
      </w:r>
      <w:r w:rsidR="00773F67">
        <w:t xml:space="preserve">praticamente insolubile in acqua, moderatamente solubile in metanolo e molto solubile in </w:t>
      </w:r>
      <w:proofErr w:type="spellStart"/>
      <w:r w:rsidR="00773F67">
        <w:t>diclorometano</w:t>
      </w:r>
      <w:proofErr w:type="spellEnd"/>
      <w:r w:rsidRPr="001F321C">
        <w:rPr>
          <w:rStyle w:val="s1"/>
          <w:rFonts w:asciiTheme="minorHAnsi" w:hAnsiTheme="minorHAnsi"/>
        </w:rPr>
        <w:t>.</w:t>
      </w:r>
    </w:p>
    <w:p w:rsidR="00AF0C32" w:rsidRPr="007C0DF8" w:rsidRDefault="007C0DF8" w:rsidP="00AF0C32">
      <w:pPr>
        <w:spacing w:after="0" w:line="240" w:lineRule="auto"/>
        <w:jc w:val="both"/>
      </w:pPr>
      <w:r w:rsidRPr="007C0DF8">
        <w:rPr>
          <w:u w:val="single"/>
        </w:rPr>
        <w:t>Polimorfismo</w:t>
      </w:r>
      <w:r w:rsidRPr="007C0DF8">
        <w:t xml:space="preserve">: il </w:t>
      </w:r>
      <w:proofErr w:type="spellStart"/>
      <w:r w:rsidRPr="007C0DF8">
        <w:t>letrozolo</w:t>
      </w:r>
      <w:proofErr w:type="spellEnd"/>
      <w:r w:rsidRPr="007C0DF8">
        <w:t xml:space="preserve"> può esistere in differenti forma polimorfa; il </w:t>
      </w:r>
      <w:proofErr w:type="spellStart"/>
      <w:r w:rsidRPr="007C0DF8">
        <w:t>letrozolo</w:t>
      </w:r>
      <w:proofErr w:type="spellEnd"/>
      <w:r w:rsidRPr="007C0DF8">
        <w:t xml:space="preserve"> presente in </w:t>
      </w:r>
      <w:proofErr w:type="spellStart"/>
      <w:r w:rsidRPr="007C0DF8">
        <w:t>Gosuran</w:t>
      </w:r>
      <w:proofErr w:type="spellEnd"/>
      <w:r w:rsidRPr="007C0DF8">
        <w:t xml:space="preserve"> esiste nella forma polimorfa L che risulta stabile durante la conservazione del principio attivo.</w:t>
      </w:r>
    </w:p>
    <w:p w:rsidR="007C0DF8" w:rsidRDefault="007C0DF8" w:rsidP="001F321C">
      <w:pPr>
        <w:spacing w:after="0" w:line="240" w:lineRule="auto"/>
        <w:jc w:val="both"/>
      </w:pPr>
    </w:p>
    <w:p w:rsidR="001F321C" w:rsidRPr="00A72D8A" w:rsidRDefault="00AF0C32" w:rsidP="001F321C">
      <w:pPr>
        <w:spacing w:after="0" w:line="240" w:lineRule="auto"/>
        <w:jc w:val="both"/>
      </w:pPr>
      <w:r w:rsidRPr="00404797">
        <w:t xml:space="preserve">Il principio attivo </w:t>
      </w:r>
      <w:proofErr w:type="spellStart"/>
      <w:r w:rsidR="00773F67">
        <w:t>letrozolo</w:t>
      </w:r>
      <w:proofErr w:type="spellEnd"/>
      <w:r w:rsidRPr="00404797">
        <w:t xml:space="preserve"> è presente in Farmacopea Europea</w:t>
      </w:r>
      <w:r w:rsidR="001F321C" w:rsidRPr="001F321C">
        <w:t xml:space="preserve"> </w:t>
      </w:r>
      <w:r w:rsidR="001F321C" w:rsidRPr="00A72D8A">
        <w:t xml:space="preserve">e il </w:t>
      </w:r>
      <w:proofErr w:type="spellStart"/>
      <w:r w:rsidR="001F321C" w:rsidRPr="00A72D8A">
        <w:t>Direttorato</w:t>
      </w:r>
      <w:proofErr w:type="spellEnd"/>
      <w:r w:rsidR="001F321C" w:rsidRPr="00A72D8A">
        <w:t xml:space="preserve"> Europeo per la Qualità dei Medicinali (</w:t>
      </w:r>
      <w:proofErr w:type="spellStart"/>
      <w:r w:rsidR="001F321C" w:rsidRPr="00A72D8A">
        <w:rPr>
          <w:i/>
        </w:rPr>
        <w:t>European</w:t>
      </w:r>
      <w:proofErr w:type="spellEnd"/>
      <w:r w:rsidR="001F321C" w:rsidRPr="00A72D8A">
        <w:rPr>
          <w:i/>
        </w:rPr>
        <w:t xml:space="preserve"> </w:t>
      </w:r>
      <w:proofErr w:type="spellStart"/>
      <w:r w:rsidR="001F321C" w:rsidRPr="00A72D8A">
        <w:rPr>
          <w:i/>
        </w:rPr>
        <w:t>Directorate</w:t>
      </w:r>
      <w:proofErr w:type="spellEnd"/>
      <w:r w:rsidR="001F321C" w:rsidRPr="00A72D8A">
        <w:rPr>
          <w:i/>
        </w:rPr>
        <w:t xml:space="preserve"> </w:t>
      </w:r>
      <w:proofErr w:type="spellStart"/>
      <w:r w:rsidR="001F321C" w:rsidRPr="00A72D8A">
        <w:rPr>
          <w:i/>
        </w:rPr>
        <w:t>for</w:t>
      </w:r>
      <w:proofErr w:type="spellEnd"/>
      <w:r w:rsidR="001F321C" w:rsidRPr="00A72D8A">
        <w:rPr>
          <w:i/>
        </w:rPr>
        <w:t xml:space="preserve"> </w:t>
      </w:r>
      <w:proofErr w:type="spellStart"/>
      <w:r w:rsidR="001F321C" w:rsidRPr="00A72D8A">
        <w:rPr>
          <w:i/>
        </w:rPr>
        <w:t>Quality</w:t>
      </w:r>
      <w:proofErr w:type="spellEnd"/>
      <w:r w:rsidR="001F321C" w:rsidRPr="00A72D8A">
        <w:rPr>
          <w:i/>
        </w:rPr>
        <w:t xml:space="preserve"> </w:t>
      </w:r>
      <w:proofErr w:type="spellStart"/>
      <w:r w:rsidR="001F321C" w:rsidRPr="00A72D8A">
        <w:rPr>
          <w:i/>
        </w:rPr>
        <w:t>of</w:t>
      </w:r>
      <w:proofErr w:type="spellEnd"/>
      <w:r w:rsidR="001F321C" w:rsidRPr="00A72D8A">
        <w:rPr>
          <w:i/>
        </w:rPr>
        <w:t xml:space="preserve"> </w:t>
      </w:r>
      <w:proofErr w:type="spellStart"/>
      <w:r w:rsidR="001F321C" w:rsidRPr="00A72D8A">
        <w:rPr>
          <w:i/>
        </w:rPr>
        <w:t>Medicnals</w:t>
      </w:r>
      <w:proofErr w:type="spellEnd"/>
      <w:r w:rsidR="001F321C" w:rsidRPr="00A72D8A">
        <w:t xml:space="preserve"> – EDQM) ha rilasciato al produttore il certificato di conformità alla Farmacopea Europea</w:t>
      </w:r>
      <w:r w:rsidR="001F321C">
        <w:t>.</w:t>
      </w:r>
    </w:p>
    <w:p w:rsidR="000C3112" w:rsidRDefault="00773F67" w:rsidP="00A70881">
      <w:pPr>
        <w:spacing w:after="0" w:line="240" w:lineRule="auto"/>
        <w:jc w:val="both"/>
      </w:pPr>
      <w:r>
        <w:t>Tutti gli aspetti di produzione,</w:t>
      </w:r>
      <w:r w:rsidR="001F321C" w:rsidRPr="001F321C">
        <w:t xml:space="preserve"> controllo</w:t>
      </w:r>
      <w:r>
        <w:t>, confezionamento e stabilità del principio attivo</w:t>
      </w:r>
      <w:r w:rsidR="001F321C" w:rsidRPr="001F321C">
        <w:t xml:space="preserve"> sono coperti dal certificato di conformità alla Farmacopea Europea. </w:t>
      </w:r>
      <w:r w:rsidR="00A70881">
        <w:t xml:space="preserve">Il principio attivo è conservato in </w:t>
      </w:r>
      <w:r w:rsidR="00A70881" w:rsidRPr="00773F67">
        <w:rPr>
          <w:rFonts w:ascii="Calibri" w:eastAsia="Calibri" w:hAnsi="Calibri" w:cs="Times New Roman"/>
        </w:rPr>
        <w:t>doppia busta di polietilene posta in barattolo di fibra</w:t>
      </w:r>
      <w:r w:rsidR="00A70881">
        <w:rPr>
          <w:rFonts w:ascii="Calibri" w:eastAsia="Calibri" w:hAnsi="Calibri" w:cs="Times New Roman"/>
        </w:rPr>
        <w:t xml:space="preserve"> ed è stato definito un periodo di </w:t>
      </w:r>
      <w:proofErr w:type="spellStart"/>
      <w:r w:rsidR="00A70881">
        <w:rPr>
          <w:rFonts w:ascii="Calibri" w:eastAsia="Calibri" w:hAnsi="Calibri" w:cs="Times New Roman"/>
        </w:rPr>
        <w:t>retest</w:t>
      </w:r>
      <w:proofErr w:type="spellEnd"/>
      <w:r w:rsidR="00A70881">
        <w:rPr>
          <w:rFonts w:ascii="Calibri" w:eastAsia="Calibri" w:hAnsi="Calibri" w:cs="Times New Roman"/>
        </w:rPr>
        <w:t xml:space="preserve"> di </w:t>
      </w:r>
      <w:r w:rsidR="00A70881">
        <w:t>3 anni</w:t>
      </w:r>
      <w:r w:rsidRPr="00773F67">
        <w:rPr>
          <w:rFonts w:ascii="Calibri" w:eastAsia="Calibri" w:hAnsi="Calibri" w:cs="Times New Roman"/>
        </w:rPr>
        <w:t>.</w:t>
      </w:r>
    </w:p>
    <w:p w:rsidR="00AF0C32" w:rsidRPr="00C97A20" w:rsidRDefault="00AF0C32" w:rsidP="001F321C">
      <w:pPr>
        <w:spacing w:after="0" w:line="240" w:lineRule="auto"/>
        <w:jc w:val="both"/>
      </w:pPr>
    </w:p>
    <w:p w:rsidR="00AF0C32" w:rsidRPr="00C97A20" w:rsidRDefault="00AF0C32" w:rsidP="001F321C">
      <w:pPr>
        <w:spacing w:after="0" w:line="240" w:lineRule="auto"/>
        <w:jc w:val="both"/>
      </w:pPr>
    </w:p>
    <w:p w:rsidR="00AF0C32" w:rsidRPr="00C97A20" w:rsidRDefault="00AF0C32" w:rsidP="001F321C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AF0C32" w:rsidRPr="00C97A20" w:rsidRDefault="00AF0C32" w:rsidP="00222744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A70881" w:rsidRDefault="007C0DF8" w:rsidP="00222744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AF0C32" w:rsidRPr="00C97A20">
        <w:rPr>
          <w:rFonts w:eastAsia="Calibri" w:cs="Calibri"/>
          <w:color w:val="000000"/>
          <w:lang w:eastAsia="it-IT"/>
        </w:rPr>
        <w:t xml:space="preserve"> è disponibile in compresse contenenti </w:t>
      </w:r>
      <w:r w:rsidR="001F321C">
        <w:rPr>
          <w:rFonts w:eastAsia="Calibri" w:cs="Calibri"/>
          <w:color w:val="000000"/>
          <w:lang w:eastAsia="it-IT"/>
        </w:rPr>
        <w:t>2</w:t>
      </w:r>
      <w:r>
        <w:rPr>
          <w:rFonts w:eastAsia="Calibri" w:cs="Calibri"/>
          <w:color w:val="000000"/>
          <w:lang w:eastAsia="it-IT"/>
        </w:rPr>
        <w:t>,</w:t>
      </w:r>
      <w:r w:rsidR="001F321C">
        <w:rPr>
          <w:rFonts w:eastAsia="Calibri" w:cs="Calibri"/>
          <w:color w:val="000000"/>
          <w:lang w:eastAsia="it-IT"/>
        </w:rPr>
        <w:t>5</w:t>
      </w:r>
      <w:r>
        <w:rPr>
          <w:rFonts w:eastAsia="Calibri" w:cs="Calibri"/>
          <w:color w:val="000000"/>
          <w:lang w:eastAsia="it-IT"/>
        </w:rPr>
        <w:t xml:space="preserve"> </w:t>
      </w:r>
      <w:r w:rsidR="00AF0C32" w:rsidRPr="00C97A20">
        <w:rPr>
          <w:rFonts w:eastAsia="Calibri" w:cs="Calibri"/>
          <w:color w:val="000000"/>
          <w:lang w:eastAsia="it-IT"/>
        </w:rPr>
        <w:t xml:space="preserve">mg di </w:t>
      </w:r>
      <w:proofErr w:type="spellStart"/>
      <w:r>
        <w:rPr>
          <w:rFonts w:eastAsia="Calibri" w:cs="Calibri"/>
          <w:color w:val="000000"/>
          <w:lang w:eastAsia="it-IT"/>
        </w:rPr>
        <w:t>letrozolo</w:t>
      </w:r>
      <w:proofErr w:type="spellEnd"/>
      <w:r w:rsidR="00AF0C32" w:rsidRPr="00C97A20">
        <w:rPr>
          <w:rFonts w:eastAsia="Calibri" w:cs="Calibri"/>
          <w:color w:val="000000"/>
          <w:lang w:eastAsia="it-IT"/>
        </w:rPr>
        <w:t>.</w:t>
      </w:r>
      <w:r w:rsidR="001F321C" w:rsidRPr="001F321C">
        <w:t xml:space="preserve"> </w:t>
      </w:r>
    </w:p>
    <w:p w:rsidR="001F321C" w:rsidRPr="00B140CC" w:rsidRDefault="001F321C" w:rsidP="00222744">
      <w:pPr>
        <w:spacing w:after="0" w:line="240" w:lineRule="auto"/>
        <w:jc w:val="both"/>
      </w:pPr>
      <w:r>
        <w:t xml:space="preserve">Le compresse sono </w:t>
      </w:r>
      <w:r w:rsidR="007C0DF8" w:rsidRPr="007C0DF8">
        <w:t>rivestit</w:t>
      </w:r>
      <w:r w:rsidR="007C0DF8">
        <w:t>e</w:t>
      </w:r>
      <w:r w:rsidR="007C0DF8" w:rsidRPr="007C0DF8">
        <w:t xml:space="preserve"> con film, </w:t>
      </w:r>
      <w:r w:rsidR="007C0DF8">
        <w:t>di colore giallo, rotonde</w:t>
      </w:r>
      <w:r w:rsidR="007C0DF8" w:rsidRPr="007C0DF8">
        <w:t>, biconvess</w:t>
      </w:r>
      <w:r w:rsidR="007C0DF8">
        <w:t>e</w:t>
      </w:r>
      <w:r>
        <w:t>.</w:t>
      </w:r>
    </w:p>
    <w:p w:rsidR="00A70881" w:rsidRDefault="00A70881" w:rsidP="00222744">
      <w:pPr>
        <w:spacing w:after="0" w:line="240" w:lineRule="auto"/>
        <w:jc w:val="both"/>
      </w:pPr>
      <w:r>
        <w:t>Gli eccipienti sono i seguenti:</w:t>
      </w:r>
    </w:p>
    <w:p w:rsidR="00310EBE" w:rsidRDefault="00A70881" w:rsidP="00222744">
      <w:pPr>
        <w:spacing w:after="0" w:line="240" w:lineRule="auto"/>
        <w:jc w:val="both"/>
      </w:pPr>
      <w:r>
        <w:t>N</w:t>
      </w:r>
      <w:r w:rsidR="007C0DF8">
        <w:t>ucleo</w:t>
      </w:r>
      <w:r w:rsidR="00AF0C32">
        <w:t>:</w:t>
      </w:r>
      <w:r w:rsidR="00310EBE">
        <w:t xml:space="preserve"> </w:t>
      </w:r>
      <w:r w:rsidR="007C0DF8" w:rsidRPr="007C0DF8">
        <w:t>lattosio, cellulosa microcristallina, amido di mais, sodio amido glicolato tipo A, magnesio stea</w:t>
      </w:r>
      <w:r w:rsidR="007C0DF8">
        <w:t>rato e silice colloidale anidra</w:t>
      </w:r>
      <w:r w:rsidR="00310EBE">
        <w:t>.</w:t>
      </w:r>
      <w:r w:rsidR="007C0DF8">
        <w:t xml:space="preserve"> </w:t>
      </w:r>
    </w:p>
    <w:p w:rsidR="007C0DF8" w:rsidRPr="00F77320" w:rsidRDefault="00A70881" w:rsidP="00222744">
      <w:pPr>
        <w:spacing w:after="0" w:line="240" w:lineRule="auto"/>
        <w:jc w:val="both"/>
      </w:pPr>
      <w:r>
        <w:t>R</w:t>
      </w:r>
      <w:r w:rsidR="007C0DF8">
        <w:t>ivestimento</w:t>
      </w:r>
      <w:r>
        <w:t xml:space="preserve">: </w:t>
      </w:r>
      <w:proofErr w:type="spellStart"/>
      <w:r w:rsidR="00613721">
        <w:t>Opadry</w:t>
      </w:r>
      <w:proofErr w:type="spellEnd"/>
      <w:r w:rsidR="00613721">
        <w:t xml:space="preserve"> giallo </w:t>
      </w:r>
      <w:r w:rsidR="00613721" w:rsidRPr="00613721">
        <w:t>02B38014</w:t>
      </w:r>
      <w:r w:rsidR="00613721">
        <w:t xml:space="preserve">, composto da una miscela </w:t>
      </w:r>
      <w:r>
        <w:t xml:space="preserve">di </w:t>
      </w:r>
      <w:r w:rsidR="007C0DF8">
        <w:t xml:space="preserve"> </w:t>
      </w:r>
      <w:proofErr w:type="spellStart"/>
      <w:r w:rsidR="007C0DF8" w:rsidRPr="007C0DF8">
        <w:t>ipromellosa</w:t>
      </w:r>
      <w:proofErr w:type="spellEnd"/>
      <w:r w:rsidR="007C0DF8" w:rsidRPr="007C0DF8">
        <w:t xml:space="preserve">, talco, macrogol 4000, titanio diossido (E171), </w:t>
      </w:r>
      <w:r w:rsidR="00613721">
        <w:t>ferro ossido rosso (E</w:t>
      </w:r>
      <w:r w:rsidR="007C0DF8" w:rsidRPr="007C0DF8">
        <w:t>172) e ferro ossido giallo(E172)</w:t>
      </w:r>
      <w:r w:rsidR="007C0DF8">
        <w:t>.</w:t>
      </w:r>
    </w:p>
    <w:p w:rsidR="000C3112" w:rsidRDefault="000C3112" w:rsidP="000C3112">
      <w:pPr>
        <w:spacing w:after="0" w:line="240" w:lineRule="auto"/>
        <w:jc w:val="both"/>
      </w:pPr>
      <w:r w:rsidRPr="001C76D9">
        <w:t>Tutti gli eccipienti</w:t>
      </w:r>
      <w:r w:rsidR="00613721">
        <w:t>, eccetto l’</w:t>
      </w:r>
      <w:proofErr w:type="spellStart"/>
      <w:r w:rsidR="00613721">
        <w:t>Opadry</w:t>
      </w:r>
      <w:proofErr w:type="spellEnd"/>
      <w:r w:rsidR="00613721">
        <w:t xml:space="preserve"> giallo,</w:t>
      </w:r>
      <w:r w:rsidRPr="001C76D9">
        <w:t xml:space="preserve"> sono conformi alla relativa monografia di Farmacopea Europea.</w:t>
      </w:r>
    </w:p>
    <w:p w:rsidR="00613721" w:rsidRDefault="00613721" w:rsidP="000C3112">
      <w:pPr>
        <w:spacing w:after="0" w:line="240" w:lineRule="auto"/>
        <w:jc w:val="both"/>
      </w:pPr>
      <w:r>
        <w:t>L’</w:t>
      </w:r>
      <w:proofErr w:type="spellStart"/>
      <w:r>
        <w:t>Opadry</w:t>
      </w:r>
      <w:proofErr w:type="spellEnd"/>
      <w:r>
        <w:t xml:space="preserve"> giallo è adeguatamente controllato mediante specifiche definite dal produttore.</w:t>
      </w:r>
      <w:r w:rsidR="00A70881">
        <w:t xml:space="preserve"> </w:t>
      </w:r>
      <w:r>
        <w:t>I coloranti impiegati, ferro ossido rosso e ferro ossido giallo, sono conformi alle normative comunitarie vigenti.</w:t>
      </w:r>
    </w:p>
    <w:p w:rsidR="00AF0C32" w:rsidRPr="00C97A20" w:rsidRDefault="00AF0C32" w:rsidP="00222744">
      <w:pPr>
        <w:spacing w:after="0" w:line="240" w:lineRule="auto"/>
        <w:jc w:val="both"/>
      </w:pPr>
      <w:r w:rsidRPr="00C97A20">
        <w:t>Nessun eccipiente è ottenuto da organismi geneticamente modificati; non sono presenti eccipienti mai utilizzati nell’uomo.</w:t>
      </w:r>
    </w:p>
    <w:p w:rsidR="00AF0C32" w:rsidRPr="00C97A20" w:rsidRDefault="00AF0C32" w:rsidP="00222744">
      <w:pPr>
        <w:spacing w:after="0" w:line="240" w:lineRule="auto"/>
        <w:jc w:val="both"/>
      </w:pPr>
    </w:p>
    <w:p w:rsidR="00AF0C32" w:rsidRPr="00C97A20" w:rsidRDefault="00AF0C32" w:rsidP="00222744">
      <w:pPr>
        <w:spacing w:after="0" w:line="240" w:lineRule="auto"/>
        <w:jc w:val="both"/>
        <w:rPr>
          <w:b/>
        </w:rPr>
      </w:pPr>
      <w:r w:rsidRPr="00C97A20">
        <w:rPr>
          <w:b/>
        </w:rPr>
        <w:t>Sviluppo farmaceutico</w:t>
      </w:r>
    </w:p>
    <w:p w:rsidR="00AF0C32" w:rsidRPr="00C97A20" w:rsidRDefault="00AF0C32" w:rsidP="00222744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AF0C32" w:rsidRPr="00C97A20" w:rsidRDefault="00AF0C32" w:rsidP="00222744">
      <w:pPr>
        <w:spacing w:after="0" w:line="240" w:lineRule="auto"/>
        <w:jc w:val="both"/>
      </w:pPr>
      <w:r w:rsidRPr="00C97A20">
        <w:lastRenderedPageBreak/>
        <w:t xml:space="preserve">Lo scopo era quello di ottenere un medicinale </w:t>
      </w:r>
      <w:proofErr w:type="spellStart"/>
      <w:r w:rsidRPr="00C97A20">
        <w:t>bioequivalente</w:t>
      </w:r>
      <w:proofErr w:type="spellEnd"/>
      <w:r w:rsidRPr="00C97A20">
        <w:t xml:space="preserve"> al medicinale di riferimento </w:t>
      </w:r>
      <w:proofErr w:type="spellStart"/>
      <w:r w:rsidR="00613721">
        <w:t>Femara</w:t>
      </w:r>
      <w:proofErr w:type="spellEnd"/>
      <w:r w:rsidRPr="00C97A20">
        <w:t>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10EBE" w:rsidRDefault="00310EBE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613721">
        <w:t>il</w:t>
      </w:r>
      <w:r w:rsidRPr="00C97A2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F0C32" w:rsidRDefault="00613721" w:rsidP="00AF0C32">
      <w:pPr>
        <w:spacing w:after="0" w:line="240" w:lineRule="auto"/>
        <w:jc w:val="both"/>
      </w:pPr>
      <w:proofErr w:type="spellStart"/>
      <w:r>
        <w:t>Gosuran</w:t>
      </w:r>
      <w:proofErr w:type="spellEnd"/>
      <w:r w:rsidR="00AF0C32" w:rsidRPr="00C97A20">
        <w:t xml:space="preserve"> è confezionato in blister </w:t>
      </w:r>
      <w:r w:rsidR="00222744">
        <w:t xml:space="preserve">di </w:t>
      </w:r>
      <w:r w:rsidRPr="00A7500F">
        <w:t>PVC/PE/PVDC/allumino</w:t>
      </w:r>
      <w:r w:rsidR="00AF0C32" w:rsidRPr="00C97A20">
        <w:t>. Sono state fornite specifiche e certificati analitici per tutti i componenti del confezionamento primario, che è adeguato per il medicinale.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613721">
        <w:t>4</w:t>
      </w:r>
      <w:r>
        <w:t xml:space="preserve"> </w:t>
      </w:r>
      <w:r w:rsidR="00613721">
        <w:t xml:space="preserve">anni </w:t>
      </w:r>
      <w:r w:rsidR="00A70881">
        <w:t>con</w:t>
      </w:r>
      <w:r w:rsidR="00613721">
        <w:t xml:space="preserve"> conservazione nella confezion</w:t>
      </w:r>
      <w:r w:rsidR="00A70881">
        <w:t>e</w:t>
      </w:r>
      <w:r w:rsidR="00613721">
        <w:t xml:space="preserve"> originale per tener</w:t>
      </w:r>
      <w:r w:rsidR="00A70881">
        <w:t>e il medicinale</w:t>
      </w:r>
      <w:r w:rsidR="00613721">
        <w:t xml:space="preserve"> al riparo dall’umidità.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DF7B22" w:rsidRDefault="00AF0C32" w:rsidP="00AF0C3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222744" w:rsidRDefault="00AF0C32" w:rsidP="00AF0C3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BF31FB">
        <w:t>Gosuran</w:t>
      </w:r>
      <w:proofErr w:type="spellEnd"/>
      <w:r>
        <w:t xml:space="preserve"> è considerata adeguata. </w:t>
      </w:r>
    </w:p>
    <w:p w:rsidR="00AF0C32" w:rsidRDefault="00AF0C32" w:rsidP="00AF0C32">
      <w:pPr>
        <w:spacing w:after="0" w:line="240" w:lineRule="auto"/>
        <w:jc w:val="both"/>
      </w:pPr>
      <w:r>
        <w:t xml:space="preserve">Non ci sono obiezioni per l’approvazione di </w:t>
      </w:r>
      <w:proofErr w:type="spellStart"/>
      <w:r w:rsidR="00BF31FB">
        <w:t>Gosuran</w:t>
      </w:r>
      <w:proofErr w:type="spellEnd"/>
      <w:r>
        <w:t xml:space="preserve"> dal punto di vista chimico-farmaceutico.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DF7B22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F0C32" w:rsidRDefault="00AF0C32" w:rsidP="00AF0C3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BF31FB">
        <w:t>Gosuran</w:t>
      </w:r>
      <w:proofErr w:type="spellEnd"/>
      <w:r>
        <w:t xml:space="preserve"> contiene un principio attivo noto: questo approccio è accettabile poiché il medicinale di riferimento </w:t>
      </w:r>
      <w:proofErr w:type="spellStart"/>
      <w:r w:rsidR="00BF31FB">
        <w:t>Femara</w:t>
      </w:r>
      <w:proofErr w:type="spellEnd"/>
      <w:r>
        <w:t xml:space="preserve"> è autorizzato in Italia da oltre 10 anni.</w:t>
      </w:r>
    </w:p>
    <w:p w:rsidR="00AF0C32" w:rsidRDefault="00AF0C32" w:rsidP="00AF0C32">
      <w:pPr>
        <w:spacing w:after="0" w:line="240" w:lineRule="auto"/>
        <w:jc w:val="both"/>
      </w:pPr>
      <w:r>
        <w:t>Non ci sono obiezioni per l’approvazione dal punto di vista non clinico.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5A38F5" w:rsidRDefault="00AF0C32" w:rsidP="00222744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941200" w:rsidRPr="00941200" w:rsidRDefault="00BF31FB" w:rsidP="00941200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Gosuran</w:t>
      </w:r>
      <w:proofErr w:type="spellEnd"/>
      <w:r w:rsidR="00222744" w:rsidRPr="00941200">
        <w:rPr>
          <w:rFonts w:eastAsia="Calibri" w:cs="Calibri"/>
          <w:color w:val="000000"/>
          <w:lang w:eastAsia="it-IT"/>
        </w:rPr>
        <w:t xml:space="preserve"> si usa per</w:t>
      </w:r>
      <w:r>
        <w:rPr>
          <w:rFonts w:eastAsia="Calibri" w:cs="Calibri"/>
          <w:color w:val="000000"/>
          <w:lang w:eastAsia="it-IT"/>
        </w:rPr>
        <w:t xml:space="preserve"> il</w:t>
      </w:r>
    </w:p>
    <w:p w:rsidR="00BF31FB" w:rsidRPr="00E2681C" w:rsidRDefault="00BF31FB" w:rsidP="00BF31FB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adiuvante del carcinoma mammario invasivo in fase precoce in donne in </w:t>
      </w:r>
      <w:proofErr w:type="spellStart"/>
      <w:r w:rsidRPr="00E2681C">
        <w:t>postmenopausa</w:t>
      </w:r>
      <w:proofErr w:type="spellEnd"/>
      <w:r w:rsidRPr="00E2681C">
        <w:t xml:space="preserve"> con stato recettoriale ormonale positivo</w:t>
      </w:r>
      <w:r>
        <w:t>;</w:t>
      </w:r>
    </w:p>
    <w:p w:rsidR="00BF31FB" w:rsidRPr="00E2681C" w:rsidRDefault="00BF31FB" w:rsidP="00BF31FB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adiuvante del carcinoma mammario </w:t>
      </w:r>
      <w:proofErr w:type="spellStart"/>
      <w:r w:rsidRPr="00E2681C">
        <w:t>ormonosensibile</w:t>
      </w:r>
      <w:proofErr w:type="spellEnd"/>
      <w:r w:rsidRPr="00E2681C">
        <w:t xml:space="preserve"> invasivo in donne in </w:t>
      </w:r>
      <w:proofErr w:type="spellStart"/>
      <w:r w:rsidRPr="00E2681C">
        <w:t>postmenopausa</w:t>
      </w:r>
      <w:proofErr w:type="spellEnd"/>
      <w:r w:rsidRPr="00E2681C">
        <w:t xml:space="preserve"> dopo trattamento adiuvante standard con </w:t>
      </w:r>
      <w:proofErr w:type="spellStart"/>
      <w:r w:rsidRPr="00E2681C">
        <w:t>tamoxifene</w:t>
      </w:r>
      <w:proofErr w:type="spellEnd"/>
      <w:r w:rsidRPr="00E2681C">
        <w:t xml:space="preserve"> della durata di 5 anni.</w:t>
      </w:r>
    </w:p>
    <w:p w:rsidR="00BF31FB" w:rsidRPr="00E2681C" w:rsidRDefault="00BF31FB" w:rsidP="00BF31FB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 w:rsidRPr="00E2681C">
        <w:t xml:space="preserve">Trattamento di prima linea del carcinoma mammario </w:t>
      </w:r>
      <w:proofErr w:type="spellStart"/>
      <w:r w:rsidRPr="00E2681C">
        <w:t>ormonosensibile</w:t>
      </w:r>
      <w:proofErr w:type="spellEnd"/>
      <w:r w:rsidRPr="00E2681C">
        <w:t xml:space="preserve">, in fase avanzata, in donne in </w:t>
      </w:r>
      <w:proofErr w:type="spellStart"/>
      <w:r w:rsidRPr="00E2681C">
        <w:t>postmenopausa</w:t>
      </w:r>
      <w:proofErr w:type="spellEnd"/>
      <w:r>
        <w:t>;</w:t>
      </w:r>
    </w:p>
    <w:p w:rsidR="00BF31FB" w:rsidRPr="00E2681C" w:rsidRDefault="00BF31FB" w:rsidP="00BF31FB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del carcinoma mammario in fase avanzata in donne in </w:t>
      </w:r>
      <w:proofErr w:type="spellStart"/>
      <w:r w:rsidRPr="00E2681C">
        <w:t>postmenopausa</w:t>
      </w:r>
      <w:proofErr w:type="spellEnd"/>
      <w:r w:rsidRPr="00E2681C">
        <w:t xml:space="preserve"> naturale o artificialmente indotta, dopo ripresa o progressione della malattia che siano state trattate in precedenza con antiestrogeni</w:t>
      </w:r>
      <w:r>
        <w:t>;</w:t>
      </w:r>
    </w:p>
    <w:p w:rsidR="00BF31FB" w:rsidRPr="00E2681C" w:rsidRDefault="00BF31FB" w:rsidP="00BF31FB">
      <w:pPr>
        <w:widowControl w:val="0"/>
        <w:numPr>
          <w:ilvl w:val="3"/>
          <w:numId w:val="8"/>
        </w:numPr>
        <w:tabs>
          <w:tab w:val="clear" w:pos="2880"/>
        </w:tabs>
        <w:spacing w:after="0" w:line="240" w:lineRule="auto"/>
        <w:ind w:left="567" w:hanging="567"/>
        <w:jc w:val="both"/>
      </w:pPr>
      <w:r>
        <w:t>t</w:t>
      </w:r>
      <w:r w:rsidRPr="00E2681C">
        <w:t xml:space="preserve">rattamento neoadiuvante in donne in </w:t>
      </w:r>
      <w:proofErr w:type="spellStart"/>
      <w:r w:rsidRPr="00E2681C">
        <w:t>postmenopausa</w:t>
      </w:r>
      <w:proofErr w:type="spellEnd"/>
      <w:r w:rsidRPr="00E2681C">
        <w:t xml:space="preserve"> con carcinoma mammario con stato recettoriale ormonale positivo, HER-2 negativo in cui la chemioterapia non è possibile e un immediato intervento chirurgico non è indicato.</w:t>
      </w:r>
    </w:p>
    <w:p w:rsidR="00BF31FB" w:rsidRPr="00E2681C" w:rsidRDefault="00BF31FB" w:rsidP="00BF31FB">
      <w:pPr>
        <w:pStyle w:val="Text"/>
        <w:widowControl w:val="0"/>
        <w:spacing w:before="0"/>
        <w:jc w:val="left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E2681C">
        <w:rPr>
          <w:rFonts w:asciiTheme="minorHAnsi" w:eastAsiaTheme="minorHAnsi" w:hAnsiTheme="minorHAnsi" w:cstheme="minorBidi"/>
          <w:sz w:val="22"/>
          <w:szCs w:val="22"/>
          <w:lang w:val="it-IT"/>
        </w:rPr>
        <w:lastRenderedPageBreak/>
        <w:t>L’efficacia non è stata dimostrata in pazienti con stato recettoriale ormonale negativo.</w:t>
      </w:r>
    </w:p>
    <w:p w:rsidR="00222744" w:rsidRPr="008312BA" w:rsidRDefault="00222744" w:rsidP="00222744">
      <w:pPr>
        <w:spacing w:after="0" w:line="240" w:lineRule="auto"/>
      </w:pPr>
    </w:p>
    <w:p w:rsidR="00AF0C32" w:rsidRPr="002B6D26" w:rsidRDefault="00AF0C32" w:rsidP="00222744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F0C32" w:rsidRDefault="00AF0C32" w:rsidP="0022274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F0C32" w:rsidRDefault="00AF0C32" w:rsidP="0022274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F0C32" w:rsidRPr="002B6D26" w:rsidRDefault="00AF0C32" w:rsidP="0022274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F0C32" w:rsidRDefault="00AF0C32" w:rsidP="0022274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BF31FB">
        <w:t>letrozolo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F0C32" w:rsidRDefault="00AF0C32" w:rsidP="0022274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F0C32" w:rsidRPr="006556D6" w:rsidRDefault="00AF0C32" w:rsidP="0022274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F0C32" w:rsidRDefault="00AF0C32" w:rsidP="00222744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BF31FB">
        <w:t>letrozolo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BF31FB">
        <w:t>Gosuran</w:t>
      </w:r>
      <w:proofErr w:type="spellEnd"/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BF31FB">
        <w:t>Femara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0C3112" w:rsidRDefault="000C3112" w:rsidP="00AF0C32">
      <w:pPr>
        <w:spacing w:after="0" w:line="240" w:lineRule="auto"/>
        <w:jc w:val="both"/>
      </w:pPr>
    </w:p>
    <w:p w:rsidR="00AF0C32" w:rsidRPr="006556D6" w:rsidRDefault="00AF0C32" w:rsidP="00AF0C3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0C3112" w:rsidRPr="00FD04D4" w:rsidRDefault="000C3112" w:rsidP="000C3112">
      <w:pPr>
        <w:spacing w:after="0" w:line="240" w:lineRule="auto"/>
        <w:jc w:val="both"/>
      </w:pPr>
      <w:r w:rsidRPr="00FD04D4">
        <w:t xml:space="preserve">La richiesta di AIC è supportata da uno studio di bioequivalenza che ha confrontato i profili farmacocinetici di </w:t>
      </w:r>
      <w:proofErr w:type="spellStart"/>
      <w:r w:rsidR="00BF31FB">
        <w:t>Gosuran</w:t>
      </w:r>
      <w:proofErr w:type="spellEnd"/>
      <w:r w:rsidRPr="00FD04D4">
        <w:t xml:space="preserve"> e quelli del medicinale di riferimento </w:t>
      </w:r>
      <w:proofErr w:type="spellStart"/>
      <w:r w:rsidR="00BF31FB">
        <w:t>Femara</w:t>
      </w:r>
      <w:proofErr w:type="spellEnd"/>
      <w:r w:rsidRPr="00FD04D4">
        <w:t>.</w:t>
      </w: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</w:pPr>
      <w:r w:rsidRPr="00FD04D4">
        <w:t>Lo studio era caratterizzato da un appropriato disegno ed è stato condotto in accordo ai principi GCP. Sono stati forniti certificati analitici per medicinale test e medicinale di riferimento.</w:t>
      </w:r>
    </w:p>
    <w:p w:rsidR="000C3112" w:rsidRPr="00FD04D4" w:rsidRDefault="000C3112" w:rsidP="000C3112">
      <w:pPr>
        <w:spacing w:after="0" w:line="240" w:lineRule="auto"/>
        <w:jc w:val="both"/>
        <w:rPr>
          <w:rFonts w:ascii="Calibri" w:hAnsi="Calibri" w:cs="Arial"/>
        </w:rPr>
      </w:pPr>
      <w:r w:rsidRPr="00FD04D4">
        <w:rPr>
          <w:rFonts w:ascii="Calibri" w:hAnsi="Calibri"/>
        </w:rPr>
        <w:t xml:space="preserve">Lo studio di bioequivalenza è uno studio comparativo, controllato,  randomizzato, a dose singola, 2-periodi, crossover condotto in </w:t>
      </w:r>
      <w:r w:rsidR="00BF31FB">
        <w:rPr>
          <w:rFonts w:ascii="Calibri" w:hAnsi="Calibri"/>
        </w:rPr>
        <w:t>22</w:t>
      </w:r>
      <w:r w:rsidRPr="00FD04D4">
        <w:rPr>
          <w:rFonts w:ascii="Calibri" w:hAnsi="Calibri"/>
        </w:rPr>
        <w:t xml:space="preserve"> </w:t>
      </w:r>
      <w:r w:rsidR="00BF31FB">
        <w:rPr>
          <w:rFonts w:ascii="Calibri" w:hAnsi="Calibri"/>
        </w:rPr>
        <w:t>donne sane in menopausa</w:t>
      </w:r>
      <w:r w:rsidRPr="00FD04D4">
        <w:rPr>
          <w:rFonts w:ascii="Calibri" w:hAnsi="Calibri"/>
        </w:rPr>
        <w:t xml:space="preserve"> con somministrazione a digiuno. </w:t>
      </w:r>
      <w:r w:rsidRPr="00FD04D4">
        <w:rPr>
          <w:rFonts w:ascii="Calibri" w:hAnsi="Calibri" w:cs="Arial"/>
        </w:rPr>
        <w:t>Dopo una notte di digiuno,</w:t>
      </w:r>
      <w:r w:rsidRPr="00FD04D4">
        <w:t xml:space="preserve"> le compresse del medicinale test e del medicinale di riferimento sono state somministrate con un po’ di acqua.</w:t>
      </w:r>
      <w:r w:rsidRPr="00FD04D4">
        <w:rPr>
          <w:rFonts w:ascii="Calibri" w:hAnsi="Calibri"/>
        </w:rPr>
        <w:t xml:space="preserve"> Un soddisfacente periodo di wash-out di </w:t>
      </w:r>
      <w:r w:rsidRPr="00FD04D4">
        <w:rPr>
          <w:rFonts w:ascii="Calibri" w:hAnsi="Calibri" w:cs="Arial"/>
        </w:rPr>
        <w:t>21 giorni è stato previsto tra le somministrazioni in ogni gruppo.</w:t>
      </w: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D04D4">
        <w:rPr>
          <w:rFonts w:ascii="Calibri" w:hAnsi="Calibri" w:cs="Arial"/>
        </w:rPr>
        <w:t>Campioni di sangue sono stati prelevati al tempo zero (</w:t>
      </w:r>
      <w:proofErr w:type="spellStart"/>
      <w:r w:rsidRPr="00FD04D4">
        <w:rPr>
          <w:rFonts w:ascii="Calibri" w:hAnsi="Calibri" w:cs="Arial"/>
        </w:rPr>
        <w:t>pre-dose</w:t>
      </w:r>
      <w:proofErr w:type="spellEnd"/>
      <w:r w:rsidRPr="00FD04D4">
        <w:rPr>
          <w:rFonts w:ascii="Calibri" w:hAnsi="Calibri" w:cs="Arial"/>
        </w:rPr>
        <w:t xml:space="preserve">) e a specificati tempi fino a </w:t>
      </w:r>
      <w:r w:rsidR="00BF31FB">
        <w:rPr>
          <w:rFonts w:ascii="Calibri" w:hAnsi="Calibri" w:cs="Arial"/>
        </w:rPr>
        <w:t>240</w:t>
      </w:r>
      <w:r w:rsidRPr="00FD04D4">
        <w:rPr>
          <w:rFonts w:ascii="Calibri" w:hAnsi="Calibri"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D04D4">
        <w:rPr>
          <w:rFonts w:ascii="Calibri" w:hAnsi="Calibri" w:cs="Arial"/>
        </w:rPr>
        <w:t xml:space="preserve">Le variabili farmacocinetiche definite per i lo studio sono state: </w:t>
      </w:r>
      <w:r w:rsidR="00BF31FB" w:rsidRPr="00BF31FB">
        <w:rPr>
          <w:rFonts w:ascii="Calibri" w:hAnsi="Calibri" w:cs="Arial"/>
        </w:rPr>
        <w:t>AUC</w:t>
      </w:r>
      <w:r w:rsidR="00BF31FB" w:rsidRPr="00BF31FB">
        <w:rPr>
          <w:rFonts w:ascii="Calibri" w:hAnsi="Calibri" w:cs="Arial"/>
          <w:vertAlign w:val="subscript"/>
        </w:rPr>
        <w:t>0-t</w:t>
      </w:r>
      <w:r w:rsidR="00BF31FB" w:rsidRPr="00BF31FB">
        <w:rPr>
          <w:rFonts w:ascii="Calibri" w:hAnsi="Calibri" w:cs="Arial"/>
        </w:rPr>
        <w:t>, AUC</w:t>
      </w:r>
      <w:r w:rsidR="00BF31FB" w:rsidRPr="00BF31FB">
        <w:rPr>
          <w:rFonts w:ascii="Calibri" w:hAnsi="Calibri" w:cs="Arial"/>
          <w:vertAlign w:val="subscript"/>
        </w:rPr>
        <w:t>0-inf</w:t>
      </w:r>
      <w:r w:rsidR="00BF31FB" w:rsidRPr="00BF31FB">
        <w:rPr>
          <w:rFonts w:ascii="Calibri" w:hAnsi="Calibri" w:cs="Arial"/>
        </w:rPr>
        <w:t xml:space="preserve">, </w:t>
      </w:r>
      <w:proofErr w:type="spellStart"/>
      <w:r w:rsidR="00BF31FB" w:rsidRPr="00BF31FB">
        <w:rPr>
          <w:rFonts w:ascii="Calibri" w:hAnsi="Calibri" w:cs="Arial"/>
        </w:rPr>
        <w:t>C</w:t>
      </w:r>
      <w:r w:rsidR="00BF31FB" w:rsidRPr="00BF31FB">
        <w:rPr>
          <w:rFonts w:ascii="Calibri" w:hAnsi="Calibri" w:cs="Arial"/>
          <w:vertAlign w:val="subscript"/>
        </w:rPr>
        <w:t>max</w:t>
      </w:r>
      <w:proofErr w:type="spellEnd"/>
      <w:r w:rsidR="00BF31FB" w:rsidRPr="00BF31FB">
        <w:rPr>
          <w:rFonts w:ascii="Calibri" w:hAnsi="Calibri" w:cs="Arial"/>
        </w:rPr>
        <w:t xml:space="preserve">, </w:t>
      </w:r>
      <w:proofErr w:type="spellStart"/>
      <w:r w:rsidR="00BF31FB" w:rsidRPr="00BF31FB">
        <w:rPr>
          <w:rFonts w:ascii="Calibri" w:hAnsi="Calibri" w:cs="Arial"/>
        </w:rPr>
        <w:t>residual</w:t>
      </w:r>
      <w:proofErr w:type="spellEnd"/>
      <w:r w:rsidR="00BF31FB" w:rsidRPr="00BF31FB">
        <w:rPr>
          <w:rFonts w:ascii="Calibri" w:hAnsi="Calibri" w:cs="Arial"/>
        </w:rPr>
        <w:t xml:space="preserve"> area, </w:t>
      </w:r>
      <w:proofErr w:type="spellStart"/>
      <w:r w:rsidR="00BF31FB" w:rsidRPr="00BF31FB">
        <w:rPr>
          <w:rFonts w:ascii="Calibri" w:hAnsi="Calibri" w:cs="Arial"/>
        </w:rPr>
        <w:t>T</w:t>
      </w:r>
      <w:r w:rsidR="00BF31FB" w:rsidRPr="00BF31FB">
        <w:rPr>
          <w:rFonts w:ascii="Calibri" w:hAnsi="Calibri" w:cs="Arial"/>
          <w:vertAlign w:val="subscript"/>
        </w:rPr>
        <w:t>max</w:t>
      </w:r>
      <w:proofErr w:type="spellEnd"/>
      <w:r w:rsidR="00BF31FB" w:rsidRPr="00BF31FB">
        <w:rPr>
          <w:rFonts w:ascii="Calibri" w:hAnsi="Calibri" w:cs="Arial"/>
        </w:rPr>
        <w:t xml:space="preserve">, </w:t>
      </w:r>
      <w:proofErr w:type="spellStart"/>
      <w:r w:rsidR="00BF31FB" w:rsidRPr="00BF31FB">
        <w:rPr>
          <w:rFonts w:ascii="Calibri" w:hAnsi="Calibri" w:cs="Arial"/>
        </w:rPr>
        <w:t>K</w:t>
      </w:r>
      <w:r w:rsidR="00BF31FB" w:rsidRPr="00BF31FB">
        <w:rPr>
          <w:rFonts w:ascii="Calibri" w:hAnsi="Calibri" w:cs="Arial"/>
          <w:vertAlign w:val="subscript"/>
        </w:rPr>
        <w:t>el</w:t>
      </w:r>
      <w:proofErr w:type="spellEnd"/>
      <w:r w:rsidR="00BF31FB" w:rsidRPr="00BF31FB">
        <w:rPr>
          <w:rFonts w:ascii="Calibri" w:hAnsi="Calibri" w:cs="Arial"/>
        </w:rPr>
        <w:t xml:space="preserve"> and T</w:t>
      </w:r>
      <w:r w:rsidR="00BF31FB" w:rsidRPr="00BF31FB">
        <w:rPr>
          <w:rFonts w:ascii="Calibri" w:hAnsi="Calibri" w:cs="Arial"/>
          <w:vertAlign w:val="subscript"/>
        </w:rPr>
        <w:t>1/2el</w:t>
      </w:r>
      <w:r w:rsidRPr="00FD04D4">
        <w:rPr>
          <w:rFonts w:ascii="Calibri" w:hAnsi="Calibri" w:cs="Arial"/>
        </w:rPr>
        <w:t xml:space="preserve">. La bioequivalenza tra medicinale test e medicinale di riferimento è dimostrata se gli intervalli di confidenza al 90% per la trasformata logaritmica di  </w:t>
      </w:r>
      <w:proofErr w:type="spellStart"/>
      <w:r w:rsidRPr="00FD04D4">
        <w:rPr>
          <w:rFonts w:ascii="Calibri" w:hAnsi="Calibri" w:cs="Arial"/>
        </w:rPr>
        <w:t>C</w:t>
      </w:r>
      <w:r w:rsidRPr="00FD04D4">
        <w:rPr>
          <w:rFonts w:ascii="Calibri" w:hAnsi="Calibri" w:cs="Arial"/>
          <w:vertAlign w:val="subscript"/>
        </w:rPr>
        <w:t>max</w:t>
      </w:r>
      <w:r w:rsidRPr="00FD04D4">
        <w:rPr>
          <w:rFonts w:ascii="Calibri" w:hAnsi="Calibri" w:cs="Arial"/>
        </w:rPr>
        <w:t>e</w:t>
      </w:r>
      <w:proofErr w:type="spellEnd"/>
      <w:r w:rsidRPr="00FD04D4">
        <w:rPr>
          <w:rFonts w:ascii="Calibri" w:hAnsi="Calibri" w:cs="Arial"/>
        </w:rPr>
        <w:t xml:space="preserve"> AUC</w:t>
      </w:r>
      <w:r w:rsidRPr="00FD04D4">
        <w:rPr>
          <w:rFonts w:ascii="Calibri" w:hAnsi="Calibri" w:cs="Arial"/>
          <w:vertAlign w:val="subscript"/>
        </w:rPr>
        <w:t>0-t</w:t>
      </w:r>
      <w:r w:rsidRPr="00FD04D4">
        <w:rPr>
          <w:rFonts w:ascii="Calibri" w:hAnsi="Calibri" w:cs="Arial"/>
        </w:rPr>
        <w:t xml:space="preserve">,, cadono nel </w:t>
      </w:r>
      <w:proofErr w:type="spellStart"/>
      <w:r w:rsidRPr="00FD04D4">
        <w:rPr>
          <w:rFonts w:ascii="Calibri" w:hAnsi="Calibri" w:cs="Arial"/>
        </w:rPr>
        <w:t>range</w:t>
      </w:r>
      <w:proofErr w:type="spellEnd"/>
      <w:r w:rsidRPr="00FD04D4">
        <w:rPr>
          <w:rFonts w:ascii="Calibri" w:hAnsi="Calibri" w:cs="Arial"/>
        </w:rPr>
        <w:t xml:space="preserve"> di accettabilità di 0.80-1.25 (80%-125%).</w:t>
      </w: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</w:pP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D04D4">
        <w:rPr>
          <w:u w:val="single"/>
        </w:rPr>
        <w:t>Risultati</w:t>
      </w:r>
    </w:p>
    <w:p w:rsidR="000C3112" w:rsidRPr="00FD04D4" w:rsidRDefault="00BF31FB" w:rsidP="000C3112">
      <w:pPr>
        <w:spacing w:after="0" w:line="240" w:lineRule="auto"/>
        <w:jc w:val="both"/>
      </w:pPr>
      <w:r>
        <w:rPr>
          <w:rFonts w:ascii="Calibri" w:hAnsi="Calibri" w:cs="Arial"/>
        </w:rPr>
        <w:t>22</w:t>
      </w:r>
      <w:r w:rsidR="000C3112" w:rsidRPr="00FD04D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donne sane in menopausa sono state arruolate</w:t>
      </w:r>
      <w:r w:rsidR="000C3112" w:rsidRPr="00FD04D4">
        <w:rPr>
          <w:rFonts w:ascii="Calibri" w:hAnsi="Calibri" w:cs="Arial"/>
        </w:rPr>
        <w:t xml:space="preserve"> nello studio</w:t>
      </w:r>
      <w:r>
        <w:rPr>
          <w:rFonts w:ascii="Calibri" w:hAnsi="Calibri" w:cs="Arial"/>
        </w:rPr>
        <w:t>,</w:t>
      </w:r>
      <w:r w:rsidR="00FD04D4" w:rsidRPr="00FD04D4">
        <w:rPr>
          <w:rFonts w:ascii="Calibri" w:hAnsi="Calibri" w:cs="Arial"/>
        </w:rPr>
        <w:t xml:space="preserve"> </w:t>
      </w:r>
      <w:r w:rsidRPr="00BF31FB">
        <w:t xml:space="preserve">di cui due si sono ritirate dopo </w:t>
      </w:r>
      <w:r>
        <w:t>il primo periodo di trattamento;</w:t>
      </w:r>
      <w:r w:rsidRPr="00BF31FB">
        <w:t xml:space="preserve"> </w:t>
      </w:r>
      <w:r>
        <w:t>pertanto sono stati</w:t>
      </w:r>
      <w:r w:rsidRPr="00BF31FB">
        <w:t xml:space="preserve"> inclusi nell’analisi farmacocinetica e statistica i dati provenienti da 20 donne.</w:t>
      </w:r>
    </w:p>
    <w:p w:rsidR="000C3112" w:rsidRPr="00FD04D4" w:rsidRDefault="000C3112" w:rsidP="000C3112">
      <w:pPr>
        <w:pStyle w:val="Paragrafoelenco"/>
        <w:spacing w:after="0" w:line="240" w:lineRule="auto"/>
        <w:ind w:left="0"/>
        <w:jc w:val="both"/>
        <w:rPr>
          <w:rFonts w:ascii="Calibri" w:hAnsi="Calibri" w:cs="Arial"/>
          <w:b/>
          <w:i/>
        </w:rPr>
      </w:pPr>
    </w:p>
    <w:p w:rsidR="000C3112" w:rsidRPr="00FD04D4" w:rsidRDefault="000C3112" w:rsidP="000C311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D04D4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4A7BCC" w:rsidRPr="004A7BCC" w:rsidRDefault="004A7BCC" w:rsidP="004A7BCC">
      <w:pPr>
        <w:spacing w:after="0" w:line="240" w:lineRule="auto"/>
        <w:rPr>
          <w:rFonts w:ascii="Calibri" w:hAnsi="Calibri" w:cs="Arial"/>
        </w:rPr>
      </w:pPr>
      <w:r w:rsidRPr="004A7BCC">
        <w:rPr>
          <w:rFonts w:ascii="Calibri" w:hAnsi="Calibri" w:cs="Arial"/>
        </w:rPr>
        <w:t xml:space="preserve">Un totale di 35 eventi avversi </w:t>
      </w:r>
      <w:r w:rsidR="00376E3D">
        <w:rPr>
          <w:rFonts w:ascii="Calibri" w:hAnsi="Calibri" w:cs="Arial"/>
        </w:rPr>
        <w:t>comparivano in 15 delle</w:t>
      </w:r>
      <w:r w:rsidRPr="004A7BCC">
        <w:rPr>
          <w:rFonts w:ascii="Calibri" w:hAnsi="Calibri" w:cs="Arial"/>
        </w:rPr>
        <w:t xml:space="preserve"> 22 </w:t>
      </w:r>
      <w:r w:rsidR="00376E3D">
        <w:rPr>
          <w:rFonts w:ascii="Calibri" w:hAnsi="Calibri" w:cs="Arial"/>
        </w:rPr>
        <w:t>donne</w:t>
      </w:r>
      <w:r w:rsidRPr="004A7BCC">
        <w:rPr>
          <w:rFonts w:ascii="Calibri" w:hAnsi="Calibri" w:cs="Arial"/>
        </w:rPr>
        <w:t xml:space="preserve"> che avevano ricevuto almeno una dose dei trattamenti in studio. Di questi, 29 erano stati classificati come lievi e 5 come moderati. La gravità di un evento avverso è stata definita non nota.</w:t>
      </w:r>
    </w:p>
    <w:p w:rsidR="000C3112" w:rsidRPr="00FD04D4" w:rsidRDefault="000C3112" w:rsidP="000C3112">
      <w:pPr>
        <w:spacing w:after="0" w:line="240" w:lineRule="auto"/>
      </w:pPr>
    </w:p>
    <w:p w:rsidR="000C3112" w:rsidRPr="00FD04D4" w:rsidRDefault="000C3112" w:rsidP="000C3112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D04D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</w:p>
    <w:p w:rsidR="000C3112" w:rsidRPr="00FD04D4" w:rsidRDefault="000C3112" w:rsidP="000C3112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D04D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E4554" w:rsidRPr="00FD04D4" w:rsidRDefault="00EE4554" w:rsidP="000C3112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0C3112" w:rsidRPr="00FD04D4" w:rsidTr="0031066C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2" w:rsidRPr="00FD04D4" w:rsidRDefault="004A7BCC" w:rsidP="0031066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LETROZOLO</w:t>
            </w:r>
          </w:p>
        </w:tc>
      </w:tr>
      <w:tr w:rsidR="000C3112" w:rsidRPr="00FD04D4" w:rsidTr="0031066C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0C3112" w:rsidP="0031066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FD04D4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0C3112" w:rsidP="0031066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D04D4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FD04D4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0C3112" w:rsidP="0031066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D04D4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0C3112" w:rsidRPr="00FD04D4" w:rsidTr="0031066C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0C3112" w:rsidP="0031066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D04D4">
              <w:rPr>
                <w:b/>
                <w:sz w:val="20"/>
                <w:szCs w:val="20"/>
              </w:rPr>
              <w:t>AUC</w:t>
            </w:r>
            <w:r w:rsidRPr="00FD04D4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4A7BCC" w:rsidP="0031066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A7BCC">
              <w:rPr>
                <w:rFonts w:cs="Helvetica"/>
                <w:sz w:val="20"/>
                <w:szCs w:val="20"/>
                <w:lang w:val="nl-NL"/>
              </w:rPr>
              <w:t>99.2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4A7BCC" w:rsidP="0031066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A7BCC">
              <w:rPr>
                <w:rFonts w:cs="Helvetica"/>
                <w:sz w:val="20"/>
                <w:szCs w:val="20"/>
                <w:lang w:val="nl-NL"/>
              </w:rPr>
              <w:t>97 - 101.4</w:t>
            </w:r>
          </w:p>
        </w:tc>
      </w:tr>
      <w:tr w:rsidR="000C3112" w:rsidRPr="00FD04D4" w:rsidTr="0031066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0C3112" w:rsidP="0031066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D04D4">
              <w:rPr>
                <w:b/>
                <w:sz w:val="20"/>
                <w:szCs w:val="20"/>
              </w:rPr>
              <w:t>C</w:t>
            </w:r>
            <w:r w:rsidRPr="00FD04D4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4A7BCC" w:rsidP="0031066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A7BCC">
              <w:rPr>
                <w:rFonts w:cs="Helvetica"/>
                <w:sz w:val="20"/>
                <w:szCs w:val="20"/>
                <w:lang w:val="nl-NL"/>
              </w:rPr>
              <w:t>97.5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112" w:rsidRPr="00FD04D4" w:rsidRDefault="004A7BCC" w:rsidP="0031066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A7BCC">
              <w:rPr>
                <w:rFonts w:cs="Helvetica"/>
                <w:sz w:val="20"/>
                <w:szCs w:val="20"/>
                <w:lang w:val="nl-NL"/>
              </w:rPr>
              <w:t>88.4 - 107.6</w:t>
            </w:r>
          </w:p>
        </w:tc>
      </w:tr>
    </w:tbl>
    <w:p w:rsidR="000C3112" w:rsidRDefault="000C3112" w:rsidP="000C3112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A70881" w:rsidRDefault="00A70881" w:rsidP="00AF0C32">
      <w:pPr>
        <w:spacing w:after="0" w:line="240" w:lineRule="auto"/>
        <w:rPr>
          <w:rFonts w:cs="Arial"/>
          <w:i/>
        </w:rPr>
      </w:pPr>
    </w:p>
    <w:p w:rsidR="00AF0C32" w:rsidRPr="00FD04D4" w:rsidRDefault="00AF0C32" w:rsidP="00AF0C32">
      <w:pPr>
        <w:spacing w:after="0" w:line="240" w:lineRule="auto"/>
        <w:rPr>
          <w:rFonts w:cs="Arial"/>
        </w:rPr>
      </w:pPr>
      <w:r w:rsidRPr="00FD04D4">
        <w:rPr>
          <w:rFonts w:cs="Arial"/>
          <w:i/>
        </w:rPr>
        <w:lastRenderedPageBreak/>
        <w:t>Conclusioni sulla bioequivalenza</w:t>
      </w:r>
    </w:p>
    <w:p w:rsidR="00AF0C32" w:rsidRPr="00FD04D4" w:rsidRDefault="00AF0C32" w:rsidP="00AF0C32">
      <w:pPr>
        <w:spacing w:after="0" w:line="240" w:lineRule="auto"/>
        <w:jc w:val="both"/>
        <w:rPr>
          <w:rFonts w:cs="Arial"/>
        </w:rPr>
      </w:pPr>
      <w:r w:rsidRPr="00FD04D4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FD04D4">
        <w:rPr>
          <w:rFonts w:cs="Arial"/>
        </w:rPr>
        <w:t>range</w:t>
      </w:r>
      <w:proofErr w:type="spellEnd"/>
      <w:r w:rsidRPr="00FD04D4">
        <w:rPr>
          <w:rFonts w:cs="Arial"/>
        </w:rPr>
        <w:t xml:space="preserve"> di accettabilità di 80-125%, in accordo con le linee guida correnti.</w:t>
      </w:r>
    </w:p>
    <w:p w:rsidR="00AF0C32" w:rsidRPr="00FD04D4" w:rsidRDefault="00AF0C32" w:rsidP="00AF0C32">
      <w:pPr>
        <w:spacing w:after="0" w:line="240" w:lineRule="auto"/>
        <w:jc w:val="both"/>
        <w:rPr>
          <w:rFonts w:cs="Arial"/>
        </w:rPr>
      </w:pPr>
    </w:p>
    <w:p w:rsidR="00AF0C32" w:rsidRPr="00FD04D4" w:rsidRDefault="00AF0C32" w:rsidP="00AF0C32">
      <w:pPr>
        <w:spacing w:after="0" w:line="240" w:lineRule="auto"/>
        <w:jc w:val="both"/>
        <w:rPr>
          <w:rFonts w:cs="Arial"/>
          <w:b/>
        </w:rPr>
      </w:pPr>
      <w:r w:rsidRPr="00FD04D4">
        <w:rPr>
          <w:rFonts w:cs="Arial"/>
          <w:b/>
        </w:rPr>
        <w:t>Efficacia e sicurezza clinica</w:t>
      </w:r>
    </w:p>
    <w:p w:rsidR="00AF0C32" w:rsidRPr="00FD04D4" w:rsidRDefault="00AF0C32" w:rsidP="00AF0C32">
      <w:pPr>
        <w:spacing w:after="0" w:line="240" w:lineRule="auto"/>
        <w:jc w:val="both"/>
        <w:rPr>
          <w:rFonts w:cs="Arial"/>
        </w:rPr>
      </w:pPr>
      <w:r w:rsidRPr="00FD04D4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4A7BCC">
        <w:rPr>
          <w:rFonts w:cs="Arial"/>
        </w:rPr>
        <w:t>Gosuran</w:t>
      </w:r>
      <w:proofErr w:type="spellEnd"/>
      <w:r w:rsidRPr="00FD04D4">
        <w:rPr>
          <w:rFonts w:cs="Arial"/>
        </w:rPr>
        <w:t xml:space="preserve"> è ben conosciuto. </w:t>
      </w:r>
    </w:p>
    <w:p w:rsidR="00AF0C32" w:rsidRPr="00FD04D4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Pr="00FD04D4" w:rsidRDefault="00AF0C32" w:rsidP="00AF0C32">
      <w:pPr>
        <w:pStyle w:val="Paragrafoelenco"/>
        <w:spacing w:after="0" w:line="240" w:lineRule="auto"/>
        <w:ind w:left="0"/>
        <w:jc w:val="both"/>
        <w:rPr>
          <w:b/>
        </w:rPr>
      </w:pPr>
      <w:r w:rsidRPr="00FD04D4">
        <w:rPr>
          <w:b/>
        </w:rPr>
        <w:t>Piano di Valutazione del Rischio (</w:t>
      </w:r>
      <w:proofErr w:type="spellStart"/>
      <w:r w:rsidRPr="00FD04D4">
        <w:rPr>
          <w:b/>
          <w:i/>
        </w:rPr>
        <w:t>Risk</w:t>
      </w:r>
      <w:proofErr w:type="spellEnd"/>
      <w:r w:rsidRPr="00FD04D4">
        <w:rPr>
          <w:b/>
          <w:i/>
        </w:rPr>
        <w:t xml:space="preserve"> Management </w:t>
      </w:r>
      <w:proofErr w:type="spellStart"/>
      <w:r w:rsidRPr="00FD04D4">
        <w:rPr>
          <w:b/>
          <w:i/>
        </w:rPr>
        <w:t>Plan</w:t>
      </w:r>
      <w:proofErr w:type="spellEnd"/>
      <w:r w:rsidRPr="00FD04D4">
        <w:rPr>
          <w:b/>
        </w:rPr>
        <w:t xml:space="preserve"> - RMP)</w:t>
      </w:r>
    </w:p>
    <w:p w:rsidR="00AF0C32" w:rsidRPr="00FD04D4" w:rsidRDefault="00AF0C32" w:rsidP="00AF0C32">
      <w:pPr>
        <w:pStyle w:val="Paragrafoelenco"/>
        <w:spacing w:after="0" w:line="240" w:lineRule="auto"/>
        <w:ind w:left="0"/>
        <w:jc w:val="both"/>
      </w:pPr>
      <w:r w:rsidRPr="00FD04D4">
        <w:t xml:space="preserve">E’ stato presentato un RMP in accordo a quanto previsto dalla Direttiva 2001/83/EU </w:t>
      </w:r>
      <w:proofErr w:type="spellStart"/>
      <w:r w:rsidRPr="00FD04D4">
        <w:t>s.m.i.</w:t>
      </w:r>
      <w:proofErr w:type="spellEnd"/>
      <w:r w:rsidRPr="00FD04D4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4A7BCC">
        <w:t>Gosuran</w:t>
      </w:r>
      <w:proofErr w:type="spellEnd"/>
      <w:r w:rsidRPr="00FD04D4">
        <w:t>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 w:rsidRPr="00FD04D4">
        <w:t xml:space="preserve">Il riassunto delle problematiche di sicurezza </w:t>
      </w:r>
      <w:r w:rsidR="000C3112" w:rsidRPr="00FD04D4">
        <w:t xml:space="preserve">è </w:t>
      </w:r>
      <w:r w:rsidRPr="00FD04D4">
        <w:t>riportat</w:t>
      </w:r>
      <w:r w:rsidR="000C3112" w:rsidRPr="00FD04D4">
        <w:t>o</w:t>
      </w:r>
      <w:r w:rsidRPr="00FD04D4">
        <w:t xml:space="preserve"> nella tabella seguente.</w:t>
      </w:r>
    </w:p>
    <w:p w:rsidR="00FD04D4" w:rsidRDefault="00FD04D4" w:rsidP="00FD04D4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FD04D4" w:rsidTr="00FD04D4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04D4" w:rsidRPr="00FD04D4" w:rsidRDefault="00FD04D4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04D4" w:rsidRDefault="00376E3D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Pazienti con anamnesi di osteoporosi e/o fratture con rischio aumentato di osteoporosi</w:t>
            </w:r>
          </w:p>
          <w:p w:rsidR="00376E3D" w:rsidRDefault="00376E3D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Intolleranza al lattosio (eccipienti)</w:t>
            </w:r>
          </w:p>
          <w:p w:rsidR="00376E3D" w:rsidRPr="00FD04D4" w:rsidRDefault="00376E3D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Controindicato in donne in gravidanza e/o allattamento</w:t>
            </w:r>
          </w:p>
        </w:tc>
      </w:tr>
      <w:tr w:rsidR="00FD04D4" w:rsidTr="00FD04D4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04D4" w:rsidRPr="00FD04D4" w:rsidRDefault="00FD04D4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04D4" w:rsidRDefault="00376E3D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Pazienti con compromessa funzione renale</w:t>
            </w:r>
          </w:p>
          <w:p w:rsidR="00376E3D" w:rsidRDefault="00376E3D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Pazienti con compromessa funzione epatica</w:t>
            </w:r>
          </w:p>
          <w:p w:rsidR="00376E3D" w:rsidRDefault="00494E93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Compromissione della capacità di guidare veicoli e/o di utilizzare macchinari</w:t>
            </w:r>
          </w:p>
          <w:p w:rsidR="00494E93" w:rsidRPr="00FD04D4" w:rsidRDefault="00494E93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- Interazione con farmaci</w:t>
            </w:r>
          </w:p>
        </w:tc>
      </w:tr>
      <w:tr w:rsidR="00FD04D4" w:rsidTr="00FD04D4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04D4" w:rsidRPr="00FD04D4" w:rsidRDefault="00FD04D4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D04D4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4D4" w:rsidRPr="00FD04D4" w:rsidRDefault="00A70881" w:rsidP="00FD04D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NA</w:t>
            </w:r>
          </w:p>
        </w:tc>
      </w:tr>
    </w:tbl>
    <w:p w:rsidR="00FD04D4" w:rsidRDefault="00FD04D4" w:rsidP="00FD04D4">
      <w:pPr>
        <w:pStyle w:val="Paragrafoelenco"/>
        <w:spacing w:after="0" w:line="240" w:lineRule="auto"/>
        <w:ind w:left="0"/>
        <w:jc w:val="both"/>
      </w:pPr>
    </w:p>
    <w:p w:rsidR="00470CB3" w:rsidRDefault="00470CB3" w:rsidP="00AF0C32">
      <w:pPr>
        <w:pStyle w:val="Paragrafoelenco"/>
        <w:spacing w:after="0" w:line="240" w:lineRule="auto"/>
        <w:ind w:left="0"/>
        <w:jc w:val="both"/>
      </w:pPr>
      <w:r>
        <w:t xml:space="preserve">Il riassunto delle problematiche di sicurezza sarà adeguato in tempi brevi a quello del medicinale di riferimento </w:t>
      </w:r>
      <w:proofErr w:type="spellStart"/>
      <w:r>
        <w:t>Femara</w:t>
      </w:r>
      <w:proofErr w:type="spellEnd"/>
      <w:r>
        <w:t xml:space="preserve"> per il quale è in corso un aggiornamento.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</w:p>
    <w:p w:rsidR="00AF0C32" w:rsidRPr="002E4DCB" w:rsidRDefault="00AF0C32" w:rsidP="00A7088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494E93">
        <w:t>Gosuran</w:t>
      </w:r>
      <w:proofErr w:type="spellEnd"/>
      <w:r>
        <w:t xml:space="preserve"> sono state presentate sufficienti informazioni cliniche.</w:t>
      </w: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494E93">
        <w:t>Gosuran</w:t>
      </w:r>
      <w:proofErr w:type="spellEnd"/>
      <w:r>
        <w:t xml:space="preserve"> è considerato favorevole dal punto di vista clinico.</w:t>
      </w: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</w:p>
    <w:p w:rsidR="00AF0C32" w:rsidRDefault="00AF0C32" w:rsidP="00A70881">
      <w:pPr>
        <w:pStyle w:val="Paragrafoelenco"/>
        <w:spacing w:after="0" w:line="240" w:lineRule="auto"/>
        <w:ind w:left="0"/>
        <w:jc w:val="both"/>
      </w:pPr>
    </w:p>
    <w:p w:rsidR="00AF0C32" w:rsidRPr="002E4DCB" w:rsidRDefault="00AF0C32" w:rsidP="00A7088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94E93" w:rsidRPr="00B9758C" w:rsidRDefault="00494E93" w:rsidP="00A70881">
      <w:pPr>
        <w:spacing w:after="0" w:line="240" w:lineRule="auto"/>
        <w:jc w:val="both"/>
      </w:pPr>
      <w:r w:rsidRPr="00B9758C">
        <w:t xml:space="preserve">Il foglio illustrativo è stato sottoposto al test di leggibilità in accordo ai requisiti dell’art. 59(3) e 61(1) della direttiva 2001/83/EU </w:t>
      </w:r>
      <w:proofErr w:type="spellStart"/>
      <w:r w:rsidRPr="00B9758C">
        <w:t>s.m.i.</w:t>
      </w:r>
      <w:proofErr w:type="spellEnd"/>
      <w:r w:rsidRPr="00B9758C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F0C32" w:rsidRDefault="00AF0C32" w:rsidP="00A70881">
      <w:pPr>
        <w:spacing w:after="0" w:line="240" w:lineRule="auto"/>
        <w:jc w:val="both"/>
      </w:pPr>
    </w:p>
    <w:p w:rsidR="00AF0C32" w:rsidRPr="00BC23ED" w:rsidRDefault="00AF0C32" w:rsidP="00A7088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F0C32" w:rsidRDefault="00AF0C32" w:rsidP="00A70881">
      <w:pPr>
        <w:spacing w:after="0" w:line="240" w:lineRule="auto"/>
        <w:jc w:val="both"/>
      </w:pPr>
      <w:r>
        <w:t xml:space="preserve">La qualità di </w:t>
      </w:r>
      <w:proofErr w:type="spellStart"/>
      <w:r w:rsidR="00494E93">
        <w:t>Gosuran</w:t>
      </w:r>
      <w:proofErr w:type="spellEnd"/>
      <w:r>
        <w:t xml:space="preserve"> è accettabile e non sono state rilevate criticità da un punto di vista non clinico e clinico.</w:t>
      </w:r>
    </w:p>
    <w:p w:rsidR="00AF0C32" w:rsidRDefault="00AF0C32" w:rsidP="00A70881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494E93">
        <w:t>Gosuran</w:t>
      </w:r>
      <w:proofErr w:type="spellEnd"/>
      <w:r>
        <w:t xml:space="preserve"> e il medicinale di riferimento </w:t>
      </w:r>
      <w:proofErr w:type="spellStart"/>
      <w:r w:rsidR="00494E93">
        <w:t>Femara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F0C32" w:rsidRDefault="00AF0C32" w:rsidP="00A70881">
      <w:pPr>
        <w:spacing w:after="0" w:line="240" w:lineRule="auto"/>
        <w:jc w:val="both"/>
      </w:pPr>
      <w:r>
        <w:t>Il rapporto beneficio/rischio è considerato positivo.</w:t>
      </w:r>
    </w:p>
    <w:p w:rsidR="00AF0C32" w:rsidRDefault="00AF0C32" w:rsidP="00A70881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AF0C3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887592"/>
    <w:multiLevelType w:val="hybridMultilevel"/>
    <w:tmpl w:val="A34623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8673D5"/>
    <w:multiLevelType w:val="hybridMultilevel"/>
    <w:tmpl w:val="95020FFE"/>
    <w:lvl w:ilvl="0" w:tplc="BFB2A11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62636"/>
    <w:rsid w:val="00077016"/>
    <w:rsid w:val="000C3112"/>
    <w:rsid w:val="00100F65"/>
    <w:rsid w:val="00111E9E"/>
    <w:rsid w:val="0011250C"/>
    <w:rsid w:val="00154E5C"/>
    <w:rsid w:val="00180C71"/>
    <w:rsid w:val="001A25A0"/>
    <w:rsid w:val="001A3D64"/>
    <w:rsid w:val="001B703E"/>
    <w:rsid w:val="001E4ED5"/>
    <w:rsid w:val="001F321C"/>
    <w:rsid w:val="002046BC"/>
    <w:rsid w:val="00222744"/>
    <w:rsid w:val="00240CAB"/>
    <w:rsid w:val="00241DF9"/>
    <w:rsid w:val="00246D26"/>
    <w:rsid w:val="00265D7F"/>
    <w:rsid w:val="00281A48"/>
    <w:rsid w:val="0029011E"/>
    <w:rsid w:val="002E5103"/>
    <w:rsid w:val="002F584C"/>
    <w:rsid w:val="002F67C3"/>
    <w:rsid w:val="00310EBE"/>
    <w:rsid w:val="003122EE"/>
    <w:rsid w:val="00376E3D"/>
    <w:rsid w:val="003D1102"/>
    <w:rsid w:val="00404797"/>
    <w:rsid w:val="004241AC"/>
    <w:rsid w:val="00452364"/>
    <w:rsid w:val="00470CB3"/>
    <w:rsid w:val="00474C3B"/>
    <w:rsid w:val="00494E93"/>
    <w:rsid w:val="004A1685"/>
    <w:rsid w:val="004A7BCC"/>
    <w:rsid w:val="004B20A8"/>
    <w:rsid w:val="004C110F"/>
    <w:rsid w:val="0058751A"/>
    <w:rsid w:val="005C41B0"/>
    <w:rsid w:val="005D5E38"/>
    <w:rsid w:val="00612999"/>
    <w:rsid w:val="00613721"/>
    <w:rsid w:val="0061494B"/>
    <w:rsid w:val="006557BC"/>
    <w:rsid w:val="0066524D"/>
    <w:rsid w:val="006C7C09"/>
    <w:rsid w:val="006E52DF"/>
    <w:rsid w:val="00702C99"/>
    <w:rsid w:val="00704EF7"/>
    <w:rsid w:val="00712BD0"/>
    <w:rsid w:val="00773F67"/>
    <w:rsid w:val="007A660B"/>
    <w:rsid w:val="007C0DF8"/>
    <w:rsid w:val="007C5FB1"/>
    <w:rsid w:val="007C6AC3"/>
    <w:rsid w:val="007F61CE"/>
    <w:rsid w:val="00806A94"/>
    <w:rsid w:val="008234D1"/>
    <w:rsid w:val="00874733"/>
    <w:rsid w:val="008A4F11"/>
    <w:rsid w:val="00920AF3"/>
    <w:rsid w:val="00924F6D"/>
    <w:rsid w:val="00933A17"/>
    <w:rsid w:val="00941200"/>
    <w:rsid w:val="00947492"/>
    <w:rsid w:val="0097369A"/>
    <w:rsid w:val="00977AAC"/>
    <w:rsid w:val="009A260F"/>
    <w:rsid w:val="009B03DB"/>
    <w:rsid w:val="00A05212"/>
    <w:rsid w:val="00A1005E"/>
    <w:rsid w:val="00A40FF3"/>
    <w:rsid w:val="00A65C0E"/>
    <w:rsid w:val="00A70881"/>
    <w:rsid w:val="00A800E1"/>
    <w:rsid w:val="00AF0C32"/>
    <w:rsid w:val="00AF6596"/>
    <w:rsid w:val="00B00ED8"/>
    <w:rsid w:val="00B1392F"/>
    <w:rsid w:val="00B26B53"/>
    <w:rsid w:val="00B65D34"/>
    <w:rsid w:val="00B7509C"/>
    <w:rsid w:val="00BA7D67"/>
    <w:rsid w:val="00BC74C2"/>
    <w:rsid w:val="00BF31FB"/>
    <w:rsid w:val="00C24687"/>
    <w:rsid w:val="00C6797A"/>
    <w:rsid w:val="00C73AF6"/>
    <w:rsid w:val="00CC7AFF"/>
    <w:rsid w:val="00D20170"/>
    <w:rsid w:val="00D2206A"/>
    <w:rsid w:val="00D22DFC"/>
    <w:rsid w:val="00D6499A"/>
    <w:rsid w:val="00DA7ED9"/>
    <w:rsid w:val="00DB6E74"/>
    <w:rsid w:val="00DC7EA2"/>
    <w:rsid w:val="00E2681C"/>
    <w:rsid w:val="00E43089"/>
    <w:rsid w:val="00E83F8D"/>
    <w:rsid w:val="00EA35D3"/>
    <w:rsid w:val="00EE4554"/>
    <w:rsid w:val="00EF062E"/>
    <w:rsid w:val="00F26FDA"/>
    <w:rsid w:val="00F66767"/>
    <w:rsid w:val="00F91999"/>
    <w:rsid w:val="00F9699C"/>
    <w:rsid w:val="00F96E28"/>
    <w:rsid w:val="00FA2702"/>
    <w:rsid w:val="00FD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F0C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6524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524D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0C3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F0C3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F0C3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C73AF6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E268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68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268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68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681C"/>
    <w:rPr>
      <w:b/>
      <w:bCs/>
    </w:rPr>
  </w:style>
  <w:style w:type="paragraph" w:customStyle="1" w:styleId="Text">
    <w:name w:val="Text"/>
    <w:basedOn w:val="Normale"/>
    <w:link w:val="TextChar1"/>
    <w:rsid w:val="00E2681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Char1">
    <w:name w:val="Text Char1"/>
    <w:link w:val="Text"/>
    <w:rsid w:val="00E2681C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sm.sante.fr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8</Pages>
  <Words>3058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14</cp:revision>
  <dcterms:created xsi:type="dcterms:W3CDTF">2015-09-21T13:35:00Z</dcterms:created>
  <dcterms:modified xsi:type="dcterms:W3CDTF">2016-02-29T13:56:00Z</dcterms:modified>
</cp:coreProperties>
</file>