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F22C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AB54C2">
        <w:rPr>
          <w:b/>
          <w:sz w:val="32"/>
        </w:rPr>
        <w:t xml:space="preserve">IBUPROFENE </w:t>
      </w:r>
      <w:r w:rsidR="00BA09D0">
        <w:rPr>
          <w:b/>
          <w:sz w:val="32"/>
        </w:rPr>
        <w:t>PHARMEG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BA09D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Pharmeg</w:t>
      </w:r>
      <w:proofErr w:type="spellEnd"/>
    </w:p>
    <w:p w:rsidR="00BB4CC4" w:rsidRPr="00062636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043</w:t>
      </w:r>
      <w:r w:rsidR="00BA09D0">
        <w:rPr>
          <w:rFonts w:cs="Helvetica"/>
          <w:b/>
        </w:rPr>
        <w:t>523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24A5A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424A5A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30C29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30C29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30C29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30C29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30C29" w:rsidRPr="00424A5A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/>
          <w:color w:val="000000"/>
          <w:lang w:eastAsia="it-IT"/>
        </w:rPr>
        <w:t>Pharmeg</w:t>
      </w:r>
      <w:proofErr w:type="spellEnd"/>
      <w:r w:rsidR="00B9671B" w:rsidRPr="00424A5A">
        <w:rPr>
          <w:rFonts w:eastAsia="Calibri" w:cs="Calibri"/>
          <w:b/>
          <w:color w:val="000000"/>
          <w:lang w:eastAsia="it-IT"/>
        </w:rPr>
        <w:t xml:space="preserve"> </w:t>
      </w:r>
      <w:r w:rsidRPr="00424A5A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424A5A" w:rsidRDefault="00730C29" w:rsidP="00424A5A">
      <w:pPr>
        <w:widowControl w:val="0"/>
        <w:spacing w:after="0" w:line="240" w:lineRule="auto"/>
        <w:jc w:val="both"/>
      </w:pPr>
      <w:proofErr w:type="spellStart"/>
      <w:r w:rsidRPr="00424A5A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Cs/>
          <w:color w:val="000000"/>
          <w:lang w:eastAsia="it-IT"/>
        </w:rPr>
        <w:t>Pharmeg</w:t>
      </w:r>
      <w:proofErr w:type="spellEnd"/>
      <w:r w:rsidR="00B9671B"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24A5A">
        <w:rPr>
          <w:rFonts w:eastAsia="Calibri" w:cs="Calibri"/>
          <w:color w:val="000000"/>
          <w:lang w:eastAsia="it-IT"/>
        </w:rPr>
        <w:t>i</w:t>
      </w:r>
      <w:r w:rsidR="00E83F8D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B4CC4" w:rsidRPr="00424A5A">
        <w:rPr>
          <w:rFonts w:eastAsia="Calibri" w:cs="Calibri"/>
          <w:color w:val="000000"/>
          <w:lang w:eastAsia="it-IT"/>
        </w:rPr>
        <w:t xml:space="preserve"> ed è </w:t>
      </w:r>
      <w:r w:rsidR="004241AC" w:rsidRPr="00424A5A">
        <w:rPr>
          <w:rFonts w:eastAsia="Calibri" w:cs="Calibri"/>
          <w:color w:val="000000"/>
          <w:lang w:eastAsia="it-IT"/>
        </w:rPr>
        <w:t xml:space="preserve">disponibile in </w:t>
      </w:r>
      <w:r w:rsidR="00062636" w:rsidRPr="00424A5A">
        <w:rPr>
          <w:rFonts w:eastAsia="Calibri" w:cs="Calibri"/>
          <w:color w:val="000000"/>
          <w:lang w:eastAsia="it-IT"/>
        </w:rPr>
        <w:t>compresse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r w:rsidR="000E1A3B" w:rsidRPr="00424A5A">
        <w:rPr>
          <w:rFonts w:eastAsia="Calibri" w:cs="Calibri"/>
          <w:color w:val="000000"/>
          <w:lang w:eastAsia="it-IT"/>
        </w:rPr>
        <w:t>rivestite con film</w:t>
      </w:r>
      <w:r w:rsidR="00BB4CC4" w:rsidRPr="00424A5A">
        <w:rPr>
          <w:rFonts w:eastAsia="Calibri" w:cs="Calibri"/>
          <w:color w:val="000000"/>
          <w:lang w:eastAsia="it-IT"/>
        </w:rPr>
        <w:t xml:space="preserve"> da</w:t>
      </w:r>
      <w:r w:rsidR="004241AC" w:rsidRPr="00424A5A">
        <w:t xml:space="preserve"> </w:t>
      </w:r>
      <w:r w:rsidRPr="00424A5A">
        <w:rPr>
          <w:rFonts w:cs="Helvetica"/>
        </w:rPr>
        <w:t>6</w:t>
      </w:r>
      <w:r w:rsidR="000E1A3B" w:rsidRPr="00424A5A">
        <w:rPr>
          <w:rFonts w:cs="Helvetica"/>
        </w:rPr>
        <w:t>0</w:t>
      </w:r>
      <w:r w:rsidR="00452364" w:rsidRPr="00424A5A">
        <w:rPr>
          <w:rFonts w:cs="Helvetica"/>
        </w:rPr>
        <w:t>0</w:t>
      </w:r>
      <w:r w:rsidR="00062636" w:rsidRPr="00424A5A">
        <w:rPr>
          <w:rFonts w:cs="Helvetica"/>
        </w:rPr>
        <w:t xml:space="preserve"> mg</w:t>
      </w:r>
      <w:r w:rsidR="00BB4CC4" w:rsidRPr="00424A5A">
        <w:rPr>
          <w:rFonts w:cs="Helvetica"/>
        </w:rPr>
        <w:t xml:space="preserve"> di principio attivo</w:t>
      </w:r>
      <w:r w:rsidR="004241AC" w:rsidRPr="00424A5A">
        <w:t>.</w:t>
      </w:r>
    </w:p>
    <w:p w:rsidR="00013020" w:rsidRPr="00424A5A" w:rsidRDefault="00730C29" w:rsidP="00424A5A">
      <w:pPr>
        <w:widowControl w:val="0"/>
        <w:spacing w:after="0" w:line="240" w:lineRule="auto"/>
        <w:jc w:val="both"/>
      </w:pPr>
      <w:proofErr w:type="spellStart"/>
      <w:r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013020" w:rsidRPr="00424A5A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24A5A">
        <w:rPr>
          <w:rFonts w:eastAsia="Calibri" w:cs="Calibri"/>
          <w:color w:val="000000"/>
          <w:lang w:eastAsia="it-IT"/>
        </w:rPr>
        <w:t>Italia</w:t>
      </w:r>
      <w:r w:rsidR="00013020" w:rsidRPr="00424A5A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Brufen</w:t>
      </w:r>
      <w:proofErr w:type="spellEnd"/>
      <w:r w:rsidR="00013020" w:rsidRPr="00424A5A">
        <w:rPr>
          <w:rFonts w:eastAsia="Calibri" w:cs="Calibri"/>
          <w:color w:val="000000"/>
          <w:lang w:eastAsia="it-IT"/>
        </w:rPr>
        <w:t>.</w:t>
      </w:r>
    </w:p>
    <w:p w:rsidR="00424A5A" w:rsidRPr="00424A5A" w:rsidRDefault="00730C29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424A5A">
        <w:rPr>
          <w:rFonts w:eastAsia="Calibri" w:cs="Calibri"/>
          <w:color w:val="000000"/>
          <w:lang w:eastAsia="it-IT"/>
        </w:rPr>
        <w:t xml:space="preserve">agisce </w:t>
      </w:r>
      <w:r w:rsidR="00424A5A" w:rsidRPr="00424A5A">
        <w:t>riducendo il dolore e il gonfiore provocati dall’infiammazione  in condizioni come: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osteoartrosi (una malattia degenerativa che interessa le articolazioni) in diverse parti del corpo;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infiammazione dei muscoli (miosite), dei muscoli e tessuti (</w:t>
      </w:r>
      <w:proofErr w:type="spellStart"/>
      <w:r w:rsidRPr="00424A5A">
        <w:t>fibrosite</w:t>
      </w:r>
      <w:proofErr w:type="spellEnd"/>
      <w:r w:rsidRPr="00424A5A">
        <w:t>), dei tendini (tenosinovite), delle radici nervose e dei nervi (</w:t>
      </w:r>
      <w:proofErr w:type="spellStart"/>
      <w:r w:rsidRPr="00424A5A">
        <w:t>radicolo-nevrite</w:t>
      </w:r>
      <w:proofErr w:type="spellEnd"/>
      <w:r w:rsidRPr="00424A5A">
        <w:t>) e dei tessuti di natura fibrosa, che circondano l'articolazione (periartrite scapolo-omerale);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mal di schiena;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sciatalgia (dolore alla gamba causata dall'irritazione del nervo sciatico);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 xml:space="preserve">artrite reumatoide (malattia di origine autoimmune progressiva e cronica che colpisce le articolazioni) compresa artrite reumatoide giovanile o malattia di </w:t>
      </w:r>
      <w:proofErr w:type="spellStart"/>
      <w:r w:rsidRPr="00424A5A">
        <w:t>Still</w:t>
      </w:r>
      <w:proofErr w:type="spellEnd"/>
      <w:r w:rsidRPr="00424A5A">
        <w:t>;  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 xml:space="preserve">distorsioni o strappi; </w:t>
      </w:r>
    </w:p>
    <w:p w:rsidR="00424A5A" w:rsidRPr="00424A5A" w:rsidRDefault="00BA09D0" w:rsidP="00424A5A">
      <w:pPr>
        <w:spacing w:after="0" w:line="240" w:lineRule="auto"/>
        <w:jc w:val="both"/>
      </w:pPr>
      <w:proofErr w:type="spellStart"/>
      <w:r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Pharmeg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</w:t>
      </w:r>
      <w:r w:rsidR="00424A5A" w:rsidRPr="00424A5A">
        <w:t xml:space="preserve">può essere usato anche in altre situazioni dolorose come mal di denti a seguito di estrazione dei denti o altri  interventi, dolore post-operatorio e dolore </w:t>
      </w:r>
      <w:proofErr w:type="spellStart"/>
      <w:r w:rsidR="00424A5A" w:rsidRPr="00424A5A">
        <w:t>post-partum</w:t>
      </w:r>
      <w:proofErr w:type="spellEnd"/>
      <w:r w:rsidR="00424A5A" w:rsidRPr="00424A5A">
        <w:t>, dolore mestruale e mal di testa, inclusa l’emicrania.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2937E3" w:rsidRPr="00424A5A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30C29" w:rsidRPr="00424A5A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/>
          <w:bCs/>
          <w:color w:val="000000"/>
          <w:lang w:eastAsia="it-IT"/>
        </w:rPr>
        <w:t>Pharmeg</w:t>
      </w:r>
      <w:proofErr w:type="spellEnd"/>
      <w:r w:rsidRPr="00424A5A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24A5A" w:rsidRDefault="00730C29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424A5A" w:rsidRDefault="00874733" w:rsidP="00424A5A">
      <w:pPr>
        <w:tabs>
          <w:tab w:val="left" w:pos="0"/>
        </w:tabs>
        <w:spacing w:after="0" w:line="240" w:lineRule="auto"/>
        <w:jc w:val="both"/>
      </w:pPr>
      <w:r w:rsidRPr="00424A5A">
        <w:t>Generalmente, l</w:t>
      </w:r>
      <w:r w:rsidR="004241AC" w:rsidRPr="00424A5A">
        <w:t xml:space="preserve">a dose </w:t>
      </w:r>
      <w:r w:rsidRPr="00424A5A">
        <w:t xml:space="preserve">raccomandata </w:t>
      </w:r>
      <w:r w:rsidR="00730C29" w:rsidRPr="00424A5A">
        <w:t xml:space="preserve">per gli adulti </w:t>
      </w:r>
      <w:r w:rsidR="004241AC" w:rsidRPr="00424A5A">
        <w:t xml:space="preserve">è di </w:t>
      </w:r>
      <w:r w:rsidR="000E1A3B" w:rsidRPr="00424A5A">
        <w:t>1-3 compresse da 600 mg a</w:t>
      </w:r>
      <w:r w:rsidR="00BB4CC4" w:rsidRPr="00424A5A">
        <w:t>l</w:t>
      </w:r>
      <w:r w:rsidR="000E1A3B" w:rsidRPr="00424A5A">
        <w:t xml:space="preserve"> giorno</w:t>
      </w:r>
      <w:r w:rsidRPr="00424A5A">
        <w:t>.</w:t>
      </w:r>
    </w:p>
    <w:p w:rsidR="002937E3" w:rsidRPr="00424A5A" w:rsidRDefault="002937E3" w:rsidP="00424A5A">
      <w:pPr>
        <w:tabs>
          <w:tab w:val="left" w:pos="0"/>
        </w:tabs>
        <w:spacing w:after="0" w:line="240" w:lineRule="auto"/>
        <w:jc w:val="both"/>
      </w:pPr>
      <w:r w:rsidRPr="00424A5A">
        <w:lastRenderedPageBreak/>
        <w:t xml:space="preserve">Per gli adolescenti (12-18 anni) </w:t>
      </w:r>
      <w:r w:rsidRPr="00424A5A">
        <w:rPr>
          <w:rFonts w:eastAsia="Times New Roman" w:cs="Times New Roman"/>
          <w:lang w:eastAsia="it-IT"/>
        </w:rPr>
        <w:t>esistono altre forme di dosaggio che potrebbero essere più adatte per ottenere la posologia richiesta.</w:t>
      </w:r>
    </w:p>
    <w:p w:rsidR="00730C29" w:rsidRPr="00424A5A" w:rsidRDefault="00730C29" w:rsidP="00424A5A">
      <w:pPr>
        <w:tabs>
          <w:tab w:val="left" w:pos="0"/>
        </w:tabs>
        <w:spacing w:after="0" w:line="240" w:lineRule="auto"/>
        <w:jc w:val="both"/>
      </w:pPr>
      <w:proofErr w:type="spellStart"/>
      <w:r w:rsidRPr="00424A5A">
        <w:t>Ibuprofene</w:t>
      </w:r>
      <w:proofErr w:type="spellEnd"/>
      <w:r w:rsidRPr="00424A5A">
        <w:t xml:space="preserve"> </w:t>
      </w:r>
      <w:proofErr w:type="spellStart"/>
      <w:r w:rsidR="00BA09D0">
        <w:t>Pharmeg</w:t>
      </w:r>
      <w:proofErr w:type="spellEnd"/>
      <w:r w:rsidRPr="00424A5A">
        <w:t xml:space="preserve"> non deve essere assunto dai </w:t>
      </w:r>
      <w:r w:rsidR="002937E3" w:rsidRPr="00424A5A">
        <w:t>bambini</w:t>
      </w:r>
      <w:r w:rsidRPr="00424A5A">
        <w:t xml:space="preserve"> di età inferiore </w:t>
      </w:r>
      <w:r w:rsidR="002937E3" w:rsidRPr="00424A5A">
        <w:t>a 12 anni.</w:t>
      </w:r>
    </w:p>
    <w:p w:rsidR="006C7E98" w:rsidRPr="00424A5A" w:rsidRDefault="00BB4CC4" w:rsidP="00424A5A">
      <w:pPr>
        <w:tabs>
          <w:tab w:val="left" w:pos="0"/>
        </w:tabs>
        <w:spacing w:after="0" w:line="240" w:lineRule="auto"/>
        <w:jc w:val="both"/>
      </w:pPr>
      <w:r w:rsidRPr="00424A5A">
        <w:t>Nei</w:t>
      </w:r>
      <w:r w:rsidR="006C7E98" w:rsidRPr="00424A5A">
        <w:t xml:space="preserve"> pazienti </w:t>
      </w:r>
      <w:r w:rsidR="00730C29" w:rsidRPr="00424A5A">
        <w:t xml:space="preserve">anziani e nei pazienti </w:t>
      </w:r>
      <w:r w:rsidR="006C7E98" w:rsidRPr="00424A5A">
        <w:t>con problemi al rene e al fegato il dosaggio può essere più basso.</w:t>
      </w:r>
    </w:p>
    <w:p w:rsidR="004241AC" w:rsidRPr="00424A5A" w:rsidRDefault="004241AC" w:rsidP="00424A5A">
      <w:pPr>
        <w:tabs>
          <w:tab w:val="left" w:pos="0"/>
        </w:tabs>
        <w:spacing w:after="0" w:line="240" w:lineRule="auto"/>
        <w:jc w:val="both"/>
      </w:pPr>
      <w:r w:rsidRPr="00424A5A">
        <w:t xml:space="preserve">Le </w:t>
      </w:r>
      <w:r w:rsidR="00FA2702" w:rsidRPr="00424A5A">
        <w:t>compresse</w:t>
      </w:r>
      <w:r w:rsidRPr="00424A5A">
        <w:t xml:space="preserve"> vanno assunte</w:t>
      </w:r>
      <w:r w:rsidR="00874733" w:rsidRPr="00424A5A">
        <w:t xml:space="preserve"> intere </w:t>
      </w:r>
      <w:r w:rsidRPr="00424A5A">
        <w:t xml:space="preserve">con un po’ di acqua possibilmente </w:t>
      </w:r>
      <w:r w:rsidR="000E1A3B" w:rsidRPr="00424A5A">
        <w:t>durante</w:t>
      </w:r>
      <w:r w:rsidR="00730C29" w:rsidRPr="00424A5A">
        <w:t xml:space="preserve"> o subito dopo</w:t>
      </w:r>
      <w:r w:rsidR="000E1A3B" w:rsidRPr="00424A5A">
        <w:t xml:space="preserve"> i pasti</w:t>
      </w:r>
      <w:r w:rsidR="00BA7D67" w:rsidRPr="00424A5A"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30C29" w:rsidRPr="00424A5A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/>
          <w:bCs/>
          <w:color w:val="000000"/>
          <w:lang w:eastAsia="it-IT"/>
        </w:rPr>
        <w:t>Pharmeg</w:t>
      </w:r>
      <w:proofErr w:type="spellEnd"/>
      <w:r w:rsidRPr="00424A5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424A5A" w:rsidRDefault="00730C29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424A5A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Cs/>
          <w:color w:val="000000"/>
          <w:lang w:eastAsia="it-IT"/>
        </w:rPr>
        <w:t>Pharmeg</w:t>
      </w:r>
      <w:proofErr w:type="spellEnd"/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la sintesi </w:t>
      </w:r>
      <w:r w:rsidR="006C7E98" w:rsidRPr="00424A5A">
        <w:rPr>
          <w:rFonts w:eastAsia="DejaVuSans" w:cs="DejaVuSans"/>
        </w:rPr>
        <w:t xml:space="preserve">a livello periferico </w:t>
      </w:r>
      <w:r w:rsidR="00BB4CC4" w:rsidRPr="00424A5A">
        <w:rPr>
          <w:rFonts w:eastAsia="DejaVuSans" w:cs="DejaVuSans"/>
        </w:rPr>
        <w:t xml:space="preserve">delle prostaglandine, </w:t>
      </w:r>
      <w:r w:rsidR="000E1A3B" w:rsidRPr="00424A5A">
        <w:rPr>
          <w:rFonts w:eastAsia="DejaVuSans" w:cs="DejaVuSans"/>
        </w:rPr>
        <w:t>sostanze prodotte dall’organismo e che sono responsabili dei sintomi dell’infiammazione e del dolore che ne consegue</w:t>
      </w:r>
      <w:r w:rsidR="00BA7D67" w:rsidRPr="00424A5A">
        <w:rPr>
          <w:rFonts w:eastAsia="DejaVuSans" w:cs="DejaVuSans"/>
        </w:rPr>
        <w:t>.</w:t>
      </w:r>
    </w:p>
    <w:p w:rsidR="004241AC" w:rsidRPr="00424A5A" w:rsidRDefault="004241AC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30C29" w:rsidRPr="00424A5A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/>
          <w:bCs/>
          <w:color w:val="000000"/>
          <w:lang w:eastAsia="it-IT"/>
        </w:rPr>
        <w:t>Pharmeg</w:t>
      </w:r>
      <w:proofErr w:type="spellEnd"/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730C29" w:rsidRPr="00424A5A">
        <w:rPr>
          <w:rFonts w:cs="Arial"/>
        </w:rPr>
        <w:t>Ibuprofene</w:t>
      </w:r>
      <w:proofErr w:type="spellEnd"/>
      <w:r w:rsidR="00730C29" w:rsidRPr="00424A5A">
        <w:rPr>
          <w:rFonts w:cs="Arial"/>
        </w:rPr>
        <w:t xml:space="preserve"> </w:t>
      </w:r>
      <w:proofErr w:type="spellStart"/>
      <w:r w:rsidR="00BA09D0">
        <w:rPr>
          <w:rFonts w:cs="Arial"/>
        </w:rPr>
        <w:t>Pharmeg</w:t>
      </w:r>
      <w:proofErr w:type="spellEnd"/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E1A3B">
        <w:rPr>
          <w:rFonts w:cs="Arial"/>
        </w:rPr>
        <w:t>Brufen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730C29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/>
          <w:bCs/>
          <w:color w:val="000000"/>
          <w:lang w:eastAsia="it-IT"/>
        </w:rPr>
        <w:t>Pharmeg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730C2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Cs/>
          <w:color w:val="000000"/>
          <w:lang w:eastAsia="it-IT"/>
        </w:rPr>
        <w:t>Pharmeg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30C29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/>
          <w:bCs/>
          <w:color w:val="000000"/>
          <w:lang w:eastAsia="it-IT"/>
        </w:rPr>
        <w:t>Pharmeg</w:t>
      </w:r>
      <w:proofErr w:type="spellEnd"/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2937E3">
        <w:rPr>
          <w:rFonts w:eastAsia="Calibri" w:cs="Calibri"/>
          <w:lang w:eastAsia="it-IT"/>
        </w:rPr>
        <w:t>18-20 maggio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E1A3B">
        <w:rPr>
          <w:rFonts w:eastAsia="Calibri" w:cs="Calibri"/>
          <w:lang w:eastAsia="it-IT"/>
        </w:rPr>
        <w:t>Brufen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730C29">
        <w:rPr>
          <w:rFonts w:eastAsia="Calibri" w:cs="Calibri"/>
          <w:lang w:eastAsia="it-IT"/>
        </w:rPr>
        <w:t>Ibuprofene</w:t>
      </w:r>
      <w:proofErr w:type="spellEnd"/>
      <w:r w:rsidR="00730C29">
        <w:rPr>
          <w:rFonts w:eastAsia="Calibri" w:cs="Calibri"/>
          <w:lang w:eastAsia="it-IT"/>
        </w:rPr>
        <w:t xml:space="preserve"> </w:t>
      </w:r>
      <w:proofErr w:type="spellStart"/>
      <w:r w:rsidR="00BA09D0" w:rsidRPr="008334CE">
        <w:rPr>
          <w:rFonts w:eastAsia="Calibri" w:cs="Calibri"/>
          <w:lang w:eastAsia="it-IT"/>
        </w:rPr>
        <w:t>Pharmeg</w:t>
      </w:r>
      <w:proofErr w:type="spellEnd"/>
      <w:r w:rsidR="00B9671B" w:rsidRPr="008334CE">
        <w:rPr>
          <w:rFonts w:eastAsia="Calibri" w:cs="Calibri"/>
          <w:lang w:eastAsia="it-IT"/>
        </w:rPr>
        <w:t xml:space="preserve"> </w:t>
      </w:r>
      <w:r w:rsidR="001C1A8E" w:rsidRPr="008334CE">
        <w:rPr>
          <w:rFonts w:eastAsia="Calibri" w:cs="Calibri"/>
          <w:lang w:eastAsia="it-IT"/>
        </w:rPr>
        <w:t>sono</w:t>
      </w:r>
      <w:r w:rsidRPr="008334CE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8334CE">
        <w:rPr>
          <w:rFonts w:eastAsia="Calibri" w:cs="Calibri"/>
          <w:lang w:eastAsia="it-IT"/>
        </w:rPr>
        <w:t xml:space="preserve">i prescrizione di cui al punto </w:t>
      </w:r>
      <w:r w:rsidRPr="008334CE">
        <w:rPr>
          <w:rFonts w:eastAsia="Calibri" w:cs="Calibri"/>
          <w:lang w:eastAsia="it-IT"/>
        </w:rPr>
        <w:t>2) di questo Riassunto e la classe di rimborsabilità del medicinale</w:t>
      </w:r>
      <w:r w:rsidR="00D20170" w:rsidRPr="008334CE">
        <w:rPr>
          <w:rFonts w:eastAsia="Calibri" w:cs="Calibri"/>
          <w:lang w:eastAsia="it-IT"/>
        </w:rPr>
        <w:t xml:space="preserve"> </w:t>
      </w:r>
      <w:r w:rsidRPr="008334CE">
        <w:rPr>
          <w:rFonts w:eastAsia="Calibri" w:cs="Calibri"/>
          <w:lang w:eastAsia="it-IT"/>
        </w:rPr>
        <w:t>(</w:t>
      </w:r>
      <w:r w:rsidR="0011250C" w:rsidRPr="008334CE">
        <w:rPr>
          <w:rFonts w:eastAsia="Calibri" w:cs="Calibri"/>
          <w:lang w:eastAsia="it-IT"/>
        </w:rPr>
        <w:t xml:space="preserve">A con nota </w:t>
      </w:r>
      <w:r w:rsidR="00991D00" w:rsidRPr="008334CE">
        <w:rPr>
          <w:rFonts w:eastAsia="Calibri" w:cs="Calibri"/>
          <w:lang w:eastAsia="it-IT"/>
        </w:rPr>
        <w:t>6</w:t>
      </w:r>
      <w:r w:rsidR="000E1A3B" w:rsidRPr="008334CE">
        <w:rPr>
          <w:rFonts w:eastAsia="Calibri" w:cs="Calibri"/>
          <w:lang w:eastAsia="it-IT"/>
        </w:rPr>
        <w:t>6</w:t>
      </w:r>
      <w:r w:rsidR="00BB7117" w:rsidRPr="008334CE">
        <w:rPr>
          <w:rFonts w:eastAsia="Calibri" w:cs="Calibri"/>
          <w:lang w:eastAsia="it-IT"/>
        </w:rPr>
        <w:t>: la nota stabilisce per quali pazienti il medicinale è rimborsato dal Servizio Sanitario Nazionale</w:t>
      </w:r>
      <w:r w:rsidRPr="008334CE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30C29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/>
          <w:bCs/>
          <w:color w:val="000000"/>
          <w:lang w:eastAsia="it-IT"/>
        </w:rPr>
        <w:t>Pharmeg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730C29">
        <w:rPr>
          <w:rFonts w:eastAsia="Calibri" w:cs="Calibri"/>
          <w:lang w:eastAsia="it-IT"/>
        </w:rPr>
        <w:t>Ibuprofene</w:t>
      </w:r>
      <w:proofErr w:type="spellEnd"/>
      <w:r w:rsidR="00730C29">
        <w:rPr>
          <w:rFonts w:eastAsia="Calibri" w:cs="Calibri"/>
          <w:lang w:eastAsia="it-IT"/>
        </w:rPr>
        <w:t xml:space="preserve"> </w:t>
      </w:r>
      <w:proofErr w:type="spellStart"/>
      <w:r w:rsidR="00BA09D0">
        <w:rPr>
          <w:rFonts w:eastAsia="Calibri" w:cs="Calibri"/>
          <w:lang w:eastAsia="it-IT"/>
        </w:rPr>
        <w:t>Pharmeg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30C29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/>
          <w:bCs/>
          <w:color w:val="000000"/>
          <w:lang w:eastAsia="it-IT"/>
        </w:rPr>
        <w:t>Pharmeg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334CE">
        <w:rPr>
          <w:rFonts w:eastAsia="Calibri" w:cs="Calibri"/>
          <w:bCs/>
          <w:iCs/>
          <w:lang w:eastAsia="it-IT"/>
        </w:rPr>
        <w:t xml:space="preserve">Il </w:t>
      </w:r>
      <w:r w:rsidR="008334CE" w:rsidRPr="008334CE">
        <w:rPr>
          <w:rFonts w:eastAsia="Calibri" w:cs="Calibri"/>
          <w:bCs/>
          <w:iCs/>
          <w:lang w:eastAsia="it-IT"/>
        </w:rPr>
        <w:t>20 gennaio 2016</w:t>
      </w:r>
      <w:r w:rsidRPr="008334C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730C29" w:rsidRPr="008334CE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730C29" w:rsidRPr="008334CE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A09D0" w:rsidRPr="008334CE">
        <w:rPr>
          <w:rFonts w:eastAsia="Calibri" w:cs="Calibri"/>
          <w:bCs/>
          <w:color w:val="000000"/>
          <w:lang w:eastAsia="it-IT"/>
        </w:rPr>
        <w:t>Pharmeg</w:t>
      </w:r>
      <w:proofErr w:type="spellEnd"/>
      <w:r w:rsidRPr="008334CE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30C29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Cs/>
          <w:color w:val="000000"/>
          <w:lang w:eastAsia="it-IT"/>
        </w:rPr>
        <w:t>Pharmeg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07572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371932" w:rsidRDefault="00371932" w:rsidP="00AB54C2"/>
    <w:p w:rsidR="003C6D08" w:rsidRDefault="003C6D08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BA09D0">
        <w:t>Pharmeg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 w:rsidRPr="008334CE">
        <w:t>Pharmeg</w:t>
      </w:r>
      <w:proofErr w:type="spellEnd"/>
      <w:r w:rsidR="00B9671B" w:rsidRPr="008334CE">
        <w:t xml:space="preserve"> </w:t>
      </w:r>
      <w:r w:rsidRPr="008334CE">
        <w:rPr>
          <w:rFonts w:eastAsia="Calibri" w:cs="Calibri"/>
          <w:bCs/>
          <w:iCs/>
          <w:lang w:eastAsia="it-IT"/>
        </w:rPr>
        <w:t xml:space="preserve">il </w:t>
      </w:r>
      <w:r w:rsidR="008334CE" w:rsidRPr="008334CE">
        <w:rPr>
          <w:rFonts w:eastAsia="Calibri" w:cs="Calibri"/>
          <w:bCs/>
          <w:iCs/>
          <w:lang w:eastAsia="it-IT"/>
        </w:rPr>
        <w:t>20 gennaio 2016</w:t>
      </w:r>
      <w:r>
        <w:t xml:space="preserve">.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730C29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B54C2"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AB54C2">
      <w:pPr>
        <w:spacing w:after="0" w:line="240" w:lineRule="auto"/>
        <w:jc w:val="both"/>
      </w:pPr>
    </w:p>
    <w:p w:rsidR="00AB54C2" w:rsidRPr="00C608F7" w:rsidRDefault="00AB54C2" w:rsidP="00AB54C2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B54C2" w:rsidRPr="00C608F7" w:rsidRDefault="00AB54C2" w:rsidP="00AB54C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730C29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Cs/>
          <w:color w:val="000000"/>
          <w:lang w:eastAsia="it-IT"/>
        </w:rPr>
        <w:t>Pharmeg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="00AB54C2" w:rsidRPr="00AB54C2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Brufen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AB54C2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B54C2" w:rsidRDefault="00730C29" w:rsidP="00AB54C2">
      <w:pPr>
        <w:spacing w:after="0" w:line="240" w:lineRule="auto"/>
        <w:jc w:val="both"/>
        <w:rPr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bCs/>
          <w:color w:val="000000"/>
          <w:lang w:eastAsia="it-IT"/>
        </w:rPr>
        <w:t>Pharmeg</w:t>
      </w:r>
      <w:proofErr w:type="spellEnd"/>
      <w:r w:rsidR="00AB54C2" w:rsidRPr="00AB54C2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AB54C2">
        <w:rPr>
          <w:color w:val="000000"/>
        </w:rPr>
        <w:t>il cui c</w:t>
      </w:r>
      <w:r w:rsidR="00AB54C2" w:rsidRPr="00AB54C2">
        <w:rPr>
          <w:iCs/>
        </w:rPr>
        <w:t xml:space="preserve">odice ATC è </w:t>
      </w:r>
      <w:r w:rsidR="00AB54C2" w:rsidRPr="00AB54C2">
        <w:rPr>
          <w:lang w:eastAsia="it-IT"/>
        </w:rPr>
        <w:t>M01AE01</w:t>
      </w:r>
      <w:r w:rsidR="00AB54C2" w:rsidRPr="00AB54C2">
        <w:rPr>
          <w:rFonts w:eastAsia="DejaVuSans" w:cs="DejaVuSans"/>
        </w:rPr>
        <w:t>,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che è un </w:t>
      </w:r>
      <w:r w:rsidR="00AB54C2" w:rsidRPr="00AB54C2">
        <w:rPr>
          <w:lang w:eastAsia="it-IT"/>
        </w:rPr>
        <w:t xml:space="preserve">analgesico-antinfiammatorio di sintesi, dotato inoltre di spiccata attività antipiretica. Chimicamente è il capostipite dei derivati </w:t>
      </w:r>
      <w:proofErr w:type="spellStart"/>
      <w:r w:rsidR="00AB54C2" w:rsidRPr="00AB54C2">
        <w:rPr>
          <w:lang w:eastAsia="it-IT"/>
        </w:rPr>
        <w:t>fenilpropionici</w:t>
      </w:r>
      <w:proofErr w:type="spellEnd"/>
      <w:r w:rsidR="00AB54C2" w:rsidRPr="00AB54C2">
        <w:rPr>
          <w:lang w:eastAsia="it-IT"/>
        </w:rPr>
        <w:t xml:space="preserve">. 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proofErr w:type="spellStart"/>
      <w:r w:rsidRPr="00AB54C2">
        <w:rPr>
          <w:lang w:eastAsia="it-IT"/>
        </w:rPr>
        <w:t>Ibuprofene</w:t>
      </w:r>
      <w:proofErr w:type="spellEnd"/>
      <w:r w:rsidRPr="00AB54C2">
        <w:rPr>
          <w:lang w:eastAsia="it-IT"/>
        </w:rPr>
        <w:t xml:space="preserve"> è un potente inibitore della sintesi </w:t>
      </w:r>
      <w:proofErr w:type="spellStart"/>
      <w:r w:rsidRPr="00AB54C2">
        <w:rPr>
          <w:lang w:eastAsia="it-IT"/>
        </w:rPr>
        <w:t>prostaglandinica</w:t>
      </w:r>
      <w:proofErr w:type="spellEnd"/>
      <w:r w:rsidRPr="00AB54C2">
        <w:rPr>
          <w:lang w:eastAsia="it-IT"/>
        </w:rPr>
        <w:t xml:space="preserve"> ed esercita la sua attività inibendone la sintesi a livello periferico.</w:t>
      </w:r>
    </w:p>
    <w:p w:rsidR="00AB54C2" w:rsidRPr="00AB54C2" w:rsidRDefault="00AB54C2" w:rsidP="00AB54C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B54C2" w:rsidRPr="00AB54C2" w:rsidRDefault="00730C29" w:rsidP="00AB54C2">
      <w:pPr>
        <w:spacing w:after="0" w:line="240" w:lineRule="auto"/>
        <w:jc w:val="both"/>
        <w:rPr>
          <w:rFonts w:cs="Helvetica"/>
        </w:rPr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AB54C2">
        <w:rPr>
          <w:rFonts w:cs="Helvetica"/>
        </w:rPr>
        <w:t>è utilizzato</w:t>
      </w:r>
      <w:r w:rsidR="00424A5A">
        <w:rPr>
          <w:rFonts w:cs="Helvetica"/>
        </w:rPr>
        <w:t>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AB54C2" w:rsidRPr="00AB54C2" w:rsidRDefault="00AB54C2" w:rsidP="00424A5A">
      <w:pPr>
        <w:spacing w:after="0" w:line="240" w:lineRule="auto"/>
        <w:ind w:left="142" w:hanging="142"/>
        <w:jc w:val="both"/>
        <w:rPr>
          <w:lang w:eastAsia="it-IT"/>
        </w:rPr>
      </w:pPr>
      <w:r w:rsidRPr="00AB54C2">
        <w:rPr>
          <w:lang w:eastAsia="it-IT"/>
        </w:rPr>
        <w:t xml:space="preserve">- 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AB54C2">
        <w:rPr>
          <w:lang w:eastAsia="it-IT"/>
        </w:rPr>
        <w:t>radicolo-nevriti</w:t>
      </w:r>
      <w:proofErr w:type="spellEnd"/>
      <w:r w:rsidRPr="00AB54C2">
        <w:rPr>
          <w:lang w:eastAsia="it-IT"/>
        </w:rPr>
        <w:t xml:space="preserve">; </w:t>
      </w:r>
      <w:proofErr w:type="spellStart"/>
      <w:r w:rsidRPr="00AB54C2">
        <w:rPr>
          <w:lang w:eastAsia="it-IT"/>
        </w:rPr>
        <w:t>fibrositi</w:t>
      </w:r>
      <w:proofErr w:type="spellEnd"/>
      <w:r w:rsidRPr="00AB54C2">
        <w:rPr>
          <w:lang w:eastAsia="it-IT"/>
        </w:rPr>
        <w:t xml:space="preserve">, tenosinoviti, miositi, traumatologia sportiva; artrite reumatoide, morbo di </w:t>
      </w:r>
      <w:proofErr w:type="spellStart"/>
      <w:r w:rsidRPr="00AB54C2">
        <w:rPr>
          <w:lang w:eastAsia="it-IT"/>
        </w:rPr>
        <w:t>Still</w:t>
      </w:r>
      <w:proofErr w:type="spellEnd"/>
      <w:r w:rsidRPr="00AB54C2">
        <w:rPr>
          <w:lang w:eastAsia="it-IT"/>
        </w:rPr>
        <w:t>.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nella pratica dentistica, nei dolori post-estrazione e dopo interventi </w:t>
      </w:r>
      <w:proofErr w:type="spellStart"/>
      <w:r w:rsidRPr="00AB54C2">
        <w:rPr>
          <w:lang w:eastAsia="it-IT"/>
        </w:rPr>
        <w:t>odontostomatologici</w:t>
      </w:r>
      <w:proofErr w:type="spellEnd"/>
      <w:r w:rsidRPr="00AB54C2">
        <w:rPr>
          <w:lang w:eastAsia="it-IT"/>
        </w:rPr>
        <w:t>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in ostetricia: nel dolore </w:t>
      </w:r>
      <w:proofErr w:type="spellStart"/>
      <w:r w:rsidRPr="00AB54C2">
        <w:rPr>
          <w:lang w:eastAsia="it-IT"/>
        </w:rPr>
        <w:t>post-episiotomico</w:t>
      </w:r>
      <w:proofErr w:type="spellEnd"/>
      <w:r w:rsidRPr="00AB54C2">
        <w:rPr>
          <w:lang w:eastAsia="it-IT"/>
        </w:rPr>
        <w:t xml:space="preserve"> e </w:t>
      </w:r>
      <w:proofErr w:type="spellStart"/>
      <w:r w:rsidRPr="00AB54C2">
        <w:rPr>
          <w:lang w:eastAsia="it-IT"/>
        </w:rPr>
        <w:t>post-partum</w:t>
      </w:r>
      <w:proofErr w:type="spellEnd"/>
      <w:r w:rsidRPr="00AB54C2">
        <w:rPr>
          <w:lang w:eastAsia="it-IT"/>
        </w:rPr>
        <w:t>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AB54C2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Poiché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 w:rsidRPr="00AB54C2">
        <w:t xml:space="preserve">contiene un principio attivo noto non sono stati forniti nuovi dati non clinici e clinici: questo approccio è accettabile poiché il medicinale di riferimento </w:t>
      </w:r>
      <w:proofErr w:type="spellStart"/>
      <w:r w:rsidRPr="00AB54C2">
        <w:t>Brufen</w:t>
      </w:r>
      <w:proofErr w:type="spellEnd"/>
      <w:r w:rsidRPr="00AB54C2">
        <w:t xml:space="preserve"> è autorizzato in Italia da oltre 10 anni.</w:t>
      </w: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La richiesta di AIC è supportata da uno studio di bioequivalenza che ha confrontato i profili farmacocinetici del medicinale test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 w:rsidRPr="00AB54C2">
        <w:t xml:space="preserve">e quelli del medicinale di riferimento </w:t>
      </w:r>
      <w:proofErr w:type="spellStart"/>
      <w:r w:rsidRPr="00AB54C2">
        <w:t>Brufen</w:t>
      </w:r>
      <w:proofErr w:type="spellEnd"/>
      <w:r w:rsidRPr="00AB54C2">
        <w:t>.</w:t>
      </w:r>
    </w:p>
    <w:p w:rsidR="00AB54C2" w:rsidRPr="00900C91" w:rsidRDefault="00AB54C2" w:rsidP="00AB54C2">
      <w:pPr>
        <w:spacing w:after="0" w:line="240" w:lineRule="auto"/>
        <w:jc w:val="both"/>
      </w:pPr>
      <w:r w:rsidRPr="00AB54C2">
        <w:t>Lo studio</w:t>
      </w:r>
      <w:r w:rsidRPr="00900C91">
        <w:t xml:space="preserve">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826C22" w:rsidRDefault="00AB54C2" w:rsidP="00826C22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26C22">
        <w:t xml:space="preserve">Le autorità </w:t>
      </w:r>
      <w:r w:rsidR="009635D4">
        <w:t>regolatorie</w:t>
      </w:r>
      <w:r w:rsidR="00826C22">
        <w:t xml:space="preserve"> europee competenti hanno rilasciato i certificati GMP per i siti di produzione.</w:t>
      </w:r>
    </w:p>
    <w:p w:rsidR="00AB54C2" w:rsidRPr="00900C91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AB54C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71932" w:rsidRDefault="00371932" w:rsidP="00AB54C2">
      <w:pPr>
        <w:spacing w:after="0" w:line="240" w:lineRule="auto"/>
        <w:jc w:val="both"/>
      </w:pPr>
    </w:p>
    <w:p w:rsidR="00371932" w:rsidRDefault="00371932" w:rsidP="00AB54C2">
      <w:pPr>
        <w:spacing w:after="0" w:line="240" w:lineRule="auto"/>
        <w:jc w:val="both"/>
      </w:pPr>
    </w:p>
    <w:p w:rsidR="00AB54C2" w:rsidRPr="00EE29EF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E29EF">
        <w:rPr>
          <w:b/>
        </w:rPr>
        <w:t xml:space="preserve">ASPETTI </w:t>
      </w:r>
      <w:proofErr w:type="spellStart"/>
      <w:r w:rsidRPr="00EE29EF">
        <w:rPr>
          <w:b/>
        </w:rPr>
        <w:t>DI</w:t>
      </w:r>
      <w:proofErr w:type="spellEnd"/>
      <w:r w:rsidRPr="00EE29EF">
        <w:rPr>
          <w:b/>
        </w:rPr>
        <w:t xml:space="preserve"> QUALITA’</w:t>
      </w:r>
    </w:p>
    <w:p w:rsidR="00AB54C2" w:rsidRPr="00EE29EF" w:rsidRDefault="00AB54C2" w:rsidP="00AB54C2">
      <w:pPr>
        <w:spacing w:after="0" w:line="240" w:lineRule="auto"/>
        <w:jc w:val="both"/>
      </w:pPr>
      <w:r w:rsidRPr="00EE29EF">
        <w:rPr>
          <w:b/>
        </w:rPr>
        <w:t>II.1 PRINCIPIO ATTIVO IBUPROFENE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EE29EF">
        <w:rPr>
          <w:u w:val="single"/>
        </w:rPr>
        <w:t>Nome chimico</w:t>
      </w:r>
      <w:r w:rsidRPr="00EE29EF">
        <w:t xml:space="preserve">: </w:t>
      </w:r>
      <w:r w:rsidR="00EE29EF" w:rsidRPr="00EE29EF">
        <w:rPr>
          <w:rStyle w:val="s1"/>
          <w:rFonts w:asciiTheme="minorHAnsi" w:hAnsiTheme="minorHAnsi"/>
        </w:rPr>
        <w:t>(2</w:t>
      </w:r>
      <w:r w:rsidR="00EE29EF" w:rsidRPr="00EE29EF">
        <w:rPr>
          <w:rStyle w:val="s1"/>
          <w:rFonts w:asciiTheme="minorHAnsi" w:hAnsiTheme="minorHAnsi"/>
          <w:i/>
          <w:iCs/>
        </w:rPr>
        <w:t>RS</w:t>
      </w:r>
      <w:r w:rsidR="00EE29EF" w:rsidRPr="00EE29EF">
        <w:rPr>
          <w:rStyle w:val="s1"/>
          <w:rFonts w:asciiTheme="minorHAnsi" w:hAnsiTheme="minorHAnsi"/>
        </w:rPr>
        <w:t>)-2-[4-(2-Methylpropyl)</w:t>
      </w:r>
      <w:proofErr w:type="spellStart"/>
      <w:r w:rsidR="00EE29EF" w:rsidRPr="00EE29EF">
        <w:rPr>
          <w:rStyle w:val="s1"/>
          <w:rFonts w:asciiTheme="minorHAnsi" w:hAnsiTheme="minorHAnsi"/>
        </w:rPr>
        <w:t>phenyl</w:t>
      </w:r>
      <w:proofErr w:type="spellEnd"/>
      <w:r w:rsidR="00EE29EF" w:rsidRPr="00EE29EF">
        <w:rPr>
          <w:rStyle w:val="s1"/>
          <w:rFonts w:asciiTheme="minorHAnsi" w:hAnsiTheme="minorHAnsi"/>
        </w:rPr>
        <w:t>]</w:t>
      </w:r>
      <w:proofErr w:type="spellStart"/>
      <w:r w:rsidR="00EE29EF" w:rsidRPr="00EE29EF">
        <w:rPr>
          <w:rStyle w:val="s1"/>
          <w:rFonts w:asciiTheme="minorHAnsi" w:hAnsiTheme="minorHAnsi"/>
        </w:rPr>
        <w:t>propanoic</w:t>
      </w:r>
      <w:proofErr w:type="spellEnd"/>
      <w:r w:rsidR="00EE29EF" w:rsidRPr="00EE29EF">
        <w:rPr>
          <w:rStyle w:val="s1"/>
          <w:rFonts w:asciiTheme="minorHAnsi" w:hAnsiTheme="minorHAnsi"/>
        </w:rPr>
        <w:t xml:space="preserve"> acid</w:t>
      </w:r>
      <w:r w:rsidRPr="00EE29EF">
        <w:rPr>
          <w:rStyle w:val="s1"/>
          <w:rFonts w:asciiTheme="minorHAnsi" w:hAnsiTheme="minorHAnsi"/>
        </w:rPr>
        <w:t>.</w:t>
      </w:r>
    </w:p>
    <w:p w:rsidR="00BA09D0" w:rsidRPr="00EE29EF" w:rsidRDefault="00BA09D0" w:rsidP="00AB54C2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AB54C2" w:rsidRPr="00EE29EF" w:rsidRDefault="00AB54C2" w:rsidP="00AB54C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EE29EF">
        <w:rPr>
          <w:u w:val="single"/>
        </w:rPr>
        <w:t>Struttura</w:t>
      </w:r>
      <w:r w:rsidRPr="00EE29EF">
        <w:t>:</w:t>
      </w:r>
    </w:p>
    <w:p w:rsidR="00AB54C2" w:rsidRPr="00EE29EF" w:rsidRDefault="00EE29EF" w:rsidP="00AB54C2">
      <w:pPr>
        <w:spacing w:after="0" w:line="240" w:lineRule="auto"/>
        <w:jc w:val="center"/>
        <w:rPr>
          <w:noProof/>
          <w:lang w:eastAsia="it-IT"/>
        </w:rPr>
      </w:pPr>
      <w:r w:rsidRPr="00EE29EF">
        <w:rPr>
          <w:rFonts w:cs="Arial"/>
          <w:noProof/>
          <w:lang w:eastAsia="it-IT"/>
        </w:rPr>
        <w:drawing>
          <wp:inline distT="0" distB="0" distL="0" distR="0">
            <wp:extent cx="1714335" cy="473271"/>
            <wp:effectExtent l="19050" t="0" r="165" b="0"/>
            <wp:docPr id="3" name="Immagine 1" descr="P:\_dp\804\XML-IN\Images\cf072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721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66" cy="4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EE29EF" w:rsidRDefault="00EE29EF" w:rsidP="00EE29EF">
      <w:pPr>
        <w:spacing w:after="0" w:line="240" w:lineRule="auto"/>
        <w:jc w:val="center"/>
        <w:rPr>
          <w:highlight w:val="yellow"/>
        </w:rPr>
      </w:pPr>
    </w:p>
    <w:p w:rsidR="00EE29EF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EE29EF">
        <w:rPr>
          <w:u w:val="single"/>
        </w:rPr>
        <w:t>Formula molecolare</w:t>
      </w:r>
      <w:r w:rsidRPr="00EE29EF">
        <w:t>:</w:t>
      </w:r>
      <w:r w:rsidRPr="00EE29EF">
        <w:rPr>
          <w:rStyle w:val="s1"/>
          <w:rFonts w:asciiTheme="minorHAnsi" w:hAnsiTheme="minorHAnsi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C</w:t>
      </w:r>
      <w:r w:rsidR="00EE29EF" w:rsidRPr="00EE29EF">
        <w:rPr>
          <w:rStyle w:val="s1"/>
          <w:rFonts w:asciiTheme="minorHAnsi" w:hAnsiTheme="minorHAnsi"/>
          <w:vertAlign w:val="subscript"/>
        </w:rPr>
        <w:t>13</w:t>
      </w:r>
      <w:r w:rsidR="00EE29EF" w:rsidRPr="00EE29EF">
        <w:rPr>
          <w:rStyle w:val="s1"/>
          <w:rFonts w:asciiTheme="minorHAnsi" w:hAnsiTheme="minorHAnsi"/>
        </w:rPr>
        <w:t>H</w:t>
      </w:r>
      <w:r w:rsidR="00EE29EF" w:rsidRPr="00EE29EF">
        <w:rPr>
          <w:rStyle w:val="s1"/>
          <w:rFonts w:asciiTheme="minorHAnsi" w:hAnsiTheme="minorHAnsi"/>
          <w:vertAlign w:val="subscript"/>
        </w:rPr>
        <w:t>18</w:t>
      </w:r>
      <w:r w:rsidR="00EE29EF" w:rsidRPr="00EE29EF">
        <w:rPr>
          <w:rStyle w:val="s1"/>
          <w:rFonts w:asciiTheme="minorHAnsi" w:hAnsiTheme="minorHAnsi"/>
        </w:rPr>
        <w:t>O</w:t>
      </w:r>
      <w:r w:rsidR="00EE29EF" w:rsidRPr="00EE29EF">
        <w:rPr>
          <w:rStyle w:val="s1"/>
          <w:rFonts w:asciiTheme="minorHAnsi" w:hAnsiTheme="minorHAnsi"/>
          <w:vertAlign w:val="subscript"/>
        </w:rPr>
        <w:t>2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Peso molecolare</w:t>
      </w:r>
      <w:r w:rsidRPr="00EE29EF">
        <w:t>:</w:t>
      </w:r>
      <w:r w:rsidRPr="00EE29EF">
        <w:rPr>
          <w:rFonts w:cs="Arial"/>
          <w:color w:val="252525"/>
          <w:shd w:val="clear" w:color="auto" w:fill="F9F9F9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206.3</w:t>
      </w:r>
      <w:r w:rsidR="00EE29EF" w:rsidRPr="00EE29EF">
        <w:rPr>
          <w:rFonts w:cs="Arial"/>
          <w:color w:val="252525"/>
          <w:shd w:val="clear" w:color="auto" w:fill="F9F9F9"/>
        </w:rPr>
        <w:t xml:space="preserve"> </w:t>
      </w:r>
      <w:r w:rsidRPr="00EE29EF">
        <w:rPr>
          <w:rStyle w:val="s1"/>
          <w:rFonts w:asciiTheme="minorHAnsi" w:hAnsiTheme="minorHAnsi"/>
        </w:rPr>
        <w:t>g/mol</w:t>
      </w:r>
    </w:p>
    <w:p w:rsidR="00AB54C2" w:rsidRPr="00EE29EF" w:rsidRDefault="00AB54C2" w:rsidP="00EE29E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E29E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E29EF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EE29EF">
        <w:rPr>
          <w:rStyle w:val="s1"/>
          <w:rFonts w:asciiTheme="minorHAnsi" w:hAnsiTheme="minorHAnsi"/>
          <w:b w:val="0"/>
          <w:sz w:val="22"/>
          <w:szCs w:val="22"/>
        </w:rPr>
        <w:t>[15687-27-1]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Aspetto</w:t>
      </w:r>
      <w:r w:rsidRPr="00EE29EF">
        <w:t xml:space="preserve">: polvere </w:t>
      </w:r>
      <w:r w:rsidR="00EE29EF" w:rsidRPr="00EE29EF">
        <w:t xml:space="preserve">cristallina </w:t>
      </w:r>
      <w:r w:rsidRPr="00EE29EF">
        <w:t>bianca o quasi bianca</w:t>
      </w:r>
      <w:r w:rsidR="00EE29EF" w:rsidRPr="00EE29EF">
        <w:t xml:space="preserve"> o cristalli incolori</w:t>
      </w:r>
    </w:p>
    <w:p w:rsidR="00AB54C2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E29EF">
        <w:rPr>
          <w:u w:val="single"/>
        </w:rPr>
        <w:t>Solubilità</w:t>
      </w:r>
      <w:r w:rsidRPr="00EE29EF">
        <w:t>: praticamente insolubile in acqua</w:t>
      </w:r>
      <w:r w:rsidRPr="00EE29EF">
        <w:rPr>
          <w:rStyle w:val="s1"/>
          <w:rFonts w:asciiTheme="minorHAnsi" w:hAnsiTheme="minorHAnsi"/>
        </w:rPr>
        <w:t>, molto solubile in</w:t>
      </w:r>
      <w:r w:rsidR="00EE29EF" w:rsidRPr="00EE29EF">
        <w:rPr>
          <w:rStyle w:val="s1"/>
          <w:rFonts w:asciiTheme="minorHAnsi" w:hAnsiTheme="minorHAnsi"/>
        </w:rPr>
        <w:t xml:space="preserve"> acetone, metanolo e</w:t>
      </w:r>
      <w:r w:rsidRPr="00EE29EF">
        <w:rPr>
          <w:rStyle w:val="s1"/>
          <w:rFonts w:asciiTheme="minorHAnsi" w:hAnsiTheme="minorHAnsi"/>
        </w:rPr>
        <w:t xml:space="preserve"> metilene cloruro</w:t>
      </w:r>
      <w:r w:rsidR="00EE29EF" w:rsidRPr="00EE29EF">
        <w:rPr>
          <w:rStyle w:val="s1"/>
          <w:rFonts w:asciiTheme="minorHAnsi" w:hAnsiTheme="minorHAnsi"/>
        </w:rPr>
        <w:t>. Si scioglie in soluzioni diluite di id</w:t>
      </w:r>
      <w:r w:rsidR="002937E3">
        <w:rPr>
          <w:rStyle w:val="s1"/>
          <w:rFonts w:asciiTheme="minorHAnsi" w:hAnsiTheme="minorHAnsi"/>
        </w:rPr>
        <w:t>ro</w:t>
      </w:r>
      <w:r w:rsidR="00EE29EF" w:rsidRPr="00EE29EF">
        <w:rPr>
          <w:rStyle w:val="s1"/>
          <w:rFonts w:asciiTheme="minorHAnsi" w:hAnsiTheme="minorHAnsi"/>
        </w:rPr>
        <w:t>ssidi alcalini e carbonati.</w:t>
      </w:r>
    </w:p>
    <w:p w:rsidR="00AB54C2" w:rsidRPr="00EE29EF" w:rsidRDefault="00AB54C2" w:rsidP="00EE29EF">
      <w:pPr>
        <w:spacing w:after="0" w:line="240" w:lineRule="auto"/>
        <w:jc w:val="both"/>
        <w:rPr>
          <w:highlight w:val="yellow"/>
        </w:rPr>
      </w:pPr>
    </w:p>
    <w:p w:rsidR="009F16FA" w:rsidRDefault="009F16FA" w:rsidP="009F16FA">
      <w:pPr>
        <w:spacing w:after="0" w:line="240" w:lineRule="auto"/>
        <w:jc w:val="both"/>
      </w:pPr>
      <w:r w:rsidRPr="00EE29EF">
        <w:t xml:space="preserve">Il principio attivo </w:t>
      </w:r>
      <w:proofErr w:type="spellStart"/>
      <w:r w:rsidRPr="00EE29EF">
        <w:t>ibuprofene</w:t>
      </w:r>
      <w:proofErr w:type="spellEnd"/>
      <w:r w:rsidRPr="00EE29EF">
        <w:t xml:space="preserve"> è presente in Farmacopea Europea </w:t>
      </w:r>
      <w:r w:rsidRPr="00A72D8A">
        <w:t xml:space="preserve">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 w:rsidR="002937E3">
        <w:t>a</w:t>
      </w:r>
      <w:r w:rsidR="00424A5A">
        <w:t>i</w:t>
      </w:r>
      <w:r>
        <w:t xml:space="preserve"> </w:t>
      </w:r>
      <w:r w:rsidRPr="00A72D8A">
        <w:t>produttor</w:t>
      </w:r>
      <w:r>
        <w:t xml:space="preserve">i </w:t>
      </w:r>
      <w:r w:rsidR="002937E3">
        <w:t>di principio attivo</w:t>
      </w:r>
      <w:r w:rsidRPr="00A72D8A">
        <w:t xml:space="preserve"> </w:t>
      </w:r>
      <w:r w:rsidR="00424A5A">
        <w:t xml:space="preserve">proposti </w:t>
      </w:r>
      <w:r w:rsidRPr="00A72D8A">
        <w:t>il certificato di conformità alla Farmacopea Europea</w:t>
      </w:r>
      <w:r>
        <w:t>.</w:t>
      </w:r>
    </w:p>
    <w:p w:rsidR="009F16FA" w:rsidRPr="005C6DF2" w:rsidRDefault="009F16FA" w:rsidP="009F16FA">
      <w:pPr>
        <w:spacing w:after="0" w:line="240" w:lineRule="auto"/>
        <w:jc w:val="both"/>
      </w:pPr>
      <w:r w:rsidRPr="005C6DF2">
        <w:t xml:space="preserve">Tutti gli aspetti di produzione e controllo sono coperti dal certificato di conformità alla Farmacopea Europea. Il principio attivo è confezionato </w:t>
      </w:r>
      <w:r>
        <w:t>in contenitori di polietilene.</w:t>
      </w:r>
      <w:r w:rsidRPr="005C6DF2">
        <w:t xml:space="preserve"> </w:t>
      </w:r>
      <w:r w:rsidR="003C6D08">
        <w:t>Il</w:t>
      </w:r>
      <w:r w:rsidRPr="005C6DF2">
        <w:t xml:space="preserve"> periodo di </w:t>
      </w:r>
      <w:proofErr w:type="spellStart"/>
      <w:r w:rsidRPr="005C6DF2">
        <w:t>retest</w:t>
      </w:r>
      <w:proofErr w:type="spellEnd"/>
      <w:r w:rsidRPr="005C6DF2">
        <w:t xml:space="preserve"> è definito in</w:t>
      </w:r>
      <w:r>
        <w:t xml:space="preserve"> </w:t>
      </w:r>
      <w:r w:rsidRPr="005C6DF2">
        <w:t>4</w:t>
      </w:r>
      <w:r>
        <w:t xml:space="preserve"> anni</w:t>
      </w:r>
      <w:r w:rsidRPr="005C6DF2">
        <w:t xml:space="preserve">. </w:t>
      </w:r>
    </w:p>
    <w:p w:rsidR="00AB54C2" w:rsidRPr="00C97A20" w:rsidRDefault="00AB54C2" w:rsidP="00EE29EF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EF5475" w:rsidRDefault="00730C29" w:rsidP="00AB54C2">
      <w:pPr>
        <w:widowControl w:val="0"/>
        <w:spacing w:after="0" w:line="240" w:lineRule="auto"/>
        <w:jc w:val="both"/>
      </w:pPr>
      <w:proofErr w:type="spellStart"/>
      <w:r w:rsidRPr="00EF5475">
        <w:rPr>
          <w:rFonts w:eastAsia="Calibri" w:cs="Calibri"/>
          <w:color w:val="000000"/>
          <w:lang w:eastAsia="it-IT"/>
        </w:rPr>
        <w:t>Ibuprofene</w:t>
      </w:r>
      <w:proofErr w:type="spellEnd"/>
      <w:r w:rsidRPr="00EF547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 w:rsidRPr="00EF5475">
        <w:rPr>
          <w:rFonts w:eastAsia="Calibri" w:cs="Calibri"/>
          <w:color w:val="000000"/>
          <w:lang w:eastAsia="it-IT"/>
        </w:rPr>
        <w:t xml:space="preserve"> </w:t>
      </w:r>
      <w:r w:rsidR="00AB54C2" w:rsidRPr="00EF5475">
        <w:rPr>
          <w:rFonts w:eastAsia="Calibri" w:cs="Calibri"/>
          <w:color w:val="000000"/>
          <w:lang w:eastAsia="it-IT"/>
        </w:rPr>
        <w:t>è disponibile in compresse</w:t>
      </w:r>
      <w:r w:rsidR="00097D78" w:rsidRPr="00EF5475">
        <w:rPr>
          <w:rFonts w:eastAsia="Calibri" w:cs="Calibri"/>
          <w:color w:val="000000"/>
          <w:lang w:eastAsia="it-IT"/>
        </w:rPr>
        <w:t xml:space="preserve"> rivestite con film</w:t>
      </w:r>
      <w:r w:rsidR="00AB54C2" w:rsidRPr="00EF5475">
        <w:rPr>
          <w:rFonts w:eastAsia="Calibri" w:cs="Calibri"/>
          <w:color w:val="000000"/>
          <w:lang w:eastAsia="it-IT"/>
        </w:rPr>
        <w:t xml:space="preserve"> contenenti </w:t>
      </w:r>
      <w:r w:rsidR="00097D78" w:rsidRPr="00EF5475">
        <w:rPr>
          <w:rFonts w:eastAsia="Calibri" w:cs="Calibri"/>
          <w:color w:val="000000"/>
          <w:lang w:eastAsia="it-IT"/>
        </w:rPr>
        <w:t>600 mg</w:t>
      </w:r>
      <w:r w:rsidR="00AB54C2" w:rsidRPr="00EF5475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AB54C2" w:rsidRPr="00EF5475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EF5475">
        <w:rPr>
          <w:rFonts w:eastAsia="Calibri" w:cs="Calibri"/>
          <w:color w:val="000000"/>
          <w:lang w:eastAsia="it-IT"/>
        </w:rPr>
        <w:t>.</w:t>
      </w:r>
    </w:p>
    <w:p w:rsidR="009F16FA" w:rsidRPr="00EF5475" w:rsidRDefault="009F16FA" w:rsidP="009F16FA">
      <w:pPr>
        <w:spacing w:after="0" w:line="240" w:lineRule="auto"/>
        <w:jc w:val="both"/>
      </w:pPr>
      <w:r w:rsidRPr="00EF5475">
        <w:t>Gli eccipienti sono i seguenti:</w:t>
      </w:r>
    </w:p>
    <w:p w:rsidR="00EF5475" w:rsidRPr="00EF5475" w:rsidRDefault="00EF5475" w:rsidP="00EF5475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F5475">
        <w:rPr>
          <w:rFonts w:eastAsia="Times New Roman" w:cs="Times New Roman"/>
          <w:i/>
          <w:lang w:eastAsia="it-IT"/>
        </w:rPr>
        <w:t>Nucleo</w:t>
      </w:r>
      <w:r w:rsidRPr="00EF5475">
        <w:rPr>
          <w:rFonts w:eastAsia="Times New Roman" w:cs="Times New Roman"/>
          <w:lang w:eastAsia="it-IT"/>
        </w:rPr>
        <w:t xml:space="preserve">: cellulosa microcristallina, </w:t>
      </w:r>
      <w:proofErr w:type="spellStart"/>
      <w:r w:rsidRPr="00EF5475">
        <w:rPr>
          <w:rFonts w:eastAsia="Times New Roman" w:cs="Times New Roman"/>
          <w:lang w:eastAsia="it-IT"/>
        </w:rPr>
        <w:t>croscarmellosa</w:t>
      </w:r>
      <w:proofErr w:type="spellEnd"/>
      <w:r w:rsidRPr="00EF5475">
        <w:rPr>
          <w:rFonts w:eastAsia="Times New Roman" w:cs="Times New Roman"/>
          <w:lang w:eastAsia="it-IT"/>
        </w:rPr>
        <w:t xml:space="preserve"> sodica, sodio </w:t>
      </w:r>
      <w:proofErr w:type="spellStart"/>
      <w:r w:rsidRPr="00EF5475">
        <w:rPr>
          <w:rFonts w:eastAsia="Times New Roman" w:cs="Times New Roman"/>
          <w:lang w:eastAsia="it-IT"/>
        </w:rPr>
        <w:t>laurilsolfato</w:t>
      </w:r>
      <w:proofErr w:type="spellEnd"/>
      <w:r w:rsidRPr="00EF5475">
        <w:rPr>
          <w:rFonts w:eastAsia="Times New Roman" w:cs="Times New Roman"/>
          <w:lang w:eastAsia="it-IT"/>
        </w:rPr>
        <w:t xml:space="preserve">, </w:t>
      </w:r>
      <w:proofErr w:type="spellStart"/>
      <w:r w:rsidRPr="00EF5475">
        <w:rPr>
          <w:rFonts w:eastAsia="Times New Roman" w:cs="Times New Roman"/>
          <w:lang w:eastAsia="it-IT"/>
        </w:rPr>
        <w:t>ipromellosa</w:t>
      </w:r>
      <w:proofErr w:type="spellEnd"/>
      <w:r w:rsidRPr="00EF5475">
        <w:rPr>
          <w:rFonts w:eastAsia="Times New Roman" w:cs="Times New Roman"/>
          <w:lang w:eastAsia="it-IT"/>
        </w:rPr>
        <w:t xml:space="preserve">, </w:t>
      </w:r>
      <w:r w:rsidRPr="00EF5475">
        <w:rPr>
          <w:rFonts w:eastAsia="Times New Roman" w:cs="Times New Roman"/>
          <w:bCs/>
          <w:lang w:eastAsia="it-IT"/>
        </w:rPr>
        <w:t>lattosio monoidrato</w:t>
      </w:r>
      <w:r w:rsidRPr="00EF5475">
        <w:rPr>
          <w:rFonts w:eastAsia="Times New Roman" w:cs="Times New Roman"/>
          <w:lang w:eastAsia="it-IT"/>
        </w:rPr>
        <w:t xml:space="preserve">, talco,  silice colloidale anidra, glicerolo </w:t>
      </w:r>
      <w:proofErr w:type="spellStart"/>
      <w:r w:rsidRPr="00EF5475">
        <w:rPr>
          <w:rFonts w:eastAsia="Times New Roman" w:cs="Times New Roman"/>
          <w:lang w:eastAsia="it-IT"/>
        </w:rPr>
        <w:t>dibeenato</w:t>
      </w:r>
      <w:proofErr w:type="spellEnd"/>
    </w:p>
    <w:p w:rsidR="00EF5475" w:rsidRPr="00EF5475" w:rsidRDefault="00EF5475" w:rsidP="00EF5475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F5475">
        <w:rPr>
          <w:rFonts w:eastAsia="Times New Roman" w:cs="Times New Roman"/>
          <w:i/>
          <w:lang w:eastAsia="it-IT"/>
        </w:rPr>
        <w:t>Rivestimento</w:t>
      </w:r>
      <w:r w:rsidRPr="00EF5475">
        <w:rPr>
          <w:rFonts w:eastAsia="Times New Roman" w:cs="Times New Roman"/>
          <w:lang w:eastAsia="it-IT"/>
        </w:rPr>
        <w:t xml:space="preserve">: </w:t>
      </w:r>
      <w:proofErr w:type="spellStart"/>
      <w:r w:rsidRPr="00EF5475">
        <w:rPr>
          <w:rFonts w:eastAsia="Times New Roman" w:cs="Times New Roman"/>
          <w:lang w:eastAsia="it-IT"/>
        </w:rPr>
        <w:t>ipromellosa</w:t>
      </w:r>
      <w:proofErr w:type="spellEnd"/>
      <w:r w:rsidRPr="00EF5475">
        <w:rPr>
          <w:rFonts w:eastAsia="Times New Roman" w:cs="Times New Roman"/>
          <w:lang w:eastAsia="it-IT"/>
        </w:rPr>
        <w:t xml:space="preserve">, lattosio monoidrato, </w:t>
      </w:r>
      <w:proofErr w:type="spellStart"/>
      <w:r w:rsidRPr="00EF5475">
        <w:rPr>
          <w:rFonts w:eastAsia="Times New Roman" w:cs="Times New Roman"/>
          <w:lang w:eastAsia="it-IT"/>
        </w:rPr>
        <w:t>triacetina</w:t>
      </w:r>
      <w:proofErr w:type="spellEnd"/>
      <w:r w:rsidRPr="00EF5475">
        <w:rPr>
          <w:rFonts w:eastAsia="Times New Roman" w:cs="Times New Roman"/>
          <w:lang w:eastAsia="it-IT"/>
        </w:rPr>
        <w:t>, titanio diossido</w:t>
      </w:r>
    </w:p>
    <w:p w:rsidR="009F16FA" w:rsidRPr="00EF5475" w:rsidRDefault="009F16FA" w:rsidP="009F16FA">
      <w:pPr>
        <w:spacing w:after="0" w:line="240" w:lineRule="auto"/>
        <w:jc w:val="both"/>
      </w:pPr>
      <w:r w:rsidRPr="00EF5475">
        <w:t>Tutti gli eccipienti sono conformi alla relativa monografia di Farmacopea Europea.</w:t>
      </w:r>
    </w:p>
    <w:p w:rsidR="00EF5475" w:rsidRPr="00FE7080" w:rsidRDefault="00EF5475" w:rsidP="00EF5475">
      <w:pPr>
        <w:spacing w:after="0" w:line="240" w:lineRule="auto"/>
        <w:jc w:val="both"/>
      </w:pPr>
      <w:r w:rsidRPr="00FE7080">
        <w:t>Il solo eccipiente di origine animale è il lattosio; è stata fornita una dichiarazione che nella sua produzione sono utilizzati animali sani della stessa qualità utilizzata per il consumo umano.</w:t>
      </w:r>
    </w:p>
    <w:p w:rsidR="00AB54C2" w:rsidRPr="00EF5475" w:rsidRDefault="00AB54C2" w:rsidP="00AB54C2">
      <w:pPr>
        <w:spacing w:after="0" w:line="240" w:lineRule="auto"/>
        <w:jc w:val="both"/>
      </w:pPr>
      <w:r w:rsidRPr="00EF5475">
        <w:t>Nessun eccipiente è ottenuto da organismi geneticamente modificati; non sono presenti eccipienti mai utilizzati nell’uomo.</w:t>
      </w:r>
    </w:p>
    <w:p w:rsidR="00AB54C2" w:rsidRPr="00EF5475" w:rsidRDefault="00AB54C2" w:rsidP="00AB54C2">
      <w:pPr>
        <w:spacing w:after="0" w:line="240" w:lineRule="auto"/>
        <w:jc w:val="both"/>
      </w:pPr>
    </w:p>
    <w:p w:rsidR="00AB54C2" w:rsidRPr="00EF5475" w:rsidRDefault="00AB54C2" w:rsidP="00AB54C2">
      <w:pPr>
        <w:spacing w:after="0" w:line="240" w:lineRule="auto"/>
        <w:jc w:val="both"/>
        <w:rPr>
          <w:b/>
        </w:rPr>
      </w:pPr>
      <w:r w:rsidRPr="00EF5475">
        <w:rPr>
          <w:b/>
        </w:rPr>
        <w:t>Sviluppo farmaceutico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Pr="00097D78">
        <w:t>bioequivalente</w:t>
      </w:r>
      <w:proofErr w:type="spellEnd"/>
      <w:r w:rsidRPr="00097D78">
        <w:t xml:space="preserve"> al medicinale di riferimento </w:t>
      </w:r>
      <w:proofErr w:type="spellStart"/>
      <w:r w:rsidRPr="00097D78">
        <w:t>Brufen</w:t>
      </w:r>
      <w:proofErr w:type="spellEnd"/>
      <w:r w:rsidRPr="00097D78">
        <w:t>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097D78" w:rsidRPr="00C97A20" w:rsidRDefault="00097D78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424A5A">
        <w:t>i</w:t>
      </w:r>
      <w:r w:rsidRPr="00C97A20">
        <w:t>l prodotto finito: questi dati dimostrano che i lotti prodotti sono in accordo alle specifiche proposte. Sono stati forniti, infine, certificati analitici per gli standard di riferimento utilizzati.</w:t>
      </w:r>
    </w:p>
    <w:p w:rsidR="00371932" w:rsidRDefault="0037193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B54C2" w:rsidRDefault="00730C29" w:rsidP="00AB54C2">
      <w:pPr>
        <w:spacing w:after="0" w:line="240" w:lineRule="auto"/>
        <w:jc w:val="both"/>
      </w:pPr>
      <w:proofErr w:type="spellStart"/>
      <w:r>
        <w:t>Ibuprofene</w:t>
      </w:r>
      <w:proofErr w:type="spellEnd"/>
      <w:r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 w:rsidR="00AB54C2" w:rsidRPr="00C97A20">
        <w:t>è confezionato in blister trasparente di PVC/</w:t>
      </w:r>
      <w:r w:rsidR="00EF5475">
        <w:t>PVDC</w:t>
      </w:r>
      <w:r w:rsidR="00DD27A5">
        <w:t>/Alluminio</w:t>
      </w:r>
      <w:r w:rsidR="00AB54C2" w:rsidRPr="00C97A20">
        <w:t>. Sono state fornite specifiche e certificati analitici per tutti i componenti del confezionamento primario, che è adeguato per il medicinale.</w:t>
      </w:r>
    </w:p>
    <w:p w:rsidR="00AB54C2" w:rsidRDefault="00AB54C2" w:rsidP="00AB54C2">
      <w:pPr>
        <w:spacing w:after="0" w:line="240" w:lineRule="auto"/>
        <w:jc w:val="both"/>
      </w:pPr>
    </w:p>
    <w:p w:rsidR="00BA09D0" w:rsidRPr="00C97A20" w:rsidRDefault="00BA09D0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D27A5">
        <w:t>3</w:t>
      </w:r>
      <w:r>
        <w:t xml:space="preserve"> anni</w:t>
      </w:r>
      <w:r w:rsidRPr="00C97A20">
        <w:t xml:space="preserve">  senza nessuna condizione particolare di conservazione</w:t>
      </w:r>
      <w:r w:rsidR="003C6D08">
        <w:t>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>
        <w:t xml:space="preserve">è considerata adeguata. Non ci sono obiezioni per l’approvazione di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>
        <w:t xml:space="preserve">contiene un principio attivo noto: questo approccio è accettabile poiché il medicinale di riferimento </w:t>
      </w:r>
      <w:proofErr w:type="spellStart"/>
      <w:r w:rsidR="00097D78">
        <w:t>Brufen</w:t>
      </w:r>
      <w:proofErr w:type="spellEnd"/>
      <w:r>
        <w:t xml:space="preserve"> è autorizzato in Italia da oltre 10 anni.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097D78" w:rsidRPr="00AB54C2" w:rsidRDefault="00730C29" w:rsidP="00097D78">
      <w:pPr>
        <w:spacing w:after="0" w:line="240" w:lineRule="auto"/>
        <w:jc w:val="both"/>
        <w:rPr>
          <w:rFonts w:cs="Helvetica"/>
        </w:rPr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09D0">
        <w:rPr>
          <w:rFonts w:eastAsia="Calibri" w:cs="Calibri"/>
          <w:color w:val="000000"/>
          <w:lang w:eastAsia="it-IT"/>
        </w:rPr>
        <w:t>Pharmeg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AB54C2">
        <w:rPr>
          <w:lang w:eastAsia="it-IT"/>
        </w:rPr>
        <w:t>radicolo-nevriti</w:t>
      </w:r>
      <w:proofErr w:type="spellEnd"/>
      <w:r w:rsidRPr="00AB54C2">
        <w:rPr>
          <w:lang w:eastAsia="it-IT"/>
        </w:rPr>
        <w:t xml:space="preserve">; </w:t>
      </w:r>
      <w:proofErr w:type="spellStart"/>
      <w:r w:rsidRPr="00AB54C2">
        <w:rPr>
          <w:lang w:eastAsia="it-IT"/>
        </w:rPr>
        <w:t>fibrositi</w:t>
      </w:r>
      <w:proofErr w:type="spellEnd"/>
      <w:r w:rsidRPr="00AB54C2">
        <w:rPr>
          <w:lang w:eastAsia="it-IT"/>
        </w:rPr>
        <w:t xml:space="preserve">, tenosinoviti, miositi, traumatologia sportiva; artrite reumatoide, morbo di </w:t>
      </w:r>
      <w:proofErr w:type="spellStart"/>
      <w:r w:rsidRPr="00AB54C2">
        <w:rPr>
          <w:lang w:eastAsia="it-IT"/>
        </w:rPr>
        <w:t>Still</w:t>
      </w:r>
      <w:proofErr w:type="spellEnd"/>
      <w:r w:rsidRPr="00AB54C2">
        <w:rPr>
          <w:lang w:eastAsia="it-IT"/>
        </w:rPr>
        <w:t>.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nella pratica dentistica, nei dolori post-estrazione e dopo interventi </w:t>
      </w:r>
      <w:proofErr w:type="spellStart"/>
      <w:r w:rsidRPr="00AB54C2">
        <w:rPr>
          <w:lang w:eastAsia="it-IT"/>
        </w:rPr>
        <w:t>odontostomatologici</w:t>
      </w:r>
      <w:proofErr w:type="spellEnd"/>
      <w:r w:rsidRPr="00AB54C2">
        <w:rPr>
          <w:lang w:eastAsia="it-IT"/>
        </w:rPr>
        <w:t>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in ostetricia: nel dolore </w:t>
      </w:r>
      <w:proofErr w:type="spellStart"/>
      <w:r w:rsidRPr="00AB54C2">
        <w:rPr>
          <w:lang w:eastAsia="it-IT"/>
        </w:rPr>
        <w:t>post-episiotomico</w:t>
      </w:r>
      <w:proofErr w:type="spellEnd"/>
      <w:r w:rsidRPr="00AB54C2">
        <w:rPr>
          <w:lang w:eastAsia="it-IT"/>
        </w:rPr>
        <w:t xml:space="preserve"> e </w:t>
      </w:r>
      <w:proofErr w:type="spellStart"/>
      <w:r w:rsidRPr="00AB54C2">
        <w:rPr>
          <w:lang w:eastAsia="it-IT"/>
        </w:rPr>
        <w:t>post-partum</w:t>
      </w:r>
      <w:proofErr w:type="spellEnd"/>
      <w:r w:rsidRPr="00AB54C2">
        <w:rPr>
          <w:lang w:eastAsia="it-IT"/>
        </w:rPr>
        <w:t>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02468C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ibuprofene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B54C2" w:rsidRDefault="00AB54C2" w:rsidP="00AB54C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ibuprofene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>
        <w:t>Brufen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9F16FA" w:rsidRDefault="00AB54C2" w:rsidP="00AB54C2">
      <w:pPr>
        <w:spacing w:after="0" w:line="240" w:lineRule="auto"/>
        <w:jc w:val="both"/>
        <w:rPr>
          <w:b/>
        </w:rPr>
      </w:pPr>
      <w:r w:rsidRPr="009F16FA">
        <w:rPr>
          <w:b/>
        </w:rPr>
        <w:t>Studio di bioequivalenza</w:t>
      </w:r>
    </w:p>
    <w:p w:rsidR="009F16FA" w:rsidRPr="00017788" w:rsidRDefault="009F16FA" w:rsidP="009F16FA">
      <w:pPr>
        <w:spacing w:after="0" w:line="240" w:lineRule="auto"/>
        <w:jc w:val="both"/>
      </w:pPr>
      <w:r w:rsidRPr="00017788">
        <w:t xml:space="preserve">La richiesta di AIC è supportata da uno studio di bioequivalenza che ha confrontato i profili farmacocinetici di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 w:rsidRPr="00017788">
        <w:t xml:space="preserve">e quelli del medicinale di riferimento </w:t>
      </w:r>
      <w:proofErr w:type="spellStart"/>
      <w:r w:rsidRPr="00017788">
        <w:t>Brufen</w:t>
      </w:r>
      <w:proofErr w:type="spellEnd"/>
      <w:r w:rsidRPr="00017788">
        <w:t>.</w:t>
      </w:r>
    </w:p>
    <w:p w:rsidR="009F16FA" w:rsidRDefault="009F16FA" w:rsidP="009F16FA">
      <w:pPr>
        <w:pStyle w:val="Paragrafoelenco"/>
        <w:spacing w:after="0" w:line="240" w:lineRule="auto"/>
        <w:ind w:left="0"/>
        <w:jc w:val="both"/>
      </w:pPr>
      <w:r w:rsidRPr="00017788">
        <w:t>Lo studio era caratterizzato da un appropriato disegno ed è stato condotto in accordo ai principi GCP. Sono stati forniti certificati analitici per medicinale test e medicinale di riferimento.</w:t>
      </w:r>
    </w:p>
    <w:p w:rsidR="009F16FA" w:rsidRPr="00017788" w:rsidRDefault="009F16FA" w:rsidP="009F16FA">
      <w:pPr>
        <w:spacing w:after="0" w:line="240" w:lineRule="auto"/>
        <w:jc w:val="both"/>
        <w:rPr>
          <w:rFonts w:cs="Arial"/>
        </w:rPr>
      </w:pPr>
      <w:r w:rsidRPr="00017788">
        <w:t xml:space="preserve">Lo studio di bioequivalenza è uno studio comparativo, </w:t>
      </w:r>
      <w:r w:rsidR="00DD27A5">
        <w:t>aperto</w:t>
      </w:r>
      <w:r w:rsidRPr="00017788">
        <w:t xml:space="preserve">,  randomizzato, a dose singola (600 mg), 2-periodi, crossover condotto </w:t>
      </w:r>
      <w:r w:rsidRPr="00DD27A5">
        <w:t xml:space="preserve">in </w:t>
      </w:r>
      <w:r w:rsidR="00DD27A5" w:rsidRPr="00DD27A5">
        <w:t>26</w:t>
      </w:r>
      <w:r w:rsidRPr="00DD27A5">
        <w:t xml:space="preserve"> volontari sani di entrambi</w:t>
      </w:r>
      <w:r w:rsidRPr="00017788">
        <w:t xml:space="preserve"> i sessi con somministrazione a digiuno. </w:t>
      </w:r>
      <w:r w:rsidRPr="00017788">
        <w:rPr>
          <w:rFonts w:cs="Arial"/>
        </w:rPr>
        <w:t xml:space="preserve">Dopo una notte di </w:t>
      </w:r>
      <w:r w:rsidRPr="00017788">
        <w:rPr>
          <w:rFonts w:cs="Arial"/>
        </w:rPr>
        <w:lastRenderedPageBreak/>
        <w:t>digiuno</w:t>
      </w:r>
      <w:r w:rsidR="00DD27A5">
        <w:rPr>
          <w:rFonts w:cs="Arial"/>
        </w:rPr>
        <w:t xml:space="preserve"> (circa 10 ore)</w:t>
      </w:r>
      <w:r w:rsidRPr="00017788">
        <w:rPr>
          <w:rFonts w:cs="Arial"/>
        </w:rPr>
        <w:t>, il medicinale è stato somministrato con acqua</w:t>
      </w:r>
      <w:r w:rsidR="00DD27A5">
        <w:rPr>
          <w:rFonts w:cs="Arial"/>
        </w:rPr>
        <w:t>; il digiuno è proseguito per altre 4 ore dopo la somministrazione</w:t>
      </w:r>
      <w:r w:rsidRPr="00017788">
        <w:rPr>
          <w:rFonts w:cs="Arial"/>
        </w:rPr>
        <w:t xml:space="preserve">. </w:t>
      </w:r>
      <w:r w:rsidRPr="00017788">
        <w:t xml:space="preserve">Un soddisfacente periodo di wash-out di </w:t>
      </w:r>
      <w:r w:rsidRPr="00017788">
        <w:rPr>
          <w:rFonts w:cs="Arial"/>
        </w:rPr>
        <w:t>7 giorni è stato previsto tra le somministrazioni in ogni gruppo.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DD27A5">
        <w:rPr>
          <w:rFonts w:cs="Arial"/>
        </w:rPr>
        <w:t>Campioni di sangue sono stati prelevati al tempo zero (</w:t>
      </w:r>
      <w:proofErr w:type="spellStart"/>
      <w:r w:rsidRPr="00DD27A5">
        <w:rPr>
          <w:rFonts w:cs="Arial"/>
        </w:rPr>
        <w:t>pre-dose</w:t>
      </w:r>
      <w:proofErr w:type="spellEnd"/>
      <w:r w:rsidRPr="00DD27A5">
        <w:rPr>
          <w:rFonts w:cs="Arial"/>
        </w:rPr>
        <w:t>) e a specificati tempi fino a 1</w:t>
      </w:r>
      <w:r w:rsidR="00DD27A5" w:rsidRPr="00DD27A5">
        <w:rPr>
          <w:rFonts w:cs="Arial"/>
        </w:rPr>
        <w:t xml:space="preserve">2 </w:t>
      </w:r>
      <w:r w:rsidRPr="00DD27A5">
        <w:rPr>
          <w:rFonts w:cs="Arial"/>
        </w:rPr>
        <w:t>ore dopo la</w:t>
      </w:r>
      <w:r w:rsidRPr="00017788">
        <w:rPr>
          <w:rFonts w:cs="Arial"/>
        </w:rPr>
        <w:t xml:space="preserve"> somministrazione. I livelli plasmatici </w:t>
      </w:r>
      <w:r w:rsidR="009469B6">
        <w:rPr>
          <w:rFonts w:cs="Arial"/>
        </w:rPr>
        <w:t xml:space="preserve">di </w:t>
      </w:r>
      <w:proofErr w:type="spellStart"/>
      <w:r w:rsidR="002B0F72">
        <w:rPr>
          <w:rFonts w:cs="Arial"/>
        </w:rPr>
        <w:t>ibuprofene</w:t>
      </w:r>
      <w:proofErr w:type="spellEnd"/>
      <w:r w:rsidRPr="00017788">
        <w:rPr>
          <w:rFonts w:cs="Arial"/>
        </w:rPr>
        <w:t xml:space="preserve"> sono stati determinati mediante un </w:t>
      </w:r>
      <w:r w:rsidRPr="00DD27A5">
        <w:rPr>
          <w:rFonts w:cs="Arial"/>
        </w:rPr>
        <w:t>metodo analitico HPLC-MS-MS opportunamente</w:t>
      </w:r>
      <w:r w:rsidRPr="00017788">
        <w:rPr>
          <w:rFonts w:cs="Arial"/>
        </w:rPr>
        <w:t xml:space="preserve"> convalidato.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17788">
        <w:rPr>
          <w:rFonts w:cs="Arial"/>
        </w:rPr>
        <w:t xml:space="preserve">Le variabili farmacocinetiche definite sono state: </w:t>
      </w:r>
      <w:r w:rsidR="00DD27A5" w:rsidRPr="002A4556">
        <w:rPr>
          <w:rFonts w:ascii="Calibri" w:eastAsia="MS Mincho" w:hAnsi="Calibri"/>
          <w:color w:val="000000"/>
        </w:rPr>
        <w:t>AUC</w:t>
      </w:r>
      <w:r w:rsidR="00DD27A5" w:rsidRPr="002A4556">
        <w:rPr>
          <w:rFonts w:ascii="Calibri" w:eastAsia="MS Mincho" w:hAnsi="Calibri"/>
          <w:color w:val="000000"/>
          <w:vertAlign w:val="subscript"/>
        </w:rPr>
        <w:t>0-t (</w:t>
      </w:r>
      <w:r w:rsidR="00DD27A5" w:rsidRPr="002A4556">
        <w:rPr>
          <w:rFonts w:ascii="Calibri" w:eastAsia="MS Mincho" w:hAnsi="Calibri"/>
          <w:color w:val="000000"/>
        </w:rPr>
        <w:t>AUC0</w:t>
      </w:r>
      <w:r w:rsidR="00DD27A5" w:rsidRPr="002A4556">
        <w:rPr>
          <w:rFonts w:ascii="Calibri" w:eastAsia="MS Mincho" w:hAnsi="Calibri"/>
          <w:color w:val="000000"/>
          <w:vertAlign w:val="subscript"/>
        </w:rPr>
        <w:t>-12)</w:t>
      </w:r>
      <w:r w:rsidR="00DD27A5" w:rsidRPr="002A4556">
        <w:rPr>
          <w:rFonts w:ascii="Calibri" w:eastAsia="MS Mincho" w:hAnsi="Calibri"/>
          <w:color w:val="000000"/>
        </w:rPr>
        <w:t>, AUC</w:t>
      </w:r>
      <w:r w:rsidR="00DD27A5" w:rsidRPr="002A4556">
        <w:rPr>
          <w:rFonts w:ascii="Calibri" w:eastAsia="MS Mincho" w:hAnsi="Calibri"/>
          <w:color w:val="000000"/>
          <w:vertAlign w:val="subscript"/>
        </w:rPr>
        <w:t>0-</w:t>
      </w:r>
      <w:r w:rsidR="00DD27A5" w:rsidRPr="002A4556">
        <w:rPr>
          <w:rFonts w:ascii="Calibri" w:hAnsi="Calibri"/>
          <w:color w:val="000000"/>
          <w:vertAlign w:val="subscript"/>
        </w:rPr>
        <w:sym w:font="Symbol" w:char="F0A5"/>
      </w:r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C</w:t>
      </w:r>
      <w:r w:rsidR="00DD27A5" w:rsidRPr="002A4556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t</w:t>
      </w:r>
      <w:r w:rsidR="00DD27A5" w:rsidRPr="002A4556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hAnsi="Calibri"/>
          <w:lang w:eastAsia="it-IT"/>
        </w:rPr>
        <w:t>AUC%</w:t>
      </w:r>
      <w:r w:rsidR="00DD27A5" w:rsidRPr="002A4556">
        <w:rPr>
          <w:rFonts w:ascii="Calibri" w:hAnsi="Calibri"/>
          <w:vertAlign w:val="subscript"/>
          <w:lang w:eastAsia="it-IT"/>
        </w:rPr>
        <w:t>extr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t</w:t>
      </w:r>
      <w:r w:rsidR="00DD27A5" w:rsidRPr="002A4556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Pr="00017788">
        <w:rPr>
          <w:rFonts w:cs="Arial"/>
        </w:rPr>
        <w:t xml:space="preserve">. La bioequivalenza tra medicinale test e medicinale di riferimento è dimostrata se gli intervalli di confidenza al 90% per la trasformata </w:t>
      </w:r>
      <w:r w:rsidRPr="00DD27A5">
        <w:rPr>
          <w:rFonts w:cs="Arial"/>
        </w:rPr>
        <w:t xml:space="preserve">logaritmica di </w:t>
      </w:r>
      <w:proofErr w:type="spellStart"/>
      <w:r w:rsidRPr="00DD27A5">
        <w:rPr>
          <w:rFonts w:cs="Arial"/>
        </w:rPr>
        <w:t>C</w:t>
      </w:r>
      <w:r w:rsidRPr="00DD27A5">
        <w:rPr>
          <w:rFonts w:cs="Arial"/>
          <w:vertAlign w:val="subscript"/>
        </w:rPr>
        <w:t>max</w:t>
      </w:r>
      <w:proofErr w:type="spellEnd"/>
      <w:r w:rsidR="00DD27A5" w:rsidRPr="00DD27A5">
        <w:rPr>
          <w:rFonts w:cs="Arial"/>
        </w:rPr>
        <w:t xml:space="preserve">, </w:t>
      </w:r>
      <w:r w:rsidR="00DD27A5" w:rsidRPr="00DD27A5">
        <w:t>AUC</w:t>
      </w:r>
      <w:r w:rsidR="00DD27A5" w:rsidRPr="00DD27A5">
        <w:rPr>
          <w:vertAlign w:val="subscript"/>
        </w:rPr>
        <w:t>0-∞</w:t>
      </w:r>
      <w:r w:rsidR="00DD27A5" w:rsidRPr="00DD27A5">
        <w:rPr>
          <w:b/>
        </w:rPr>
        <w:t xml:space="preserve"> </w:t>
      </w:r>
      <w:r w:rsidRPr="00DD27A5">
        <w:rPr>
          <w:rFonts w:cs="Arial"/>
        </w:rPr>
        <w:t>e AUC</w:t>
      </w:r>
      <w:r w:rsidRPr="00DD27A5">
        <w:rPr>
          <w:rFonts w:cs="Arial"/>
          <w:vertAlign w:val="subscript"/>
        </w:rPr>
        <w:t>0-t</w:t>
      </w:r>
      <w:r w:rsidRPr="00017788">
        <w:rPr>
          <w:rFonts w:cs="Arial"/>
        </w:rPr>
        <w:t xml:space="preserve"> cadono nel </w:t>
      </w:r>
      <w:proofErr w:type="spellStart"/>
      <w:r w:rsidRPr="00017788">
        <w:rPr>
          <w:rFonts w:cs="Arial"/>
        </w:rPr>
        <w:t>range</w:t>
      </w:r>
      <w:proofErr w:type="spellEnd"/>
      <w:r w:rsidRPr="00017788">
        <w:rPr>
          <w:rFonts w:cs="Arial"/>
        </w:rPr>
        <w:t xml:space="preserve"> di accettabilità di 0.80-1.25 (80%-125%).</w:t>
      </w:r>
    </w:p>
    <w:p w:rsidR="009F16FA" w:rsidRPr="001D08F6" w:rsidRDefault="009F16FA" w:rsidP="009F16FA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9F16FA" w:rsidRPr="006B4A46" w:rsidRDefault="009F16FA" w:rsidP="009F16F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6B4A46">
        <w:rPr>
          <w:u w:val="single"/>
        </w:rPr>
        <w:t>Risultati</w:t>
      </w:r>
    </w:p>
    <w:p w:rsidR="009F16FA" w:rsidRPr="006B4A46" w:rsidRDefault="00DD27A5" w:rsidP="009469B6">
      <w:pPr>
        <w:spacing w:after="0" w:line="240" w:lineRule="auto"/>
        <w:jc w:val="both"/>
      </w:pPr>
      <w:r>
        <w:rPr>
          <w:rFonts w:cs="Arial"/>
        </w:rPr>
        <w:t>26</w:t>
      </w:r>
      <w:r w:rsidR="009F16FA" w:rsidRPr="006B4A46">
        <w:rPr>
          <w:rFonts w:cs="Arial"/>
        </w:rPr>
        <w:t xml:space="preserve"> volontari sani sono stati arruolati negli studi. </w:t>
      </w:r>
      <w:r w:rsidR="009F16FA" w:rsidRPr="006B4A46">
        <w:t>2</w:t>
      </w:r>
      <w:r>
        <w:t>3</w:t>
      </w:r>
      <w:r w:rsidR="009F16FA" w:rsidRPr="006B4A46">
        <w:t xml:space="preserve"> soggetti hanno completato</w:t>
      </w:r>
      <w:r w:rsidR="003C6D08">
        <w:t xml:space="preserve"> la</w:t>
      </w:r>
      <w:r w:rsidR="009F16FA" w:rsidRPr="006B4A46">
        <w:t xml:space="preserve"> fase clinica e sono stati analizzati.</w:t>
      </w:r>
    </w:p>
    <w:p w:rsidR="009F16FA" w:rsidRPr="001D08F6" w:rsidRDefault="009F16FA" w:rsidP="009469B6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9F16FA" w:rsidRPr="00CA46D9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CA46D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F16FA" w:rsidRPr="001D08F6" w:rsidRDefault="009F16FA" w:rsidP="009469B6">
      <w:pPr>
        <w:spacing w:after="0" w:line="240" w:lineRule="auto"/>
        <w:jc w:val="both"/>
      </w:pPr>
      <w:r w:rsidRPr="00CA46D9">
        <w:rPr>
          <w:rFonts w:cs="Arial"/>
        </w:rPr>
        <w:t>Nel corso dello studio, non sono stati riscontrati</w:t>
      </w:r>
      <w:r w:rsidRPr="00CA46D9">
        <w:t xml:space="preserve"> eventi avversi </w:t>
      </w:r>
      <w:r w:rsidR="009469B6">
        <w:t xml:space="preserve">gravi </w:t>
      </w:r>
      <w:r w:rsidRPr="00CA46D9">
        <w:t>correlati con le formulazioni in studio</w:t>
      </w:r>
      <w:r w:rsidR="009469B6" w:rsidRPr="003A5A9C">
        <w:rPr>
          <w:rFonts w:ascii="Calibri" w:hAnsi="Calibri"/>
          <w:lang w:eastAsia="it-IT"/>
        </w:rPr>
        <w:t>, né alterazione dei segni vitali, ECG o parametri di laboratorio</w:t>
      </w:r>
      <w:r w:rsidRPr="00CA46D9">
        <w:t>.</w:t>
      </w:r>
    </w:p>
    <w:p w:rsidR="009469B6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3A5A9C">
        <w:rPr>
          <w:rFonts w:ascii="Calibri" w:hAnsi="Calibri"/>
        </w:rPr>
        <w:t xml:space="preserve">In totale 2 soggetti </w:t>
      </w:r>
      <w:r>
        <w:rPr>
          <w:rFonts w:ascii="Calibri" w:hAnsi="Calibri"/>
        </w:rPr>
        <w:t xml:space="preserve">hanno </w:t>
      </w:r>
      <w:r w:rsidRPr="003A5A9C">
        <w:rPr>
          <w:rFonts w:ascii="Calibri" w:hAnsi="Calibri"/>
        </w:rPr>
        <w:t>manifesta</w:t>
      </w:r>
      <w:r>
        <w:rPr>
          <w:rFonts w:ascii="Calibri" w:hAnsi="Calibri"/>
        </w:rPr>
        <w:t>t</w:t>
      </w:r>
      <w:r w:rsidRPr="003A5A9C">
        <w:rPr>
          <w:rFonts w:ascii="Calibri" w:hAnsi="Calibri"/>
        </w:rPr>
        <w:t>o aumento</w:t>
      </w:r>
      <w:r>
        <w:rPr>
          <w:rFonts w:ascii="Calibri" w:hAnsi="Calibri"/>
        </w:rPr>
        <w:t xml:space="preserve"> di lieve entità</w:t>
      </w:r>
      <w:r w:rsidRPr="003A5A9C">
        <w:rPr>
          <w:rFonts w:ascii="Calibri" w:hAnsi="Calibri"/>
        </w:rPr>
        <w:t xml:space="preserve"> degli enzimi epatici ed orticari</w:t>
      </w:r>
      <w:r>
        <w:rPr>
          <w:rFonts w:ascii="Calibri" w:hAnsi="Calibri"/>
        </w:rPr>
        <w:t>a</w:t>
      </w:r>
      <w:r w:rsidRPr="003A5A9C">
        <w:rPr>
          <w:rFonts w:ascii="Calibri" w:hAnsi="Calibri"/>
        </w:rPr>
        <w:t xml:space="preserve">, ma solo </w:t>
      </w:r>
      <w:r>
        <w:rPr>
          <w:rFonts w:ascii="Calibri" w:hAnsi="Calibri"/>
        </w:rPr>
        <w:t>uno</w:t>
      </w:r>
      <w:r w:rsidRPr="003A5A9C">
        <w:rPr>
          <w:rFonts w:ascii="Calibri" w:hAnsi="Calibri"/>
        </w:rPr>
        <w:t xml:space="preserve"> veniva giudicato direttamente correlato al farmaco.</w:t>
      </w:r>
    </w:p>
    <w:p w:rsidR="009469B6" w:rsidRPr="003A5A9C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9F16FA" w:rsidRPr="002B0F72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2B0F72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2B0F72" w:rsidRDefault="002B0F72" w:rsidP="009469B6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64"/>
        <w:gridCol w:w="1855"/>
        <w:gridCol w:w="2121"/>
        <w:gridCol w:w="2016"/>
        <w:gridCol w:w="2001"/>
      </w:tblGrid>
      <w:tr w:rsidR="009F16FA" w:rsidRPr="002B0F72" w:rsidTr="00DD27A5">
        <w:trPr>
          <w:jc w:val="center"/>
        </w:trPr>
        <w:tc>
          <w:tcPr>
            <w:tcW w:w="8955" w:type="dxa"/>
            <w:gridSpan w:val="5"/>
            <w:vAlign w:val="bottom"/>
          </w:tcPr>
          <w:p w:rsidR="009F16FA" w:rsidRPr="00DD27A5" w:rsidRDefault="009469B6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IBUPROFENE </w:t>
            </w:r>
          </w:p>
        </w:tc>
      </w:tr>
      <w:tr w:rsidR="009F16FA" w:rsidRPr="002B0F72" w:rsidTr="00DD27A5">
        <w:trPr>
          <w:jc w:val="center"/>
        </w:trPr>
        <w:tc>
          <w:tcPr>
            <w:tcW w:w="1223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94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Test </w:t>
            </w:r>
            <w:r w:rsidRPr="00DD27A5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52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DD27A5">
              <w:rPr>
                <w:b/>
                <w:sz w:val="20"/>
                <w:szCs w:val="20"/>
              </w:rPr>
              <w:t>Reference</w:t>
            </w:r>
            <w:proofErr w:type="spellEnd"/>
            <w:r w:rsidRPr="00DD27A5">
              <w:rPr>
                <w:b/>
                <w:sz w:val="20"/>
                <w:szCs w:val="20"/>
              </w:rPr>
              <w:t xml:space="preserve"> </w:t>
            </w:r>
            <w:r w:rsidRPr="00DD27A5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50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DD27A5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936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90% C.I.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AUC</w:t>
            </w:r>
            <w:r w:rsidRPr="00DD27A5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211.57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214.93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 w:cs="Helvetica-Oblique"/>
                <w:iCs/>
                <w:color w:val="0B0B0B"/>
                <w:sz w:val="20"/>
                <w:szCs w:val="20"/>
                <w:lang w:eastAsia="it-IT"/>
              </w:rPr>
              <w:t>98.44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93.80-103.30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AUC</w:t>
            </w:r>
            <w:r w:rsidRPr="00DD27A5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218.04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221.81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98.30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93.61-103.22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DD27A5">
              <w:rPr>
                <w:b/>
                <w:sz w:val="20"/>
                <w:szCs w:val="20"/>
              </w:rPr>
              <w:t>C</w:t>
            </w:r>
            <w:r w:rsidRPr="00DD27A5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54.12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52.10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103.87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94.66-113.97</w:t>
            </w:r>
          </w:p>
        </w:tc>
      </w:tr>
    </w:tbl>
    <w:p w:rsidR="009F16FA" w:rsidRDefault="009F16FA" w:rsidP="009469B6">
      <w:pPr>
        <w:spacing w:after="0" w:line="240" w:lineRule="auto"/>
        <w:rPr>
          <w:highlight w:val="yellow"/>
        </w:rPr>
      </w:pPr>
    </w:p>
    <w:p w:rsidR="00AB54C2" w:rsidRPr="000B3C59" w:rsidRDefault="00AB54C2" w:rsidP="002B0F72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</w:t>
      </w:r>
      <w:r w:rsidR="00424A5A">
        <w:rPr>
          <w:rFonts w:cs="Arial"/>
        </w:rPr>
        <w:t>dello studio</w:t>
      </w:r>
      <w:r w:rsidRPr="00D1324F">
        <w:rPr>
          <w:rFonts w:cs="Arial"/>
        </w:rPr>
        <w:t xml:space="preserve">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1D08F6" w:rsidRPr="00D1324F" w:rsidRDefault="001D08F6" w:rsidP="002B0F72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2B0F7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730C29">
        <w:rPr>
          <w:rFonts w:cs="Arial"/>
        </w:rPr>
        <w:t>Ibuprofene</w:t>
      </w:r>
      <w:proofErr w:type="spellEnd"/>
      <w:r w:rsidR="00730C29">
        <w:rPr>
          <w:rFonts w:cs="Arial"/>
        </w:rPr>
        <w:t xml:space="preserve"> </w:t>
      </w:r>
      <w:proofErr w:type="spellStart"/>
      <w:r w:rsidR="00BA09D0">
        <w:rPr>
          <w:rFonts w:cs="Arial"/>
        </w:rPr>
        <w:t>Pharmeg</w:t>
      </w:r>
      <w:proofErr w:type="spellEnd"/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B0F72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Pr="00D1324F">
        <w:t>.</w:t>
      </w:r>
    </w:p>
    <w:p w:rsidR="003762D3" w:rsidRDefault="003762D3" w:rsidP="003762D3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Sanguinamento gastrointestinale, ulcere e perforazioni con possibile esito fatale, soprattutto nei pazienti anziani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Eventi trombotici arteriosi (infarto miocardico acuto o ictus) specialmente associato con uso a lungo temine e ad alti dosaggi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renale soprattutto negli adolescenti disidratati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epatica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Reazioni di tipo </w:t>
            </w:r>
            <w:proofErr w:type="spellStart"/>
            <w:r>
              <w:rPr>
                <w:sz w:val="20"/>
              </w:rPr>
              <w:t>anafilattoide</w:t>
            </w:r>
            <w:proofErr w:type="spellEnd"/>
            <w:r>
              <w:rPr>
                <w:sz w:val="20"/>
              </w:rPr>
              <w:t xml:space="preserve"> per ipersensibilità al principio attivo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Ritenzione di liquidi, ipertensione, edema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t>A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umentato rischio di aborto e di malformazione </w:t>
            </w:r>
            <w:r>
              <w:rPr>
                <w:sz w:val="20"/>
                <w:szCs w:val="20"/>
              </w:rPr>
              <w:t>del feto per u</w:t>
            </w:r>
            <w:r>
              <w:rPr>
                <w:sz w:val="20"/>
              </w:rPr>
              <w:t xml:space="preserve">so in gravidanza 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Inibizione delle contrazioni uterine risultanti in ritardo o prolungamento del travaglio</w:t>
            </w:r>
            <w:r>
              <w:rPr>
                <w:sz w:val="20"/>
                <w:szCs w:val="20"/>
              </w:rPr>
              <w:t xml:space="preserve"> per uso alla fine della gravidanza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durante l’allattamento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Gravi reazioni cutanee alcune delle quali fatali, includenti dermatite esfoliativa, sindrome di </w:t>
            </w:r>
            <w:proofErr w:type="spellStart"/>
            <w:r>
              <w:rPr>
                <w:rFonts w:cs="Arial"/>
                <w:sz w:val="20"/>
                <w:szCs w:val="20"/>
              </w:rPr>
              <w:t>Stevens-Johnson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cs="Arial"/>
                <w:sz w:val="20"/>
                <w:szCs w:val="20"/>
              </w:rPr>
              <w:t>necrolisi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tossica epidermica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sanguinamento per assunzione concomitante con anticoagulanti (ad esempio, </w:t>
            </w:r>
            <w:proofErr w:type="spellStart"/>
            <w:r>
              <w:rPr>
                <w:rFonts w:cs="Arial"/>
                <w:sz w:val="20"/>
                <w:szCs w:val="20"/>
              </w:rPr>
              <w:t>warfarin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ulcerazione o emorragia gastrointestinale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per assunzione concomitante con corticosteroidi e altri FANS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sz w:val="20"/>
                <w:szCs w:val="20"/>
              </w:rPr>
              <w:t xml:space="preserve">compromissione della funzione renale </w:t>
            </w:r>
            <w:r>
              <w:rPr>
                <w:rFonts w:cs="Arial"/>
                <w:sz w:val="20"/>
                <w:szCs w:val="20"/>
              </w:rPr>
              <w:t xml:space="preserve">per assunzione concomitante con farmaci antiipertensivi (diuretici, ACE inibitori, antagonisti di </w:t>
            </w:r>
            <w:proofErr w:type="spellStart"/>
            <w:r>
              <w:rPr>
                <w:rFonts w:cs="Arial"/>
                <w:sz w:val="20"/>
                <w:szCs w:val="20"/>
              </w:rPr>
              <w:t>angiotensina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II), soprattutto in pazienti anziani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N/A</w:t>
            </w:r>
          </w:p>
        </w:tc>
      </w:tr>
    </w:tbl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BA0A19" w:rsidRDefault="00BA0A19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AB54C2" w:rsidP="009469B6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730C29">
        <w:t>Ibuprofene</w:t>
      </w:r>
      <w:proofErr w:type="spellEnd"/>
      <w:r w:rsidR="00730C29">
        <w:t xml:space="preserve"> </w:t>
      </w:r>
      <w:proofErr w:type="spellStart"/>
      <w:r w:rsidR="00BA09D0">
        <w:t>Pharmeg</w:t>
      </w:r>
      <w:proofErr w:type="spellEnd"/>
      <w:r w:rsidR="00B9671B">
        <w:t xml:space="preserve"> </w:t>
      </w:r>
      <w:r>
        <w:t xml:space="preserve">e il medicinale di riferimento </w:t>
      </w:r>
      <w:proofErr w:type="spellStart"/>
      <w:r>
        <w:t>Brufen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371932" w:rsidRDefault="00AB54C2" w:rsidP="00371932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371932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778" w:rsidRDefault="003A0778" w:rsidP="00371932">
      <w:pPr>
        <w:spacing w:after="0" w:line="240" w:lineRule="auto"/>
      </w:pPr>
      <w:r>
        <w:separator/>
      </w:r>
    </w:p>
  </w:endnote>
  <w:endnote w:type="continuationSeparator" w:id="0">
    <w:p w:rsidR="003A0778" w:rsidRDefault="003A0778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778" w:rsidRDefault="003A0778" w:rsidP="00371932">
      <w:pPr>
        <w:spacing w:after="0" w:line="240" w:lineRule="auto"/>
      </w:pPr>
      <w:r>
        <w:separator/>
      </w:r>
    </w:p>
  </w:footnote>
  <w:footnote w:type="continuationSeparator" w:id="0">
    <w:p w:rsidR="003A0778" w:rsidRDefault="003A0778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62636"/>
    <w:rsid w:val="00077016"/>
    <w:rsid w:val="00097D78"/>
    <w:rsid w:val="000B1DCF"/>
    <w:rsid w:val="000B6481"/>
    <w:rsid w:val="000D2313"/>
    <w:rsid w:val="000E1A3B"/>
    <w:rsid w:val="00111E9E"/>
    <w:rsid w:val="0011250C"/>
    <w:rsid w:val="00122A09"/>
    <w:rsid w:val="00180C71"/>
    <w:rsid w:val="001C1A8E"/>
    <w:rsid w:val="001D08F6"/>
    <w:rsid w:val="001E7E47"/>
    <w:rsid w:val="00237B87"/>
    <w:rsid w:val="00246D26"/>
    <w:rsid w:val="002748E4"/>
    <w:rsid w:val="002937E3"/>
    <w:rsid w:val="00294895"/>
    <w:rsid w:val="002B0F72"/>
    <w:rsid w:val="00306DD8"/>
    <w:rsid w:val="003440B2"/>
    <w:rsid w:val="003563BF"/>
    <w:rsid w:val="00371932"/>
    <w:rsid w:val="003762D3"/>
    <w:rsid w:val="003A0778"/>
    <w:rsid w:val="003C6D08"/>
    <w:rsid w:val="003D479A"/>
    <w:rsid w:val="00406421"/>
    <w:rsid w:val="004241AC"/>
    <w:rsid w:val="00424A5A"/>
    <w:rsid w:val="00452364"/>
    <w:rsid w:val="00467593"/>
    <w:rsid w:val="004A1685"/>
    <w:rsid w:val="004B20A8"/>
    <w:rsid w:val="004B7E5B"/>
    <w:rsid w:val="004C32A6"/>
    <w:rsid w:val="00507E9B"/>
    <w:rsid w:val="00566B07"/>
    <w:rsid w:val="00571F56"/>
    <w:rsid w:val="005928E6"/>
    <w:rsid w:val="005951EC"/>
    <w:rsid w:val="005A64F7"/>
    <w:rsid w:val="005B50AD"/>
    <w:rsid w:val="005E18C6"/>
    <w:rsid w:val="006C7E98"/>
    <w:rsid w:val="0070652E"/>
    <w:rsid w:val="00707572"/>
    <w:rsid w:val="00730C29"/>
    <w:rsid w:val="00774444"/>
    <w:rsid w:val="007B6C6B"/>
    <w:rsid w:val="007D0622"/>
    <w:rsid w:val="007E6F4B"/>
    <w:rsid w:val="007F0770"/>
    <w:rsid w:val="00826C22"/>
    <w:rsid w:val="008334CE"/>
    <w:rsid w:val="00862596"/>
    <w:rsid w:val="00874733"/>
    <w:rsid w:val="00901E3F"/>
    <w:rsid w:val="00921A7D"/>
    <w:rsid w:val="00923643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715C0"/>
    <w:rsid w:val="00A71B45"/>
    <w:rsid w:val="00AB54C2"/>
    <w:rsid w:val="00B27F42"/>
    <w:rsid w:val="00B64DB3"/>
    <w:rsid w:val="00B70578"/>
    <w:rsid w:val="00B90347"/>
    <w:rsid w:val="00B9671B"/>
    <w:rsid w:val="00BA09D0"/>
    <w:rsid w:val="00BA0A19"/>
    <w:rsid w:val="00BA7D67"/>
    <w:rsid w:val="00BB4CC4"/>
    <w:rsid w:val="00BB7117"/>
    <w:rsid w:val="00BC74C2"/>
    <w:rsid w:val="00BE2C92"/>
    <w:rsid w:val="00C72386"/>
    <w:rsid w:val="00CC7AFF"/>
    <w:rsid w:val="00D0027D"/>
    <w:rsid w:val="00D05DEB"/>
    <w:rsid w:val="00D20170"/>
    <w:rsid w:val="00D85C3C"/>
    <w:rsid w:val="00DD27A5"/>
    <w:rsid w:val="00DF5A8A"/>
    <w:rsid w:val="00E24666"/>
    <w:rsid w:val="00E43089"/>
    <w:rsid w:val="00E83F8D"/>
    <w:rsid w:val="00ED3C61"/>
    <w:rsid w:val="00EE29EF"/>
    <w:rsid w:val="00EF062E"/>
    <w:rsid w:val="00EF5475"/>
    <w:rsid w:val="00F22C10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3107</Words>
  <Characters>17714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9</cp:revision>
  <dcterms:created xsi:type="dcterms:W3CDTF">2015-08-11T13:58:00Z</dcterms:created>
  <dcterms:modified xsi:type="dcterms:W3CDTF">2016-02-22T16:21:00Z</dcterms:modified>
</cp:coreProperties>
</file>