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59098E">
      <w:pPr>
        <w:spacing w:after="0" w:line="240" w:lineRule="auto"/>
        <w:jc w:val="center"/>
        <w:rPr>
          <w:lang w:val="en-US"/>
        </w:rPr>
      </w:pPr>
      <w:r w:rsidRPr="002A3F14">
        <w:rPr>
          <w:noProof/>
          <w:lang w:eastAsia="it-IT"/>
        </w:rPr>
        <w:drawing>
          <wp:inline distT="0" distB="0" distL="0" distR="0">
            <wp:extent cx="3346242" cy="1458190"/>
            <wp:effectExtent l="19050" t="0" r="6558"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49648" cy="1459674"/>
                    </a:xfrm>
                    <a:prstGeom prst="rect">
                      <a:avLst/>
                    </a:prstGeom>
                    <a:noFill/>
                    <a:ln>
                      <a:noFill/>
                    </a:ln>
                  </pic:spPr>
                </pic:pic>
              </a:graphicData>
            </a:graphic>
          </wp:inline>
        </w:drawing>
      </w:r>
    </w:p>
    <w:p w:rsidR="004241AC" w:rsidRDefault="004241AC" w:rsidP="0059098E">
      <w:pPr>
        <w:spacing w:after="0" w:line="240" w:lineRule="auto"/>
        <w:jc w:val="center"/>
        <w:rPr>
          <w:b/>
        </w:rPr>
      </w:pPr>
    </w:p>
    <w:p w:rsidR="00467593" w:rsidRDefault="00467593" w:rsidP="0059098E">
      <w:pPr>
        <w:spacing w:after="0" w:line="240" w:lineRule="auto"/>
        <w:jc w:val="center"/>
        <w:rPr>
          <w:b/>
          <w:sz w:val="28"/>
        </w:rPr>
      </w:pPr>
      <w:bookmarkStart w:id="0" w:name="Text15"/>
      <w:r>
        <w:rPr>
          <w:b/>
          <w:sz w:val="28"/>
        </w:rPr>
        <w:t>Relazione Pubblica di Valutazione</w:t>
      </w:r>
    </w:p>
    <w:p w:rsidR="004241AC" w:rsidRDefault="004241AC" w:rsidP="0059098E">
      <w:pPr>
        <w:autoSpaceDE w:val="0"/>
        <w:autoSpaceDN w:val="0"/>
        <w:adjustRightInd w:val="0"/>
        <w:spacing w:after="0" w:line="240" w:lineRule="auto"/>
        <w:jc w:val="center"/>
        <w:rPr>
          <w:b/>
          <w:highlight w:val="yellow"/>
        </w:rPr>
      </w:pPr>
    </w:p>
    <w:p w:rsidR="00487F4D" w:rsidRDefault="00487F4D" w:rsidP="0059098E">
      <w:pPr>
        <w:autoSpaceDE w:val="0"/>
        <w:autoSpaceDN w:val="0"/>
        <w:adjustRightInd w:val="0"/>
        <w:spacing w:after="0" w:line="240" w:lineRule="auto"/>
        <w:jc w:val="center"/>
        <w:rPr>
          <w:b/>
          <w:highlight w:val="yellow"/>
        </w:rPr>
      </w:pPr>
    </w:p>
    <w:p w:rsidR="00467593" w:rsidRDefault="00467593" w:rsidP="0059098E">
      <w:pPr>
        <w:autoSpaceDE w:val="0"/>
        <w:autoSpaceDN w:val="0"/>
        <w:adjustRightInd w:val="0"/>
        <w:spacing w:after="0" w:line="240" w:lineRule="auto"/>
        <w:jc w:val="center"/>
        <w:rPr>
          <w:b/>
          <w:highlight w:val="yellow"/>
        </w:rPr>
      </w:pPr>
    </w:p>
    <w:p w:rsidR="0059098E" w:rsidRDefault="00516411" w:rsidP="0059098E">
      <w:pPr>
        <w:autoSpaceDE w:val="0"/>
        <w:autoSpaceDN w:val="0"/>
        <w:adjustRightInd w:val="0"/>
        <w:spacing w:after="0" w:line="240" w:lineRule="auto"/>
        <w:jc w:val="center"/>
        <w:rPr>
          <w:b/>
          <w:sz w:val="32"/>
        </w:rPr>
      </w:pPr>
      <w:proofErr w:type="spellStart"/>
      <w:r w:rsidRPr="00516411">
        <w:rPr>
          <w:b/>
          <w:sz w:val="32"/>
        </w:rPr>
        <w:t>Levosulpiride</w:t>
      </w:r>
      <w:proofErr w:type="spellEnd"/>
      <w:r w:rsidRPr="00516411">
        <w:rPr>
          <w:b/>
          <w:sz w:val="32"/>
        </w:rPr>
        <w:t xml:space="preserve"> </w:t>
      </w:r>
      <w:r w:rsidR="00323123">
        <w:rPr>
          <w:b/>
          <w:sz w:val="32"/>
        </w:rPr>
        <w:t>Ipso Pharma</w:t>
      </w:r>
    </w:p>
    <w:p w:rsidR="000A7624" w:rsidRPr="000A7624" w:rsidRDefault="000A7624" w:rsidP="0059098E">
      <w:pPr>
        <w:autoSpaceDE w:val="0"/>
        <w:autoSpaceDN w:val="0"/>
        <w:adjustRightInd w:val="0"/>
        <w:spacing w:after="0" w:line="240" w:lineRule="auto"/>
        <w:jc w:val="center"/>
        <w:rPr>
          <w:b/>
          <w:szCs w:val="20"/>
        </w:rPr>
      </w:pPr>
    </w:p>
    <w:p w:rsidR="004241AC" w:rsidRDefault="004241AC" w:rsidP="0059098E">
      <w:pPr>
        <w:widowControl w:val="0"/>
        <w:spacing w:after="0" w:line="240" w:lineRule="auto"/>
        <w:jc w:val="center"/>
        <w:rPr>
          <w:snapToGrid w:val="0"/>
        </w:rPr>
      </w:pPr>
      <w:r w:rsidRPr="003A3FEB">
        <w:rPr>
          <w:snapToGrid w:val="0"/>
        </w:rPr>
        <w:t xml:space="preserve"> (</w:t>
      </w:r>
      <w:proofErr w:type="spellStart"/>
      <w:r w:rsidR="00CC21D8">
        <w:rPr>
          <w:snapToGrid w:val="0"/>
        </w:rPr>
        <w:t>Levosulpiride</w:t>
      </w:r>
      <w:proofErr w:type="spellEnd"/>
      <w:r w:rsidRPr="003A3FEB">
        <w:rPr>
          <w:snapToGrid w:val="0"/>
        </w:rPr>
        <w:t>)</w:t>
      </w:r>
    </w:p>
    <w:p w:rsidR="0059098E" w:rsidRPr="003A3FEB" w:rsidRDefault="0059098E" w:rsidP="0059098E">
      <w:pPr>
        <w:widowControl w:val="0"/>
        <w:spacing w:after="0" w:line="240" w:lineRule="auto"/>
        <w:jc w:val="center"/>
        <w:rPr>
          <w:snapToGrid w:val="0"/>
        </w:rPr>
      </w:pPr>
    </w:p>
    <w:p w:rsidR="000425E0" w:rsidRPr="00E211C7" w:rsidRDefault="00323123" w:rsidP="0059098E">
      <w:pPr>
        <w:autoSpaceDE w:val="0"/>
        <w:autoSpaceDN w:val="0"/>
        <w:adjustRightInd w:val="0"/>
        <w:spacing w:after="0" w:line="240" w:lineRule="auto"/>
        <w:jc w:val="center"/>
        <w:rPr>
          <w:b/>
        </w:rPr>
      </w:pPr>
      <w:r>
        <w:rPr>
          <w:b/>
        </w:rPr>
        <w:t>Ipso Pharma</w:t>
      </w:r>
    </w:p>
    <w:p w:rsidR="000425E0" w:rsidRPr="00E211C7" w:rsidRDefault="000425E0" w:rsidP="0059098E">
      <w:pPr>
        <w:autoSpaceDE w:val="0"/>
        <w:autoSpaceDN w:val="0"/>
        <w:adjustRightInd w:val="0"/>
        <w:spacing w:after="0" w:line="240" w:lineRule="auto"/>
        <w:jc w:val="center"/>
        <w:rPr>
          <w:b/>
        </w:rPr>
      </w:pPr>
    </w:p>
    <w:p w:rsidR="004241AC" w:rsidRDefault="004241AC" w:rsidP="0059098E">
      <w:pPr>
        <w:spacing w:after="0" w:line="240" w:lineRule="auto"/>
        <w:jc w:val="center"/>
        <w:rPr>
          <w:rFonts w:cs="Helvetica"/>
          <w:b/>
        </w:rPr>
      </w:pPr>
      <w:r w:rsidRPr="00062636">
        <w:rPr>
          <w:b/>
        </w:rPr>
        <w:t xml:space="preserve">Numero di AIC: </w:t>
      </w:r>
      <w:r w:rsidR="00F22C10" w:rsidRPr="00F22C10">
        <w:rPr>
          <w:rFonts w:cs="Helvetica"/>
          <w:b/>
        </w:rPr>
        <w:t>04</w:t>
      </w:r>
      <w:r w:rsidR="00380099">
        <w:rPr>
          <w:rFonts w:cs="Helvetica"/>
          <w:b/>
        </w:rPr>
        <w:t>2</w:t>
      </w:r>
      <w:r w:rsidR="00323123">
        <w:rPr>
          <w:rFonts w:cs="Helvetica"/>
          <w:b/>
        </w:rPr>
        <w:t>724</w:t>
      </w:r>
    </w:p>
    <w:p w:rsidR="0059098E" w:rsidRPr="00062636" w:rsidRDefault="0059098E" w:rsidP="0059098E">
      <w:pPr>
        <w:spacing w:after="0" w:line="240" w:lineRule="auto"/>
        <w:jc w:val="center"/>
        <w:rPr>
          <w:b/>
        </w:rPr>
      </w:pPr>
    </w:p>
    <w:bookmarkEnd w:id="0"/>
    <w:p w:rsidR="004241AC" w:rsidRPr="00062636" w:rsidRDefault="004241AC" w:rsidP="0059098E">
      <w:pPr>
        <w:spacing w:after="0" w:line="240" w:lineRule="auto"/>
        <w:jc w:val="center"/>
        <w:rPr>
          <w:b/>
        </w:rPr>
      </w:pPr>
    </w:p>
    <w:p w:rsidR="0059098E" w:rsidRPr="0033523E" w:rsidRDefault="0059098E" w:rsidP="0059098E">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rsidR="00AB54C2" w:rsidRPr="00424A5A" w:rsidRDefault="00AB54C2" w:rsidP="0059098E">
      <w:pPr>
        <w:autoSpaceDE w:val="0"/>
        <w:autoSpaceDN w:val="0"/>
        <w:adjustRightInd w:val="0"/>
        <w:spacing w:after="0" w:line="240" w:lineRule="auto"/>
        <w:jc w:val="both"/>
        <w:rPr>
          <w:rFonts w:eastAsia="Calibri" w:cs="Calibri"/>
          <w:color w:val="000000"/>
          <w:lang w:eastAsia="it-IT"/>
        </w:rPr>
      </w:pPr>
    </w:p>
    <w:p w:rsidR="004241AC" w:rsidRPr="00424A5A" w:rsidRDefault="004241AC" w:rsidP="0059098E">
      <w:pPr>
        <w:autoSpaceDE w:val="0"/>
        <w:autoSpaceDN w:val="0"/>
        <w:adjustRightInd w:val="0"/>
        <w:spacing w:after="0" w:line="240" w:lineRule="auto"/>
        <w:jc w:val="both"/>
        <w:rPr>
          <w:rFonts w:eastAsia="Calibri" w:cs="Calibri"/>
          <w:bCs/>
          <w:color w:val="000000"/>
          <w:lang w:eastAsia="it-IT"/>
        </w:rPr>
      </w:pPr>
      <w:r w:rsidRPr="00424A5A">
        <w:rPr>
          <w:rFonts w:eastAsia="Calibri" w:cs="Calibri"/>
          <w:color w:val="000000"/>
          <w:lang w:eastAsia="it-IT"/>
        </w:rPr>
        <w:t xml:space="preserve">Questa è la sintesi del </w:t>
      </w:r>
      <w:r w:rsidRPr="00424A5A">
        <w:rPr>
          <w:rFonts w:eastAsia="Calibri" w:cs="Calibri"/>
          <w:i/>
          <w:color w:val="000000"/>
          <w:lang w:eastAsia="it-IT"/>
        </w:rPr>
        <w:t xml:space="preserve">Public </w:t>
      </w:r>
      <w:proofErr w:type="spellStart"/>
      <w:r w:rsidRPr="00424A5A">
        <w:rPr>
          <w:rFonts w:eastAsia="Calibri" w:cs="Calibri"/>
          <w:i/>
          <w:color w:val="000000"/>
          <w:lang w:eastAsia="it-IT"/>
        </w:rPr>
        <w:t>Assessment</w:t>
      </w:r>
      <w:proofErr w:type="spellEnd"/>
      <w:r w:rsidRPr="00424A5A">
        <w:rPr>
          <w:rFonts w:eastAsia="Calibri" w:cs="Calibri"/>
          <w:i/>
          <w:color w:val="000000"/>
          <w:lang w:eastAsia="it-IT"/>
        </w:rPr>
        <w:t xml:space="preserve"> Report</w:t>
      </w:r>
      <w:r w:rsidRPr="00424A5A">
        <w:rPr>
          <w:rFonts w:eastAsia="Calibri" w:cs="Calibri"/>
          <w:color w:val="000000"/>
          <w:lang w:eastAsia="it-IT"/>
        </w:rPr>
        <w:t xml:space="preserve"> (PAR) per </w:t>
      </w:r>
      <w:proofErr w:type="spellStart"/>
      <w:r w:rsidR="00CC21D8">
        <w:rPr>
          <w:rFonts w:eastAsia="Calibri" w:cs="Calibri"/>
          <w:color w:val="000000"/>
          <w:lang w:eastAsia="it-IT"/>
        </w:rPr>
        <w:t>Le</w:t>
      </w:r>
      <w:r w:rsidR="00516411">
        <w:rPr>
          <w:rFonts w:eastAsia="Calibri" w:cs="Calibri"/>
          <w:color w:val="000000"/>
          <w:lang w:eastAsia="it-IT"/>
        </w:rPr>
        <w:t>vosulpiride</w:t>
      </w:r>
      <w:proofErr w:type="spellEnd"/>
      <w:r w:rsidR="00516411">
        <w:rPr>
          <w:rFonts w:eastAsia="Calibri" w:cs="Calibri"/>
          <w:color w:val="000000"/>
          <w:lang w:eastAsia="it-IT"/>
        </w:rPr>
        <w:t xml:space="preserve"> </w:t>
      </w:r>
      <w:r w:rsidR="00323123">
        <w:rPr>
          <w:rFonts w:eastAsia="Calibri" w:cs="Calibri"/>
          <w:color w:val="000000"/>
          <w:lang w:eastAsia="it-IT"/>
        </w:rPr>
        <w:t>Ipso Pharma</w:t>
      </w:r>
      <w:r w:rsidRPr="00424A5A">
        <w:rPr>
          <w:rFonts w:eastAsia="Calibri" w:cs="Calibri"/>
          <w:color w:val="000000"/>
          <w:lang w:eastAsia="it-IT"/>
        </w:rPr>
        <w:t>.</w:t>
      </w:r>
      <w:r w:rsidRPr="00424A5A">
        <w:rPr>
          <w:rFonts w:eastAsia="Calibri" w:cs="Calibri"/>
          <w:bCs/>
          <w:color w:val="000000"/>
          <w:lang w:eastAsia="it-IT"/>
        </w:rPr>
        <w:t xml:space="preserve"> </w:t>
      </w:r>
      <w:r w:rsidRPr="00424A5A">
        <w:rPr>
          <w:rFonts w:eastAsia="Calibri" w:cs="Calibri"/>
          <w:color w:val="000000"/>
          <w:lang w:eastAsia="it-IT"/>
        </w:rPr>
        <w:t xml:space="preserve">Esso spiega come </w:t>
      </w:r>
      <w:proofErr w:type="spellStart"/>
      <w:r w:rsidR="00516411">
        <w:rPr>
          <w:rFonts w:eastAsia="Calibri" w:cs="Calibri"/>
          <w:color w:val="000000"/>
          <w:lang w:eastAsia="it-IT"/>
        </w:rPr>
        <w:t>Levosulpiride</w:t>
      </w:r>
      <w:proofErr w:type="spellEnd"/>
      <w:r w:rsidR="00516411">
        <w:rPr>
          <w:rFonts w:eastAsia="Calibri" w:cs="Calibri"/>
          <w:color w:val="000000"/>
          <w:lang w:eastAsia="it-IT"/>
        </w:rPr>
        <w:t xml:space="preserve"> </w:t>
      </w:r>
      <w:r w:rsidR="00323123">
        <w:rPr>
          <w:rFonts w:eastAsia="Calibri" w:cs="Calibri"/>
          <w:color w:val="000000"/>
          <w:lang w:eastAsia="it-IT"/>
        </w:rPr>
        <w:t>Ipso Pharma</w:t>
      </w:r>
      <w:r w:rsidR="00B9671B" w:rsidRPr="00424A5A">
        <w:rPr>
          <w:rFonts w:eastAsia="Calibri" w:cs="Calibri"/>
          <w:color w:val="000000"/>
          <w:lang w:eastAsia="it-IT"/>
        </w:rPr>
        <w:t xml:space="preserve"> </w:t>
      </w:r>
      <w:r w:rsidRPr="00424A5A">
        <w:rPr>
          <w:rFonts w:eastAsia="Calibri" w:cs="Calibri"/>
          <w:color w:val="000000"/>
          <w:lang w:eastAsia="it-IT"/>
        </w:rPr>
        <w:t xml:space="preserve">è stato valutato dalla Commissione Tecnico-Scientifica (CTS) </w:t>
      </w:r>
      <w:r w:rsidR="005A64F7" w:rsidRPr="00424A5A">
        <w:rPr>
          <w:rFonts w:eastAsia="Calibri" w:cs="Calibri"/>
          <w:color w:val="000000"/>
          <w:lang w:eastAsia="it-IT"/>
        </w:rPr>
        <w:t>e le sue condizioni di impiego</w:t>
      </w:r>
      <w:r w:rsidRPr="00424A5A">
        <w:rPr>
          <w:rFonts w:eastAsia="Calibri" w:cs="Calibri"/>
          <w:color w:val="000000"/>
          <w:lang w:eastAsia="it-IT"/>
        </w:rPr>
        <w:t xml:space="preserve">. Non intende fornire consigli pratici su come utilizzare </w:t>
      </w:r>
      <w:proofErr w:type="spellStart"/>
      <w:r w:rsidR="00516411">
        <w:rPr>
          <w:rFonts w:eastAsia="Calibri" w:cs="Calibri"/>
          <w:color w:val="000000"/>
          <w:lang w:eastAsia="it-IT"/>
        </w:rPr>
        <w:t>Levosulpiride</w:t>
      </w:r>
      <w:proofErr w:type="spellEnd"/>
      <w:r w:rsidR="00516411">
        <w:rPr>
          <w:rFonts w:eastAsia="Calibri" w:cs="Calibri"/>
          <w:color w:val="000000"/>
          <w:lang w:eastAsia="it-IT"/>
        </w:rPr>
        <w:t xml:space="preserve"> </w:t>
      </w:r>
      <w:r w:rsidR="00323123">
        <w:rPr>
          <w:rFonts w:eastAsia="Calibri" w:cs="Calibri"/>
          <w:color w:val="000000"/>
          <w:lang w:eastAsia="it-IT"/>
        </w:rPr>
        <w:t>Ipso Pharma</w:t>
      </w:r>
      <w:r w:rsidRPr="00424A5A">
        <w:rPr>
          <w:rFonts w:eastAsia="Calibri" w:cs="Calibri"/>
          <w:bCs/>
          <w:color w:val="000000"/>
          <w:lang w:eastAsia="it-IT"/>
        </w:rPr>
        <w:t>.</w:t>
      </w:r>
    </w:p>
    <w:p w:rsidR="004241AC" w:rsidRPr="00424A5A" w:rsidRDefault="004241AC" w:rsidP="0059098E">
      <w:pPr>
        <w:autoSpaceDE w:val="0"/>
        <w:autoSpaceDN w:val="0"/>
        <w:adjustRightInd w:val="0"/>
        <w:spacing w:after="0" w:line="240" w:lineRule="auto"/>
        <w:jc w:val="both"/>
        <w:rPr>
          <w:rFonts w:eastAsia="Calibri" w:cs="Calibri"/>
          <w:color w:val="000000"/>
          <w:lang w:eastAsia="it-IT"/>
        </w:rPr>
      </w:pPr>
      <w:r w:rsidRPr="00424A5A">
        <w:rPr>
          <w:rFonts w:eastAsia="Calibri" w:cs="Calibri"/>
          <w:color w:val="000000"/>
          <w:lang w:eastAsia="it-IT"/>
        </w:rPr>
        <w:t>Per informazioni pratiche sull'utilizzo di</w:t>
      </w:r>
      <w:r w:rsidRPr="00424A5A">
        <w:rPr>
          <w:rFonts w:eastAsia="Calibri" w:cs="Calibri"/>
          <w:bCs/>
          <w:color w:val="000000"/>
          <w:lang w:eastAsia="it-IT"/>
        </w:rPr>
        <w:t xml:space="preserve"> </w:t>
      </w:r>
      <w:proofErr w:type="spellStart"/>
      <w:r w:rsidR="00516411">
        <w:rPr>
          <w:rFonts w:eastAsia="Calibri" w:cs="Calibri"/>
          <w:color w:val="000000"/>
          <w:lang w:eastAsia="it-IT"/>
        </w:rPr>
        <w:t>Levosulpiride</w:t>
      </w:r>
      <w:proofErr w:type="spellEnd"/>
      <w:r w:rsidR="00516411">
        <w:rPr>
          <w:rFonts w:eastAsia="Calibri" w:cs="Calibri"/>
          <w:color w:val="000000"/>
          <w:lang w:eastAsia="it-IT"/>
        </w:rPr>
        <w:t xml:space="preserve"> </w:t>
      </w:r>
      <w:r w:rsidR="00323123">
        <w:rPr>
          <w:rFonts w:eastAsia="Calibri" w:cs="Calibri"/>
          <w:color w:val="000000"/>
          <w:lang w:eastAsia="it-IT"/>
        </w:rPr>
        <w:t>Ipso Pharma</w:t>
      </w:r>
      <w:r w:rsidR="00B9671B" w:rsidRPr="00424A5A">
        <w:rPr>
          <w:rFonts w:eastAsia="Calibri" w:cs="Calibri"/>
          <w:color w:val="000000"/>
          <w:lang w:eastAsia="it-IT"/>
        </w:rPr>
        <w:t xml:space="preserve"> </w:t>
      </w:r>
      <w:r w:rsidRPr="00424A5A">
        <w:rPr>
          <w:rFonts w:eastAsia="Calibri" w:cs="Calibri"/>
          <w:color w:val="000000"/>
          <w:lang w:eastAsia="it-IT"/>
        </w:rPr>
        <w:t xml:space="preserve">i pazienti devono consultare il foglio illustrativo o contattare il loro medico o </w:t>
      </w:r>
      <w:r w:rsidR="009B03DB" w:rsidRPr="00424A5A">
        <w:rPr>
          <w:rFonts w:eastAsia="Calibri" w:cs="Calibri"/>
          <w:color w:val="000000"/>
          <w:lang w:eastAsia="it-IT"/>
        </w:rPr>
        <w:t xml:space="preserve">il </w:t>
      </w:r>
      <w:r w:rsidRPr="00424A5A">
        <w:rPr>
          <w:rFonts w:eastAsia="Calibri" w:cs="Calibri"/>
          <w:color w:val="000000"/>
          <w:lang w:eastAsia="it-IT"/>
        </w:rPr>
        <w:t xml:space="preserve">farmacista. </w:t>
      </w:r>
    </w:p>
    <w:p w:rsidR="004241AC" w:rsidRPr="00424A5A" w:rsidRDefault="004241AC" w:rsidP="0059098E">
      <w:pPr>
        <w:autoSpaceDE w:val="0"/>
        <w:autoSpaceDN w:val="0"/>
        <w:adjustRightInd w:val="0"/>
        <w:spacing w:after="0" w:line="240" w:lineRule="auto"/>
        <w:jc w:val="both"/>
        <w:rPr>
          <w:rFonts w:eastAsia="Calibri" w:cs="Calibri"/>
          <w:color w:val="000000"/>
          <w:lang w:eastAsia="it-IT"/>
        </w:rPr>
      </w:pPr>
    </w:p>
    <w:p w:rsidR="004241AC" w:rsidRPr="000425E0" w:rsidRDefault="004241AC" w:rsidP="0059098E">
      <w:pPr>
        <w:autoSpaceDE w:val="0"/>
        <w:autoSpaceDN w:val="0"/>
        <w:adjustRightInd w:val="0"/>
        <w:spacing w:after="0" w:line="240" w:lineRule="auto"/>
        <w:jc w:val="both"/>
        <w:rPr>
          <w:rFonts w:eastAsia="Calibri" w:cs="Calibri"/>
          <w:color w:val="000000"/>
          <w:lang w:eastAsia="it-IT"/>
        </w:rPr>
      </w:pPr>
    </w:p>
    <w:p w:rsidR="004241AC" w:rsidRPr="000425E0" w:rsidRDefault="004241AC" w:rsidP="0059098E">
      <w:pPr>
        <w:autoSpaceDE w:val="0"/>
        <w:autoSpaceDN w:val="0"/>
        <w:adjustRightInd w:val="0"/>
        <w:spacing w:after="0" w:line="240" w:lineRule="auto"/>
        <w:jc w:val="both"/>
        <w:rPr>
          <w:rFonts w:eastAsia="Calibri" w:cs="Calibri"/>
          <w:b/>
          <w:color w:val="000000"/>
          <w:lang w:eastAsia="it-IT"/>
        </w:rPr>
      </w:pPr>
      <w:r w:rsidRPr="000425E0">
        <w:rPr>
          <w:rFonts w:eastAsia="Calibri" w:cs="Calibri"/>
          <w:b/>
          <w:bCs/>
          <w:color w:val="000000"/>
          <w:lang w:eastAsia="it-IT"/>
        </w:rPr>
        <w:t xml:space="preserve">1) CHE COS’È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323123">
        <w:rPr>
          <w:b/>
          <w:snapToGrid w:val="0"/>
        </w:rPr>
        <w:t>Ipso Pharma</w:t>
      </w:r>
      <w:r w:rsidR="00E307AA" w:rsidRPr="000425E0">
        <w:rPr>
          <w:rFonts w:eastAsia="Calibri" w:cs="Calibri"/>
          <w:b/>
          <w:bCs/>
          <w:color w:val="000000"/>
          <w:lang w:eastAsia="it-IT"/>
        </w:rPr>
        <w:t xml:space="preserve"> </w:t>
      </w:r>
      <w:r w:rsidR="00380099" w:rsidRPr="000425E0">
        <w:rPr>
          <w:rFonts w:eastAsia="Calibri" w:cs="Calibri"/>
          <w:b/>
          <w:bCs/>
          <w:color w:val="000000"/>
          <w:lang w:eastAsia="it-IT"/>
        </w:rPr>
        <w:t>E A COSA SERVE</w:t>
      </w:r>
      <w:r w:rsidRPr="000425E0">
        <w:rPr>
          <w:rFonts w:eastAsia="Calibri" w:cs="Calibri"/>
          <w:b/>
          <w:bCs/>
          <w:color w:val="000000"/>
          <w:lang w:eastAsia="it-IT"/>
        </w:rPr>
        <w:t xml:space="preserve">? </w:t>
      </w:r>
    </w:p>
    <w:p w:rsidR="000425E0" w:rsidRPr="000425E0" w:rsidRDefault="00516411" w:rsidP="0059098E">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Levosulpiride</w:t>
      </w:r>
      <w:proofErr w:type="spellEnd"/>
      <w:r>
        <w:rPr>
          <w:rFonts w:eastAsia="Calibri" w:cs="Calibri"/>
          <w:bCs/>
          <w:color w:val="000000"/>
          <w:lang w:eastAsia="it-IT"/>
        </w:rPr>
        <w:t xml:space="preserve"> </w:t>
      </w:r>
      <w:r w:rsidR="00323123">
        <w:rPr>
          <w:rFonts w:eastAsia="Calibri" w:cs="Calibri"/>
          <w:bCs/>
          <w:color w:val="000000"/>
          <w:lang w:eastAsia="it-IT"/>
        </w:rPr>
        <w:t>Ipso Pharma</w:t>
      </w:r>
      <w:r w:rsidR="00B9671B" w:rsidRPr="000425E0">
        <w:rPr>
          <w:rFonts w:eastAsia="Calibri" w:cs="Calibri"/>
          <w:bCs/>
          <w:color w:val="000000"/>
          <w:lang w:eastAsia="it-IT"/>
        </w:rPr>
        <w:t xml:space="preserve"> </w:t>
      </w:r>
      <w:r w:rsidR="004241AC" w:rsidRPr="000425E0">
        <w:rPr>
          <w:rFonts w:eastAsia="Calibri" w:cs="Calibri"/>
          <w:color w:val="000000"/>
          <w:lang w:eastAsia="it-IT"/>
        </w:rPr>
        <w:t xml:space="preserve">è un medicinale contenente </w:t>
      </w:r>
      <w:r w:rsidR="00062636" w:rsidRPr="000425E0">
        <w:rPr>
          <w:rFonts w:eastAsia="Calibri" w:cs="Calibri"/>
          <w:color w:val="000000"/>
          <w:lang w:eastAsia="it-IT"/>
        </w:rPr>
        <w:t>i</w:t>
      </w:r>
      <w:r w:rsidR="00E83F8D" w:rsidRPr="000425E0">
        <w:rPr>
          <w:rFonts w:eastAsia="Calibri" w:cs="Calibri"/>
          <w:color w:val="000000"/>
          <w:lang w:eastAsia="it-IT"/>
        </w:rPr>
        <w:t>l</w:t>
      </w:r>
      <w:r w:rsidR="004241AC" w:rsidRPr="000425E0">
        <w:rPr>
          <w:rFonts w:eastAsia="Calibri" w:cs="Calibri"/>
          <w:color w:val="000000"/>
          <w:lang w:eastAsia="it-IT"/>
        </w:rPr>
        <w:t xml:space="preserve"> principi</w:t>
      </w:r>
      <w:r w:rsidR="00E83F8D" w:rsidRPr="000425E0">
        <w:rPr>
          <w:rFonts w:eastAsia="Calibri" w:cs="Calibri"/>
          <w:color w:val="000000"/>
          <w:lang w:eastAsia="it-IT"/>
        </w:rPr>
        <w:t>o</w:t>
      </w:r>
      <w:r w:rsidR="004241AC" w:rsidRPr="000425E0">
        <w:rPr>
          <w:rFonts w:eastAsia="Calibri" w:cs="Calibri"/>
          <w:color w:val="000000"/>
          <w:lang w:eastAsia="it-IT"/>
        </w:rPr>
        <w:t xml:space="preserve"> attiv</w:t>
      </w:r>
      <w:r w:rsidR="00E83F8D" w:rsidRPr="000425E0">
        <w:rPr>
          <w:rFonts w:eastAsia="Calibri" w:cs="Calibri"/>
          <w:color w:val="000000"/>
          <w:lang w:eastAsia="it-IT"/>
        </w:rPr>
        <w:t>o</w:t>
      </w:r>
      <w:r w:rsidR="004241AC" w:rsidRPr="000425E0">
        <w:rPr>
          <w:rFonts w:eastAsia="Calibri" w:cs="Calibri"/>
          <w:color w:val="000000"/>
          <w:lang w:eastAsia="it-IT"/>
        </w:rPr>
        <w:t xml:space="preserve"> </w:t>
      </w:r>
      <w:proofErr w:type="spellStart"/>
      <w:r w:rsidR="00CC21D8">
        <w:rPr>
          <w:rFonts w:eastAsia="Calibri" w:cs="Calibri"/>
          <w:color w:val="000000"/>
          <w:lang w:eastAsia="it-IT"/>
        </w:rPr>
        <w:t>levosulpiride</w:t>
      </w:r>
      <w:proofErr w:type="spellEnd"/>
      <w:r w:rsidR="00BB4CC4" w:rsidRPr="000425E0">
        <w:rPr>
          <w:rFonts w:eastAsia="Calibri" w:cs="Calibri"/>
          <w:color w:val="000000"/>
          <w:lang w:eastAsia="it-IT"/>
        </w:rPr>
        <w:t xml:space="preserve"> ed è </w:t>
      </w:r>
      <w:r w:rsidR="004241AC" w:rsidRPr="000425E0">
        <w:rPr>
          <w:rFonts w:eastAsia="Calibri" w:cs="Calibri"/>
          <w:color w:val="000000"/>
          <w:lang w:eastAsia="it-IT"/>
        </w:rPr>
        <w:t xml:space="preserve">disponibile </w:t>
      </w:r>
      <w:r w:rsidR="000425E0" w:rsidRPr="000425E0">
        <w:rPr>
          <w:rFonts w:eastAsia="Calibri" w:cs="Calibri"/>
          <w:lang w:eastAsia="it-IT"/>
        </w:rPr>
        <w:t xml:space="preserve">come </w:t>
      </w:r>
      <w:r w:rsidR="00CC21D8">
        <w:rPr>
          <w:rFonts w:eastAsia="Calibri" w:cs="Calibri"/>
          <w:lang w:eastAsia="it-IT"/>
        </w:rPr>
        <w:t>gocce orali</w:t>
      </w:r>
      <w:r w:rsidR="0059098E" w:rsidRPr="0059098E">
        <w:rPr>
          <w:rFonts w:eastAsia="Calibri" w:cs="Calibri"/>
          <w:lang w:eastAsia="it-IT"/>
        </w:rPr>
        <w:t xml:space="preserve"> </w:t>
      </w:r>
      <w:r w:rsidR="0059098E" w:rsidRPr="000425E0">
        <w:rPr>
          <w:rFonts w:eastAsia="Calibri" w:cs="Calibri"/>
          <w:lang w:eastAsia="it-IT"/>
        </w:rPr>
        <w:t xml:space="preserve">contenenti </w:t>
      </w:r>
      <w:r w:rsidR="0059098E">
        <w:rPr>
          <w:rFonts w:eastAsia="Calibri" w:cs="Calibri"/>
          <w:lang w:eastAsia="it-IT"/>
        </w:rPr>
        <w:t>il</w:t>
      </w:r>
      <w:r w:rsidR="0059098E" w:rsidRPr="000425E0">
        <w:rPr>
          <w:rFonts w:eastAsia="Calibri" w:cs="Calibri"/>
          <w:lang w:eastAsia="it-IT"/>
        </w:rPr>
        <w:t xml:space="preserve"> principio attivo</w:t>
      </w:r>
      <w:r w:rsidR="0059098E">
        <w:rPr>
          <w:rFonts w:eastAsia="Calibri" w:cs="Calibri"/>
          <w:lang w:eastAsia="it-IT"/>
        </w:rPr>
        <w:t xml:space="preserve"> alla concentrazione di 25 mg/ml</w:t>
      </w:r>
      <w:r w:rsidR="00E1408D">
        <w:rPr>
          <w:rFonts w:eastAsia="Calibri" w:cs="Calibri"/>
          <w:lang w:eastAsia="it-IT"/>
        </w:rPr>
        <w:t xml:space="preserve"> e compresse </w:t>
      </w:r>
      <w:r w:rsidR="00787D23">
        <w:rPr>
          <w:rFonts w:eastAsia="Calibri" w:cs="Calibri"/>
          <w:lang w:eastAsia="it-IT"/>
        </w:rPr>
        <w:t>contenenti</w:t>
      </w:r>
      <w:r w:rsidR="00E1408D">
        <w:rPr>
          <w:rFonts w:eastAsia="Calibri" w:cs="Calibri"/>
          <w:lang w:eastAsia="it-IT"/>
        </w:rPr>
        <w:t xml:space="preserve"> 25 mg</w:t>
      </w:r>
      <w:r w:rsidR="0059098E">
        <w:rPr>
          <w:rFonts w:eastAsia="Calibri" w:cs="Calibri"/>
          <w:lang w:eastAsia="it-IT"/>
        </w:rPr>
        <w:t xml:space="preserve"> di principio attivo</w:t>
      </w:r>
      <w:r w:rsidR="000425E0" w:rsidRPr="000425E0">
        <w:rPr>
          <w:rFonts w:eastAsia="Calibri" w:cs="Calibri"/>
          <w:color w:val="000000"/>
          <w:lang w:eastAsia="it-IT"/>
        </w:rPr>
        <w:t>.</w:t>
      </w:r>
    </w:p>
    <w:p w:rsidR="00013020" w:rsidRPr="00380099" w:rsidRDefault="00516411" w:rsidP="0059098E">
      <w:pPr>
        <w:widowControl w:val="0"/>
        <w:spacing w:after="0" w:line="240" w:lineRule="auto"/>
        <w:jc w:val="both"/>
      </w:pPr>
      <w:proofErr w:type="spellStart"/>
      <w:r>
        <w:rPr>
          <w:rFonts w:eastAsia="Calibri" w:cs="Calibri"/>
          <w:lang w:eastAsia="it-IT"/>
        </w:rPr>
        <w:t>Levosulpiride</w:t>
      </w:r>
      <w:proofErr w:type="spellEnd"/>
      <w:r>
        <w:rPr>
          <w:rFonts w:eastAsia="Calibri" w:cs="Calibri"/>
          <w:lang w:eastAsia="it-IT"/>
        </w:rPr>
        <w:t xml:space="preserve"> </w:t>
      </w:r>
      <w:r w:rsidR="00323123">
        <w:rPr>
          <w:rFonts w:eastAsia="Calibri" w:cs="Calibri"/>
          <w:lang w:eastAsia="it-IT"/>
        </w:rPr>
        <w:t>Ipso Pharma</w:t>
      </w:r>
      <w:r w:rsidR="00B9671B" w:rsidRPr="00380099">
        <w:rPr>
          <w:rFonts w:eastAsia="Calibri" w:cs="Calibri"/>
          <w:lang w:eastAsia="it-IT"/>
        </w:rPr>
        <w:t xml:space="preserve"> </w:t>
      </w:r>
      <w:r w:rsidR="00013020" w:rsidRPr="00380099">
        <w:rPr>
          <w:rFonts w:eastAsia="Calibri" w:cs="Calibri"/>
          <w:lang w:eastAsia="it-IT"/>
        </w:rPr>
        <w:t xml:space="preserve">è un “medicinale generico”, cioè è analogo ad un “medicinale di riferimento”, già autorizzato in </w:t>
      </w:r>
      <w:r w:rsidR="00E83F8D" w:rsidRPr="00380099">
        <w:rPr>
          <w:rFonts w:eastAsia="Calibri" w:cs="Calibri"/>
          <w:lang w:eastAsia="it-IT"/>
        </w:rPr>
        <w:t>Italia</w:t>
      </w:r>
      <w:r w:rsidR="00013020" w:rsidRPr="00380099">
        <w:rPr>
          <w:rFonts w:eastAsia="Calibri" w:cs="Calibri"/>
          <w:lang w:eastAsia="it-IT"/>
        </w:rPr>
        <w:t xml:space="preserve">, </w:t>
      </w:r>
      <w:proofErr w:type="spellStart"/>
      <w:r w:rsidR="00CC21D8">
        <w:rPr>
          <w:rFonts w:eastAsia="Calibri" w:cs="Calibri"/>
          <w:lang w:eastAsia="it-IT"/>
        </w:rPr>
        <w:t>Levopraid</w:t>
      </w:r>
      <w:proofErr w:type="spellEnd"/>
      <w:r w:rsidR="00013020" w:rsidRPr="00380099">
        <w:rPr>
          <w:rFonts w:eastAsia="Calibri" w:cs="Calibri"/>
          <w:lang w:eastAsia="it-IT"/>
        </w:rPr>
        <w:t>.</w:t>
      </w:r>
    </w:p>
    <w:p w:rsidR="00AE70D7" w:rsidRPr="00B321E1" w:rsidRDefault="00516411" w:rsidP="0059098E">
      <w:pPr>
        <w:shd w:val="clear" w:color="auto" w:fill="FFFFFF"/>
        <w:spacing w:after="0" w:line="240" w:lineRule="auto"/>
      </w:pPr>
      <w:proofErr w:type="spellStart"/>
      <w:r>
        <w:rPr>
          <w:rFonts w:eastAsia="Calibri" w:cs="Calibri"/>
          <w:lang w:eastAsia="it-IT"/>
        </w:rPr>
        <w:t>Levosulpiride</w:t>
      </w:r>
      <w:proofErr w:type="spellEnd"/>
      <w:r>
        <w:rPr>
          <w:rFonts w:eastAsia="Calibri" w:cs="Calibri"/>
          <w:lang w:eastAsia="it-IT"/>
        </w:rPr>
        <w:t xml:space="preserve"> </w:t>
      </w:r>
      <w:r w:rsidR="00323123">
        <w:rPr>
          <w:rFonts w:eastAsia="Calibri" w:cs="Calibri"/>
          <w:lang w:eastAsia="it-IT"/>
        </w:rPr>
        <w:t>Ipso Pharma</w:t>
      </w:r>
      <w:r w:rsidR="00B9671B" w:rsidRPr="00AE70D7">
        <w:rPr>
          <w:rFonts w:eastAsia="Calibri" w:cs="Calibri"/>
          <w:lang w:eastAsia="it-IT"/>
        </w:rPr>
        <w:t xml:space="preserve"> </w:t>
      </w:r>
      <w:r w:rsidR="00AE70D7" w:rsidRPr="00AE70D7">
        <w:t xml:space="preserve">è utilizzato </w:t>
      </w:r>
      <w:r w:rsidR="00E840A5">
        <w:t xml:space="preserve">negli adulti </w:t>
      </w:r>
      <w:r w:rsidR="00AE70D7" w:rsidRPr="00AE70D7">
        <w:t>per il trattamento di:</w:t>
      </w:r>
    </w:p>
    <w:p w:rsidR="00AE70D7" w:rsidRDefault="00AE70D7" w:rsidP="0059098E">
      <w:pPr>
        <w:numPr>
          <w:ilvl w:val="0"/>
          <w:numId w:val="11"/>
        </w:numPr>
        <w:shd w:val="clear" w:color="auto" w:fill="FFFFFF"/>
        <w:spacing w:after="0" w:line="240" w:lineRule="auto"/>
        <w:ind w:left="426" w:hanging="284"/>
        <w:jc w:val="both"/>
      </w:pPr>
      <w:r w:rsidRPr="00AA43FE">
        <w:t xml:space="preserve">disturbi legati ad una rallentata e difficoltosa digestione (mancanza di appetito, gonfiore addominale, dolore addominale, mal di testa dopo aver mangiato, bruciore di stomaco, eruttazioni, diarrea, stitichezza) dovuti a malattie concomitanti (diabete, tumori, ecc.) e/o a fattori funzionali (disturbi digestivi </w:t>
      </w:r>
      <w:r w:rsidRPr="00350342">
        <w:t>di natura psicosomatica</w:t>
      </w:r>
      <w:r w:rsidRPr="00AA43FE">
        <w:t xml:space="preserve"> in soggetti ansioso-depressivi);</w:t>
      </w:r>
    </w:p>
    <w:p w:rsidR="00AE70D7" w:rsidRPr="00AA43FE" w:rsidRDefault="00AE70D7" w:rsidP="0059098E">
      <w:pPr>
        <w:numPr>
          <w:ilvl w:val="0"/>
          <w:numId w:val="11"/>
        </w:numPr>
        <w:shd w:val="clear" w:color="auto" w:fill="FFFFFF"/>
        <w:spacing w:after="0" w:line="240" w:lineRule="auto"/>
        <w:ind w:left="426" w:hanging="284"/>
        <w:jc w:val="both"/>
      </w:pPr>
      <w:r>
        <w:t>mal di testa di natura</w:t>
      </w:r>
      <w:r w:rsidRPr="00627A65">
        <w:t xml:space="preserve"> </w:t>
      </w:r>
      <w:r>
        <w:t xml:space="preserve">vasomotoria (dovuta a costrizione delle arterie della testa) </w:t>
      </w:r>
      <w:r w:rsidRPr="00627A65">
        <w:t xml:space="preserve">e </w:t>
      </w:r>
      <w:r>
        <w:t>di natura muscolo-tensiva (</w:t>
      </w:r>
      <w:r w:rsidRPr="00990978">
        <w:t>dovut</w:t>
      </w:r>
      <w:r>
        <w:t>a</w:t>
      </w:r>
      <w:r w:rsidRPr="00990978">
        <w:t xml:space="preserve"> alla contrazione </w:t>
      </w:r>
      <w:r>
        <w:t>dei muscoli</w:t>
      </w:r>
      <w:r w:rsidRPr="00990978">
        <w:t xml:space="preserve"> del capo e del collo</w:t>
      </w:r>
      <w:r>
        <w:t>);</w:t>
      </w:r>
    </w:p>
    <w:p w:rsidR="00AE70D7" w:rsidRPr="00B321E1" w:rsidRDefault="00AE70D7" w:rsidP="0059098E">
      <w:pPr>
        <w:numPr>
          <w:ilvl w:val="0"/>
          <w:numId w:val="11"/>
        </w:numPr>
        <w:shd w:val="clear" w:color="auto" w:fill="FFFFFF"/>
        <w:tabs>
          <w:tab w:val="left" w:pos="540"/>
        </w:tabs>
        <w:spacing w:after="0" w:line="240" w:lineRule="auto"/>
        <w:ind w:left="426" w:hanging="284"/>
      </w:pPr>
      <w:r w:rsidRPr="00B321E1">
        <w:t>vomito e nausea</w:t>
      </w:r>
      <w:r>
        <w:t xml:space="preserve"> </w:t>
      </w:r>
      <w:r w:rsidRPr="002B71D9">
        <w:t>(di natura post-operatoria o indotta da farmaci antitumorali)</w:t>
      </w:r>
      <w:r w:rsidRPr="00B321E1">
        <w:t xml:space="preserve">; </w:t>
      </w:r>
    </w:p>
    <w:p w:rsidR="00AE70D7" w:rsidRPr="00B321E1" w:rsidRDefault="00AE70D7" w:rsidP="0059098E">
      <w:pPr>
        <w:numPr>
          <w:ilvl w:val="0"/>
          <w:numId w:val="11"/>
        </w:numPr>
        <w:tabs>
          <w:tab w:val="left" w:pos="540"/>
        </w:tabs>
        <w:spacing w:after="0" w:line="240" w:lineRule="auto"/>
        <w:ind w:left="426" w:hanging="284"/>
        <w:rPr>
          <w:b/>
        </w:rPr>
      </w:pPr>
      <w:r w:rsidRPr="00B321E1">
        <w:t xml:space="preserve">vertigini. </w:t>
      </w:r>
    </w:p>
    <w:p w:rsidR="004241AC" w:rsidRPr="00380099" w:rsidRDefault="004241AC" w:rsidP="0059098E">
      <w:pPr>
        <w:pStyle w:val="Titolo2"/>
        <w:spacing w:before="0" w:line="240" w:lineRule="auto"/>
        <w:jc w:val="both"/>
        <w:rPr>
          <w:rFonts w:eastAsia="Calibri" w:cs="Calibri"/>
          <w:b w:val="0"/>
          <w:bCs w:val="0"/>
          <w:lang w:eastAsia="it-IT"/>
        </w:rPr>
      </w:pPr>
    </w:p>
    <w:p w:rsidR="00787D23" w:rsidRPr="00380099" w:rsidRDefault="00787D23" w:rsidP="0059098E">
      <w:pPr>
        <w:autoSpaceDE w:val="0"/>
        <w:autoSpaceDN w:val="0"/>
        <w:adjustRightInd w:val="0"/>
        <w:spacing w:after="0" w:line="240" w:lineRule="auto"/>
        <w:jc w:val="both"/>
        <w:rPr>
          <w:rFonts w:eastAsia="Calibri" w:cs="Calibri"/>
          <w:b/>
          <w:bCs/>
          <w:lang w:eastAsia="it-IT"/>
        </w:rPr>
      </w:pPr>
    </w:p>
    <w:p w:rsidR="004241AC" w:rsidRPr="00380099" w:rsidRDefault="004241AC" w:rsidP="0059098E">
      <w:pPr>
        <w:autoSpaceDE w:val="0"/>
        <w:autoSpaceDN w:val="0"/>
        <w:adjustRightInd w:val="0"/>
        <w:spacing w:after="0" w:line="240" w:lineRule="auto"/>
        <w:jc w:val="both"/>
        <w:rPr>
          <w:rFonts w:eastAsia="Calibri" w:cs="Calibri"/>
          <w:lang w:eastAsia="it-IT"/>
        </w:rPr>
      </w:pPr>
      <w:r w:rsidRPr="00380099">
        <w:rPr>
          <w:rFonts w:eastAsia="Calibri" w:cs="Calibri"/>
          <w:b/>
          <w:bCs/>
          <w:lang w:eastAsia="it-IT"/>
        </w:rPr>
        <w:t xml:space="preserve">2) COME E’ PRESCRITTO/USATO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323123">
        <w:rPr>
          <w:b/>
          <w:snapToGrid w:val="0"/>
        </w:rPr>
        <w:t>Ipso Pharma</w:t>
      </w:r>
      <w:r w:rsidRPr="00380099">
        <w:rPr>
          <w:rFonts w:eastAsia="Calibri" w:cs="Calibri"/>
          <w:b/>
          <w:bCs/>
          <w:lang w:eastAsia="it-IT"/>
        </w:rPr>
        <w:t>?</w:t>
      </w:r>
    </w:p>
    <w:p w:rsidR="00380099" w:rsidRDefault="00516411" w:rsidP="0059098E">
      <w:pPr>
        <w:autoSpaceDE w:val="0"/>
        <w:autoSpaceDN w:val="0"/>
        <w:adjustRightInd w:val="0"/>
        <w:spacing w:after="0" w:line="240" w:lineRule="auto"/>
        <w:jc w:val="both"/>
        <w:rPr>
          <w:rFonts w:eastAsia="Calibri" w:cs="Calibri"/>
          <w:color w:val="000000"/>
          <w:lang w:eastAsia="it-IT"/>
        </w:rPr>
      </w:pPr>
      <w:proofErr w:type="spellStart"/>
      <w:r>
        <w:rPr>
          <w:rFonts w:cs="Calibri"/>
        </w:rPr>
        <w:t>Levosulpiride</w:t>
      </w:r>
      <w:proofErr w:type="spellEnd"/>
      <w:r>
        <w:rPr>
          <w:rFonts w:cs="Calibri"/>
        </w:rPr>
        <w:t xml:space="preserve"> </w:t>
      </w:r>
      <w:r w:rsidR="00323123">
        <w:rPr>
          <w:rFonts w:cs="Calibri"/>
        </w:rPr>
        <w:t>Ipso Pharma</w:t>
      </w:r>
      <w:r w:rsidR="00B5001E" w:rsidRPr="00E840A5">
        <w:rPr>
          <w:rFonts w:cs="Calibri"/>
        </w:rPr>
        <w:t xml:space="preserve"> </w:t>
      </w:r>
      <w:r w:rsidR="00380099" w:rsidRPr="00E840A5">
        <w:rPr>
          <w:rFonts w:eastAsia="Calibri" w:cs="Calibri"/>
          <w:color w:val="000000"/>
          <w:lang w:eastAsia="it-IT"/>
        </w:rPr>
        <w:t>può essere ottenuto solo dietro prescrizione da parte del medico (ricetta ripetibile).</w:t>
      </w:r>
    </w:p>
    <w:p w:rsidR="00787D23" w:rsidRDefault="00E83CAE" w:rsidP="0059098E">
      <w:pPr>
        <w:autoSpaceDE w:val="0"/>
        <w:autoSpaceDN w:val="0"/>
        <w:adjustRightInd w:val="0"/>
        <w:spacing w:after="0" w:line="240" w:lineRule="auto"/>
        <w:jc w:val="both"/>
      </w:pPr>
      <w:r w:rsidRPr="00E840A5">
        <w:t>La dose giornaliera raccomandata</w:t>
      </w:r>
      <w:r w:rsidR="00CC21D8" w:rsidRPr="00E840A5">
        <w:t xml:space="preserve"> negli adulti</w:t>
      </w:r>
      <w:r w:rsidRPr="00E840A5">
        <w:t xml:space="preserve"> è di </w:t>
      </w:r>
      <w:r w:rsidR="00CC21D8" w:rsidRPr="00E840A5">
        <w:t xml:space="preserve">15 gocce (corrispondenti a </w:t>
      </w:r>
      <w:r w:rsidR="00E840A5" w:rsidRPr="00E840A5">
        <w:t xml:space="preserve">circa </w:t>
      </w:r>
      <w:r w:rsidR="00CC21D8" w:rsidRPr="00E840A5">
        <w:t>2</w:t>
      </w:r>
      <w:r w:rsidR="002D4C36">
        <w:t>4</w:t>
      </w:r>
      <w:r w:rsidR="00CC21D8" w:rsidRPr="00E840A5">
        <w:t xml:space="preserve"> mg di principio attivo) </w:t>
      </w:r>
      <w:r w:rsidR="00E1408D">
        <w:t>o di  1 compressa</w:t>
      </w:r>
      <w:r w:rsidR="00E1408D" w:rsidRPr="00E840A5">
        <w:t xml:space="preserve"> </w:t>
      </w:r>
      <w:r w:rsidR="00CC21D8" w:rsidRPr="00E840A5">
        <w:t>per 3 volte al giorno</w:t>
      </w:r>
      <w:r w:rsidR="00E1408D">
        <w:t xml:space="preserve"> prima dei pasti</w:t>
      </w:r>
      <w:r w:rsidR="00CC21D8" w:rsidRPr="00E840A5">
        <w:t>.</w:t>
      </w:r>
    </w:p>
    <w:p w:rsidR="00DF4CE3" w:rsidRPr="00380099" w:rsidRDefault="00DF4CE3" w:rsidP="0059098E">
      <w:pPr>
        <w:autoSpaceDE w:val="0"/>
        <w:autoSpaceDN w:val="0"/>
        <w:adjustRightInd w:val="0"/>
        <w:spacing w:after="0" w:line="240" w:lineRule="auto"/>
        <w:jc w:val="both"/>
        <w:rPr>
          <w:rFonts w:eastAsia="Calibri" w:cs="Calibri"/>
          <w:color w:val="000000"/>
          <w:lang w:eastAsia="it-IT"/>
        </w:rPr>
      </w:pPr>
      <w:r w:rsidRPr="00E840A5">
        <w:lastRenderedPageBreak/>
        <w:t>Per gli anziani queste dosi possono essere ridotte.</w:t>
      </w:r>
    </w:p>
    <w:p w:rsidR="00181F56" w:rsidRDefault="00181F56" w:rsidP="0059098E">
      <w:pPr>
        <w:autoSpaceDE w:val="0"/>
        <w:autoSpaceDN w:val="0"/>
        <w:adjustRightInd w:val="0"/>
        <w:spacing w:after="0" w:line="240" w:lineRule="auto"/>
        <w:jc w:val="both"/>
        <w:rPr>
          <w:rFonts w:eastAsia="Calibri" w:cs="Verdana"/>
          <w:color w:val="000000"/>
          <w:lang w:eastAsia="it-IT"/>
        </w:rPr>
      </w:pPr>
    </w:p>
    <w:p w:rsidR="000737C3" w:rsidRDefault="000737C3" w:rsidP="0059098E">
      <w:pPr>
        <w:autoSpaceDE w:val="0"/>
        <w:autoSpaceDN w:val="0"/>
        <w:adjustRightInd w:val="0"/>
        <w:spacing w:after="0" w:line="240" w:lineRule="auto"/>
        <w:jc w:val="both"/>
        <w:rPr>
          <w:rFonts w:eastAsia="Calibri" w:cs="Verdana"/>
          <w:color w:val="000000"/>
          <w:lang w:eastAsia="it-IT"/>
        </w:rPr>
      </w:pPr>
    </w:p>
    <w:p w:rsidR="004241AC" w:rsidRPr="000737C3" w:rsidRDefault="004241AC" w:rsidP="0059098E">
      <w:pPr>
        <w:autoSpaceDE w:val="0"/>
        <w:autoSpaceDN w:val="0"/>
        <w:adjustRightInd w:val="0"/>
        <w:spacing w:after="0" w:line="240" w:lineRule="auto"/>
        <w:jc w:val="both"/>
        <w:rPr>
          <w:rFonts w:eastAsia="Calibri" w:cs="Calibri"/>
          <w:color w:val="000000"/>
          <w:lang w:eastAsia="it-IT"/>
        </w:rPr>
      </w:pPr>
      <w:r w:rsidRPr="000737C3">
        <w:rPr>
          <w:rFonts w:eastAsia="Calibri" w:cs="Calibri"/>
          <w:b/>
          <w:bCs/>
          <w:color w:val="000000"/>
          <w:lang w:eastAsia="it-IT"/>
        </w:rPr>
        <w:t xml:space="preserve">3) COME FUNZIONA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323123">
        <w:rPr>
          <w:b/>
          <w:snapToGrid w:val="0"/>
        </w:rPr>
        <w:t>Ipso Pharma</w:t>
      </w:r>
      <w:r w:rsidRPr="000737C3">
        <w:rPr>
          <w:rFonts w:eastAsia="Calibri" w:cs="Calibri"/>
          <w:b/>
          <w:bCs/>
          <w:color w:val="000000"/>
          <w:lang w:eastAsia="it-IT"/>
        </w:rPr>
        <w:t xml:space="preserve">? </w:t>
      </w:r>
    </w:p>
    <w:p w:rsidR="00181F56" w:rsidRPr="000737C3" w:rsidRDefault="00516411" w:rsidP="0059098E">
      <w:pPr>
        <w:tabs>
          <w:tab w:val="left" w:pos="0"/>
        </w:tabs>
        <w:spacing w:after="0" w:line="240" w:lineRule="auto"/>
        <w:jc w:val="both"/>
        <w:rPr>
          <w:noProof/>
        </w:rPr>
      </w:pPr>
      <w:proofErr w:type="spellStart"/>
      <w:r>
        <w:rPr>
          <w:rFonts w:eastAsia="Calibri" w:cs="Calibri"/>
          <w:bCs/>
          <w:color w:val="000000"/>
          <w:lang w:eastAsia="it-IT"/>
        </w:rPr>
        <w:t>Levosulpiride</w:t>
      </w:r>
      <w:proofErr w:type="spellEnd"/>
      <w:r>
        <w:rPr>
          <w:rFonts w:eastAsia="Calibri" w:cs="Calibri"/>
          <w:bCs/>
          <w:color w:val="000000"/>
          <w:lang w:eastAsia="it-IT"/>
        </w:rPr>
        <w:t xml:space="preserve"> </w:t>
      </w:r>
      <w:r w:rsidR="00323123">
        <w:rPr>
          <w:rFonts w:eastAsia="Calibri" w:cs="Calibri"/>
          <w:bCs/>
          <w:color w:val="000000"/>
          <w:lang w:eastAsia="it-IT"/>
        </w:rPr>
        <w:t>Ipso Pharma</w:t>
      </w:r>
      <w:r w:rsidR="00B27F42" w:rsidRPr="000737C3">
        <w:rPr>
          <w:rFonts w:eastAsia="Calibri" w:cs="Calibri"/>
          <w:bCs/>
          <w:color w:val="000000"/>
          <w:lang w:eastAsia="it-IT"/>
        </w:rPr>
        <w:t xml:space="preserve">, il cui codice ATC è </w:t>
      </w:r>
      <w:r w:rsidR="00DF4CE3" w:rsidRPr="000737C3">
        <w:rPr>
          <w:noProof/>
        </w:rPr>
        <w:t>A03FA</w:t>
      </w:r>
      <w:r w:rsidR="00B27F42" w:rsidRPr="000737C3">
        <w:rPr>
          <w:lang w:eastAsia="it-IT"/>
        </w:rPr>
        <w:t>,</w:t>
      </w:r>
      <w:r w:rsidR="00E43089" w:rsidRPr="000737C3">
        <w:rPr>
          <w:rFonts w:eastAsia="DejaVuSans" w:cs="DejaVuSans"/>
        </w:rPr>
        <w:t xml:space="preserve"> </w:t>
      </w:r>
      <w:r w:rsidR="004241AC" w:rsidRPr="000737C3">
        <w:rPr>
          <w:rFonts w:eastAsia="Calibri" w:cs="Calibri"/>
          <w:color w:val="000000"/>
          <w:lang w:eastAsia="it-IT"/>
        </w:rPr>
        <w:t>contiene i</w:t>
      </w:r>
      <w:r w:rsidR="00EF062E" w:rsidRPr="000737C3">
        <w:rPr>
          <w:rFonts w:eastAsia="Calibri" w:cs="Calibri"/>
          <w:color w:val="000000"/>
          <w:lang w:eastAsia="it-IT"/>
        </w:rPr>
        <w:t>l</w:t>
      </w:r>
      <w:r w:rsidR="004241AC" w:rsidRPr="000737C3">
        <w:rPr>
          <w:rFonts w:eastAsia="Calibri" w:cs="Calibri"/>
          <w:color w:val="000000"/>
          <w:lang w:eastAsia="it-IT"/>
        </w:rPr>
        <w:t xml:space="preserve"> principi</w:t>
      </w:r>
      <w:r w:rsidR="00EF062E" w:rsidRPr="000737C3">
        <w:rPr>
          <w:rFonts w:eastAsia="Calibri" w:cs="Calibri"/>
          <w:color w:val="000000"/>
          <w:lang w:eastAsia="it-IT"/>
        </w:rPr>
        <w:t>o</w:t>
      </w:r>
      <w:r w:rsidR="004241AC" w:rsidRPr="000737C3">
        <w:rPr>
          <w:rFonts w:eastAsia="Calibri" w:cs="Calibri"/>
          <w:color w:val="000000"/>
          <w:lang w:eastAsia="it-IT"/>
        </w:rPr>
        <w:t xml:space="preserve"> attiv</w:t>
      </w:r>
      <w:r w:rsidR="00EF062E" w:rsidRPr="000737C3">
        <w:rPr>
          <w:rFonts w:eastAsia="Calibri" w:cs="Calibri"/>
          <w:color w:val="000000"/>
          <w:lang w:eastAsia="it-IT"/>
        </w:rPr>
        <w:t>o</w:t>
      </w:r>
      <w:r w:rsidR="004241AC" w:rsidRPr="000737C3">
        <w:rPr>
          <w:rFonts w:eastAsia="Calibri" w:cs="Calibri"/>
          <w:color w:val="000000"/>
          <w:lang w:eastAsia="it-IT"/>
        </w:rPr>
        <w:t xml:space="preserve"> </w:t>
      </w:r>
      <w:proofErr w:type="spellStart"/>
      <w:r w:rsidR="00CC21D8" w:rsidRPr="000737C3">
        <w:rPr>
          <w:rFonts w:eastAsia="Calibri" w:cs="Calibri"/>
          <w:color w:val="000000"/>
          <w:lang w:eastAsia="it-IT"/>
        </w:rPr>
        <w:t>levosulpiride</w:t>
      </w:r>
      <w:proofErr w:type="spellEnd"/>
      <w:r w:rsidR="00B27F42" w:rsidRPr="000737C3">
        <w:rPr>
          <w:rFonts w:eastAsia="Calibri" w:cs="Calibri"/>
          <w:color w:val="000000"/>
          <w:lang w:eastAsia="it-IT"/>
        </w:rPr>
        <w:t xml:space="preserve"> che</w:t>
      </w:r>
      <w:r w:rsidR="00E840A5" w:rsidRPr="000737C3">
        <w:rPr>
          <w:rFonts w:eastAsia="Calibri" w:cs="Calibri"/>
          <w:color w:val="000000"/>
          <w:lang w:eastAsia="it-IT"/>
        </w:rPr>
        <w:t xml:space="preserve"> a basse dosi </w:t>
      </w:r>
      <w:r w:rsidR="00E840A5" w:rsidRPr="000737C3">
        <w:rPr>
          <w:color w:val="000000"/>
        </w:rPr>
        <w:t xml:space="preserve">viene usata come </w:t>
      </w:r>
      <w:proofErr w:type="spellStart"/>
      <w:r w:rsidR="00E840A5" w:rsidRPr="000737C3">
        <w:rPr>
          <w:color w:val="000000"/>
        </w:rPr>
        <w:t>procinetico</w:t>
      </w:r>
      <w:proofErr w:type="spellEnd"/>
      <w:r w:rsidR="00E840A5" w:rsidRPr="000737C3">
        <w:rPr>
          <w:color w:val="000000"/>
        </w:rPr>
        <w:t xml:space="preserve"> ed antiemetico; la </w:t>
      </w:r>
      <w:proofErr w:type="spellStart"/>
      <w:r w:rsidR="00E840A5" w:rsidRPr="000737C3">
        <w:rPr>
          <w:color w:val="000000"/>
        </w:rPr>
        <w:t>levosulpiride</w:t>
      </w:r>
      <w:proofErr w:type="spellEnd"/>
      <w:r w:rsidR="00E840A5" w:rsidRPr="000737C3">
        <w:rPr>
          <w:rFonts w:eastAsia="Calibri" w:cs="Calibri"/>
          <w:color w:val="000000"/>
          <w:lang w:eastAsia="it-IT"/>
        </w:rPr>
        <w:t xml:space="preserve"> è un antagonista dei recettori della dopamina (cioè si lega ai recettori, bloccandoli) ed è un agonista dei recettori della serotonina (cioè si lega ai recettori, attivandoli). La dopamina è un neurotrasmettitore</w:t>
      </w:r>
      <w:r w:rsidR="00E840A5" w:rsidRPr="000737C3">
        <w:rPr>
          <w:color w:val="000000"/>
        </w:rPr>
        <w:t xml:space="preserve">, abbondante a livello </w:t>
      </w:r>
      <w:r w:rsidR="00A21FA4" w:rsidRPr="000737C3">
        <w:rPr>
          <w:color w:val="000000"/>
        </w:rPr>
        <w:t>dell’intestino</w:t>
      </w:r>
      <w:r w:rsidR="00E840A5" w:rsidRPr="000737C3">
        <w:rPr>
          <w:color w:val="000000"/>
        </w:rPr>
        <w:t>,</w:t>
      </w:r>
      <w:r w:rsidR="00A21FA4" w:rsidRPr="000737C3">
        <w:rPr>
          <w:color w:val="000000"/>
        </w:rPr>
        <w:t xml:space="preserve"> che</w:t>
      </w:r>
      <w:r w:rsidR="00E840A5" w:rsidRPr="000737C3">
        <w:rPr>
          <w:color w:val="000000"/>
        </w:rPr>
        <w:t xml:space="preserve"> svolge un’azione inibitoria sulla motilità</w:t>
      </w:r>
      <w:r w:rsidR="00A21FA4" w:rsidRPr="000737C3">
        <w:rPr>
          <w:color w:val="000000"/>
        </w:rPr>
        <w:t xml:space="preserve"> del tratto gastrointestinale: i</w:t>
      </w:r>
      <w:r w:rsidR="00E840A5" w:rsidRPr="000737C3">
        <w:rPr>
          <w:color w:val="000000"/>
        </w:rPr>
        <w:t xml:space="preserve"> farmaci in grado di bloccar</w:t>
      </w:r>
      <w:r w:rsidR="00A21FA4" w:rsidRPr="000737C3">
        <w:rPr>
          <w:color w:val="000000"/>
        </w:rPr>
        <w:t>e i recettori della dopamina</w:t>
      </w:r>
      <w:r w:rsidR="00E840A5" w:rsidRPr="000737C3">
        <w:rPr>
          <w:color w:val="000000"/>
        </w:rPr>
        <w:t xml:space="preserve"> sono efficaci </w:t>
      </w:r>
      <w:proofErr w:type="spellStart"/>
      <w:r w:rsidR="00A21FA4" w:rsidRPr="000737C3">
        <w:rPr>
          <w:color w:val="000000"/>
        </w:rPr>
        <w:t>procinetici</w:t>
      </w:r>
      <w:proofErr w:type="spellEnd"/>
      <w:r w:rsidR="00A21FA4" w:rsidRPr="000737C3">
        <w:rPr>
          <w:color w:val="000000"/>
        </w:rPr>
        <w:t xml:space="preserve">, cioè sono in </w:t>
      </w:r>
      <w:r w:rsidR="00A21FA4" w:rsidRPr="000737C3">
        <w:rPr>
          <w:rFonts w:cs="Arial"/>
          <w:color w:val="252525"/>
          <w:shd w:val="clear" w:color="auto" w:fill="FFFFFF"/>
        </w:rPr>
        <w:t xml:space="preserve"> grado di stimolare selettivamente la funzione motoria intestinale</w:t>
      </w:r>
      <w:r w:rsidR="002D4C36">
        <w:rPr>
          <w:rFonts w:cs="Arial"/>
          <w:color w:val="252525"/>
          <w:shd w:val="clear" w:color="auto" w:fill="FFFFFF"/>
        </w:rPr>
        <w:t>.</w:t>
      </w:r>
      <w:r w:rsidR="00A21FA4" w:rsidRPr="000737C3">
        <w:rPr>
          <w:rFonts w:cs="Arial"/>
          <w:color w:val="252525"/>
          <w:shd w:val="clear" w:color="auto" w:fill="FFFFFF"/>
        </w:rPr>
        <w:t xml:space="preserve"> </w:t>
      </w:r>
      <w:r w:rsidR="002D4C36">
        <w:rPr>
          <w:color w:val="000000"/>
        </w:rPr>
        <w:t>Questi</w:t>
      </w:r>
      <w:r w:rsidR="00A21FA4" w:rsidRPr="000737C3">
        <w:rPr>
          <w:color w:val="000000"/>
        </w:rPr>
        <w:t xml:space="preserve"> farmaci</w:t>
      </w:r>
      <w:r w:rsidR="00E840A5" w:rsidRPr="000737C3">
        <w:rPr>
          <w:color w:val="000000"/>
        </w:rPr>
        <w:t xml:space="preserve"> ridu</w:t>
      </w:r>
      <w:r w:rsidR="00A21FA4" w:rsidRPr="000737C3">
        <w:rPr>
          <w:color w:val="000000"/>
        </w:rPr>
        <w:t>cono</w:t>
      </w:r>
      <w:r w:rsidR="00E840A5" w:rsidRPr="000737C3">
        <w:rPr>
          <w:color w:val="000000"/>
        </w:rPr>
        <w:t xml:space="preserve"> anche le sensazioni di nausea e vomito</w:t>
      </w:r>
      <w:r w:rsidR="00A21FA4" w:rsidRPr="000737C3">
        <w:rPr>
          <w:color w:val="000000"/>
        </w:rPr>
        <w:t xml:space="preserve">. L’attività della </w:t>
      </w:r>
      <w:proofErr w:type="spellStart"/>
      <w:r w:rsidR="00A21FA4" w:rsidRPr="000737C3">
        <w:rPr>
          <w:color w:val="000000"/>
        </w:rPr>
        <w:t>levosulpiride</w:t>
      </w:r>
      <w:proofErr w:type="spellEnd"/>
      <w:r w:rsidR="00A21FA4" w:rsidRPr="000737C3">
        <w:rPr>
          <w:color w:val="000000"/>
        </w:rPr>
        <w:t xml:space="preserve"> come agonista sui recettori della serotonina</w:t>
      </w:r>
      <w:r w:rsidR="00E840A5" w:rsidRPr="000737C3">
        <w:rPr>
          <w:color w:val="000000"/>
        </w:rPr>
        <w:t xml:space="preserve"> </w:t>
      </w:r>
      <w:r w:rsidR="000737C3" w:rsidRPr="000737C3">
        <w:rPr>
          <w:color w:val="000000"/>
        </w:rPr>
        <w:t>spiega</w:t>
      </w:r>
      <w:r w:rsidR="00E840A5" w:rsidRPr="000737C3">
        <w:rPr>
          <w:color w:val="000000"/>
        </w:rPr>
        <w:t xml:space="preserve"> l’efficacia del farmaco nel trattamento dei disturbi gastrointestinali </w:t>
      </w:r>
      <w:r w:rsidR="000737C3" w:rsidRPr="000737C3">
        <w:t>legati ad una rallentata e difficoltosa digestione</w:t>
      </w:r>
      <w:r w:rsidR="003E4A98">
        <w:t>.</w:t>
      </w:r>
    </w:p>
    <w:p w:rsidR="004241AC" w:rsidRPr="000737C3" w:rsidRDefault="004241AC" w:rsidP="0059098E">
      <w:pPr>
        <w:autoSpaceDE w:val="0"/>
        <w:autoSpaceDN w:val="0"/>
        <w:adjustRightInd w:val="0"/>
        <w:spacing w:after="0" w:line="240" w:lineRule="auto"/>
        <w:jc w:val="both"/>
        <w:rPr>
          <w:iCs/>
        </w:rPr>
      </w:pPr>
    </w:p>
    <w:p w:rsidR="00BA7D67" w:rsidRPr="000737C3" w:rsidRDefault="00BA7D67" w:rsidP="0059098E">
      <w:pPr>
        <w:tabs>
          <w:tab w:val="left" w:pos="0"/>
        </w:tabs>
        <w:overflowPunct w:val="0"/>
        <w:autoSpaceDE w:val="0"/>
        <w:autoSpaceDN w:val="0"/>
        <w:adjustRightInd w:val="0"/>
        <w:spacing w:after="0" w:line="240" w:lineRule="auto"/>
        <w:jc w:val="both"/>
        <w:textAlignment w:val="baseline"/>
        <w:rPr>
          <w:iCs/>
        </w:rPr>
      </w:pPr>
    </w:p>
    <w:p w:rsidR="004241AC" w:rsidRPr="000737C3" w:rsidRDefault="004241AC" w:rsidP="0059098E">
      <w:pPr>
        <w:autoSpaceDE w:val="0"/>
        <w:autoSpaceDN w:val="0"/>
        <w:adjustRightInd w:val="0"/>
        <w:spacing w:after="0" w:line="240" w:lineRule="auto"/>
        <w:jc w:val="both"/>
        <w:rPr>
          <w:rFonts w:eastAsia="Calibri" w:cs="Calibri"/>
          <w:lang w:eastAsia="it-IT"/>
        </w:rPr>
      </w:pPr>
      <w:r w:rsidRPr="000737C3">
        <w:rPr>
          <w:rFonts w:eastAsia="Calibri" w:cs="Calibri"/>
          <w:b/>
          <w:bCs/>
          <w:lang w:eastAsia="it-IT"/>
        </w:rPr>
        <w:t xml:space="preserve">4) COME È STATO STUDIATO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323123">
        <w:rPr>
          <w:b/>
          <w:snapToGrid w:val="0"/>
        </w:rPr>
        <w:t>Ipso Pharma</w:t>
      </w:r>
      <w:r w:rsidRPr="000737C3">
        <w:rPr>
          <w:rFonts w:eastAsia="Calibri" w:cs="Calibri"/>
          <w:b/>
          <w:bCs/>
          <w:lang w:eastAsia="it-IT"/>
        </w:rPr>
        <w:t xml:space="preserve">? </w:t>
      </w:r>
    </w:p>
    <w:p w:rsidR="002F7C1A" w:rsidRPr="00894064" w:rsidRDefault="004241AC" w:rsidP="0059098E">
      <w:pPr>
        <w:spacing w:after="0" w:line="240" w:lineRule="auto"/>
        <w:jc w:val="both"/>
        <w:rPr>
          <w:rFonts w:cs="Arial"/>
        </w:rPr>
      </w:pPr>
      <w:r w:rsidRPr="000737C3">
        <w:rPr>
          <w:rFonts w:cs="Arial"/>
        </w:rPr>
        <w:t xml:space="preserve">Poiché </w:t>
      </w:r>
      <w:proofErr w:type="spellStart"/>
      <w:r w:rsidR="00516411">
        <w:rPr>
          <w:rFonts w:cs="Arial"/>
        </w:rPr>
        <w:t>Levosulpiride</w:t>
      </w:r>
      <w:proofErr w:type="spellEnd"/>
      <w:r w:rsidR="00516411">
        <w:rPr>
          <w:rFonts w:cs="Arial"/>
        </w:rPr>
        <w:t xml:space="preserve"> </w:t>
      </w:r>
      <w:r w:rsidR="00323123">
        <w:rPr>
          <w:rFonts w:cs="Arial"/>
        </w:rPr>
        <w:t>Ipso Pharma</w:t>
      </w:r>
      <w:r w:rsidR="00B9671B" w:rsidRPr="000737C3">
        <w:rPr>
          <w:rFonts w:cs="Arial"/>
        </w:rPr>
        <w:t xml:space="preserve"> </w:t>
      </w:r>
      <w:r w:rsidR="00013020" w:rsidRPr="000737C3">
        <w:rPr>
          <w:rFonts w:cs="Arial"/>
        </w:rPr>
        <w:t>è un medicinale generico</w:t>
      </w:r>
      <w:r w:rsidR="00787D23">
        <w:rPr>
          <w:rFonts w:cs="Arial"/>
        </w:rPr>
        <w:t xml:space="preserve">, per le gocce orali, </w:t>
      </w:r>
      <w:r w:rsidR="00787D23" w:rsidRPr="000737C3">
        <w:rPr>
          <w:rFonts w:cs="Arial"/>
        </w:rPr>
        <w:t>somministrat</w:t>
      </w:r>
      <w:r w:rsidR="00787D23">
        <w:rPr>
          <w:rFonts w:cs="Arial"/>
        </w:rPr>
        <w:t>e</w:t>
      </w:r>
      <w:r w:rsidR="00787D23" w:rsidRPr="000737C3">
        <w:rPr>
          <w:rFonts w:cs="Arial"/>
        </w:rPr>
        <w:t xml:space="preserve"> come soluzione orale</w:t>
      </w:r>
      <w:r w:rsidR="00787D23">
        <w:rPr>
          <w:rFonts w:cs="Arial"/>
        </w:rPr>
        <w:t xml:space="preserve">, </w:t>
      </w:r>
      <w:r w:rsidR="00787D23" w:rsidRPr="000737C3">
        <w:rPr>
          <w:rFonts w:cs="Arial"/>
        </w:rPr>
        <w:t>non è stato necessario effettuare ulteriori studi clinici di confronto con il medicinale di riferimento</w:t>
      </w:r>
      <w:r w:rsidR="00787D23">
        <w:rPr>
          <w:rFonts w:cs="Arial"/>
        </w:rPr>
        <w:t xml:space="preserve">; per le compresse </w:t>
      </w:r>
      <w:r w:rsidR="002F7C1A">
        <w:rPr>
          <w:rFonts w:cs="Arial"/>
        </w:rPr>
        <w:t xml:space="preserve"> </w:t>
      </w:r>
      <w:r w:rsidR="002F7C1A" w:rsidRPr="00894064">
        <w:rPr>
          <w:rFonts w:cs="Arial"/>
        </w:rPr>
        <w:t>è stato sufficiente effettuare prove cliniche per determinare</w:t>
      </w:r>
      <w:r w:rsidR="002F7C1A" w:rsidRPr="00894064">
        <w:rPr>
          <w:rFonts w:cs="Arial"/>
          <w:b/>
        </w:rPr>
        <w:t xml:space="preserve"> </w:t>
      </w:r>
      <w:r w:rsidR="002F7C1A" w:rsidRPr="00894064">
        <w:rPr>
          <w:rFonts w:cs="Arial"/>
        </w:rPr>
        <w:t xml:space="preserve">la bioequivalenza rispetto al medicinale di riferimento </w:t>
      </w:r>
      <w:proofErr w:type="spellStart"/>
      <w:r w:rsidR="002F7C1A">
        <w:rPr>
          <w:rFonts w:cs="Arial"/>
        </w:rPr>
        <w:t>Levopraid</w:t>
      </w:r>
      <w:proofErr w:type="spellEnd"/>
      <w:r w:rsidR="002F7C1A" w:rsidRPr="00894064">
        <w:rPr>
          <w:rFonts w:cs="Arial"/>
        </w:rPr>
        <w:t xml:space="preserve">. Due medicinali sono </w:t>
      </w:r>
      <w:proofErr w:type="spellStart"/>
      <w:r w:rsidR="002F7C1A" w:rsidRPr="00894064">
        <w:rPr>
          <w:rFonts w:cs="Arial"/>
        </w:rPr>
        <w:t>bioequivalenti</w:t>
      </w:r>
      <w:proofErr w:type="spellEnd"/>
      <w:r w:rsidR="002F7C1A" w:rsidRPr="00894064">
        <w:rPr>
          <w:rFonts w:cs="Arial"/>
        </w:rPr>
        <w:t xml:space="preserve"> quando producono gli stessi livelli di principio attivo nell’organismo. </w:t>
      </w: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r w:rsidRPr="00A21FA4">
        <w:rPr>
          <w:rFonts w:eastAsia="Calibri" w:cs="Calibri"/>
          <w:b/>
          <w:bCs/>
          <w:lang w:eastAsia="it-IT"/>
        </w:rPr>
        <w:t xml:space="preserve">5) QUAL È IL RAPPORTO BENEFICIO/RISCHIO di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323123">
        <w:rPr>
          <w:b/>
          <w:snapToGrid w:val="0"/>
        </w:rPr>
        <w:t>Ipso Pharma</w:t>
      </w:r>
      <w:r w:rsidRPr="00A21FA4">
        <w:rPr>
          <w:rFonts w:eastAsia="Calibri" w:cs="Calibri"/>
          <w:b/>
          <w:lang w:eastAsia="it-IT"/>
        </w:rPr>
        <w:t>?</w:t>
      </w:r>
      <w:r w:rsidRPr="00A21FA4">
        <w:rPr>
          <w:rFonts w:eastAsia="Calibri" w:cs="Calibri"/>
          <w:lang w:eastAsia="it-IT"/>
        </w:rPr>
        <w:t xml:space="preserve"> </w:t>
      </w:r>
    </w:p>
    <w:p w:rsidR="004241AC" w:rsidRPr="00A21FA4" w:rsidRDefault="00516411" w:rsidP="0059098E">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Levosulpiride</w:t>
      </w:r>
      <w:proofErr w:type="spellEnd"/>
      <w:r>
        <w:rPr>
          <w:rFonts w:eastAsia="Calibri" w:cs="Calibri"/>
          <w:bCs/>
          <w:color w:val="000000"/>
          <w:lang w:eastAsia="it-IT"/>
        </w:rPr>
        <w:t xml:space="preserve"> </w:t>
      </w:r>
      <w:r w:rsidR="00323123">
        <w:rPr>
          <w:rFonts w:eastAsia="Calibri" w:cs="Calibri"/>
          <w:bCs/>
          <w:color w:val="000000"/>
          <w:lang w:eastAsia="it-IT"/>
        </w:rPr>
        <w:t>Ipso Pharma</w:t>
      </w:r>
      <w:r w:rsidR="00B9671B" w:rsidRPr="00A21FA4">
        <w:rPr>
          <w:rFonts w:eastAsia="Calibri" w:cs="Calibri"/>
          <w:bCs/>
          <w:color w:val="000000"/>
          <w:lang w:eastAsia="it-IT"/>
        </w:rPr>
        <w:t xml:space="preserve"> </w:t>
      </w:r>
      <w:r w:rsidR="004241AC" w:rsidRPr="00A21FA4">
        <w:rPr>
          <w:rFonts w:eastAsia="Calibri" w:cs="Calibri"/>
          <w:lang w:eastAsia="it-IT"/>
        </w:rPr>
        <w:t xml:space="preserve">è un medicinale </w:t>
      </w:r>
      <w:r w:rsidR="00013020" w:rsidRPr="00A21FA4">
        <w:rPr>
          <w:rFonts w:eastAsia="Calibri" w:cs="Calibri"/>
          <w:lang w:eastAsia="it-IT"/>
        </w:rPr>
        <w:t xml:space="preserve">generico ed è </w:t>
      </w:r>
      <w:proofErr w:type="spellStart"/>
      <w:r w:rsidR="00013020" w:rsidRPr="00A21FA4">
        <w:rPr>
          <w:rFonts w:eastAsia="Calibri" w:cs="Calibri"/>
          <w:lang w:eastAsia="it-IT"/>
        </w:rPr>
        <w:t>bioequivale</w:t>
      </w:r>
      <w:r w:rsidR="009B03DB" w:rsidRPr="00A21FA4">
        <w:rPr>
          <w:rFonts w:eastAsia="Calibri" w:cs="Calibri"/>
          <w:lang w:eastAsia="it-IT"/>
        </w:rPr>
        <w:t>n</w:t>
      </w:r>
      <w:r w:rsidR="00013020" w:rsidRPr="00A21FA4">
        <w:rPr>
          <w:rFonts w:eastAsia="Calibri" w:cs="Calibri"/>
          <w:lang w:eastAsia="it-IT"/>
        </w:rPr>
        <w:t>te</w:t>
      </w:r>
      <w:proofErr w:type="spellEnd"/>
      <w:r w:rsidR="00013020" w:rsidRPr="00A21FA4">
        <w:rPr>
          <w:rFonts w:eastAsia="Calibri" w:cs="Calibri"/>
          <w:lang w:eastAsia="it-IT"/>
        </w:rPr>
        <w:t xml:space="preserve"> al medicinale di riferimento</w:t>
      </w:r>
      <w:r w:rsidR="00BA7D67" w:rsidRPr="00A21FA4">
        <w:rPr>
          <w:rFonts w:eastAsia="Calibri" w:cs="Calibri"/>
          <w:lang w:eastAsia="it-IT"/>
        </w:rPr>
        <w:t xml:space="preserve">; pertanto, </w:t>
      </w:r>
      <w:r w:rsidR="00013020" w:rsidRPr="00A21FA4">
        <w:rPr>
          <w:rFonts w:eastAsia="Calibri" w:cs="Calibri"/>
          <w:lang w:eastAsia="it-IT"/>
        </w:rPr>
        <w:t>i suoi</w:t>
      </w:r>
      <w:r w:rsidR="004241AC" w:rsidRPr="00A21FA4">
        <w:rPr>
          <w:rFonts w:eastAsia="Calibri" w:cs="Calibri"/>
          <w:lang w:eastAsia="it-IT"/>
        </w:rPr>
        <w:t xml:space="preserve"> benefici e rischi sono sovrapponibili a quelli de</w:t>
      </w:r>
      <w:r w:rsidR="00013020" w:rsidRPr="00A21FA4">
        <w:rPr>
          <w:rFonts w:eastAsia="Calibri" w:cs="Calibri"/>
          <w:lang w:eastAsia="it-IT"/>
        </w:rPr>
        <w:t>l</w:t>
      </w:r>
      <w:r w:rsidR="004241AC" w:rsidRPr="00A21FA4">
        <w:rPr>
          <w:rFonts w:eastAsia="Calibri" w:cs="Calibri"/>
          <w:lang w:eastAsia="it-IT"/>
        </w:rPr>
        <w:t xml:space="preserve"> medicinal</w:t>
      </w:r>
      <w:r w:rsidR="00013020" w:rsidRPr="00A21FA4">
        <w:rPr>
          <w:rFonts w:eastAsia="Calibri" w:cs="Calibri"/>
          <w:lang w:eastAsia="it-IT"/>
        </w:rPr>
        <w:t>e</w:t>
      </w:r>
      <w:r w:rsidR="004241AC" w:rsidRPr="00A21FA4">
        <w:rPr>
          <w:rFonts w:eastAsia="Calibri" w:cs="Calibri"/>
          <w:lang w:eastAsia="it-IT"/>
        </w:rPr>
        <w:t xml:space="preserve"> di riferimento. </w:t>
      </w: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r w:rsidRPr="00A21FA4">
        <w:rPr>
          <w:rFonts w:eastAsia="Calibri" w:cs="Calibri"/>
          <w:b/>
          <w:bCs/>
          <w:lang w:eastAsia="it-IT"/>
        </w:rPr>
        <w:t xml:space="preserve">6) PERCHE’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323123">
        <w:rPr>
          <w:b/>
          <w:snapToGrid w:val="0"/>
        </w:rPr>
        <w:t>Ipso Pharma</w:t>
      </w:r>
      <w:r w:rsidR="00E307AA" w:rsidRPr="000425E0">
        <w:rPr>
          <w:rFonts w:eastAsia="Calibri" w:cs="Calibri"/>
          <w:b/>
          <w:bCs/>
          <w:color w:val="000000"/>
          <w:lang w:eastAsia="it-IT"/>
        </w:rPr>
        <w:t xml:space="preserve"> </w:t>
      </w:r>
      <w:r w:rsidRPr="00A21FA4">
        <w:rPr>
          <w:rFonts w:eastAsia="Calibri" w:cs="Calibri"/>
          <w:b/>
          <w:bCs/>
          <w:lang w:eastAsia="it-IT"/>
        </w:rPr>
        <w:t xml:space="preserve">E’ STATO APPROVATO? </w:t>
      </w:r>
    </w:p>
    <w:p w:rsidR="004241AC" w:rsidRDefault="004241AC" w:rsidP="0059098E">
      <w:pPr>
        <w:autoSpaceDE w:val="0"/>
        <w:autoSpaceDN w:val="0"/>
        <w:adjustRightInd w:val="0"/>
        <w:spacing w:after="0" w:line="240" w:lineRule="auto"/>
        <w:jc w:val="both"/>
        <w:rPr>
          <w:rFonts w:eastAsia="Calibri" w:cs="Calibri"/>
          <w:lang w:eastAsia="it-IT"/>
        </w:rPr>
      </w:pPr>
      <w:r w:rsidRPr="00A21FA4">
        <w:rPr>
          <w:rFonts w:eastAsia="Calibri" w:cs="Calibri"/>
          <w:lang w:eastAsia="it-IT"/>
        </w:rPr>
        <w:t xml:space="preserve">La Commissione Tecnico Scientifica (CTS), nella seduta del </w:t>
      </w:r>
      <w:r w:rsidR="00DF4CE3" w:rsidRPr="00A21FA4">
        <w:rPr>
          <w:rFonts w:eastAsia="Calibri" w:cs="Calibri"/>
          <w:lang w:eastAsia="it-IT"/>
        </w:rPr>
        <w:t>7-9 aprile</w:t>
      </w:r>
      <w:r w:rsidR="00491C6F" w:rsidRPr="00A21FA4">
        <w:rPr>
          <w:rFonts w:eastAsia="Calibri" w:cs="Calibri"/>
          <w:lang w:eastAsia="it-IT"/>
        </w:rPr>
        <w:t xml:space="preserve"> 2014</w:t>
      </w:r>
      <w:r w:rsidR="002F7C1A">
        <w:rPr>
          <w:rFonts w:eastAsia="Calibri" w:cs="Calibri"/>
          <w:lang w:eastAsia="it-IT"/>
        </w:rPr>
        <w:t xml:space="preserve"> e </w:t>
      </w:r>
      <w:r w:rsidR="00AB1A27">
        <w:rPr>
          <w:rFonts w:eastAsia="Calibri" w:cs="Calibri"/>
          <w:lang w:eastAsia="it-IT"/>
        </w:rPr>
        <w:t>12-14 Settembre 201</w:t>
      </w:r>
      <w:r w:rsidR="00AB1A27" w:rsidRPr="00AB1A27">
        <w:rPr>
          <w:rFonts w:eastAsia="Calibri" w:cs="Calibri"/>
          <w:lang w:eastAsia="it-IT"/>
        </w:rPr>
        <w:t>6</w:t>
      </w:r>
      <w:r w:rsidRPr="00AB1A27">
        <w:rPr>
          <w:rFonts w:eastAsia="Calibri" w:cs="Calibri"/>
          <w:lang w:eastAsia="it-IT"/>
        </w:rPr>
        <w:t>,</w:t>
      </w:r>
      <w:r w:rsidRPr="00A21FA4">
        <w:rPr>
          <w:rFonts w:eastAsia="Calibri" w:cs="Calibri"/>
          <w:lang w:eastAsia="it-IT"/>
        </w:rPr>
        <w:t xml:space="preserve"> ha concluso che, conformemente ai requisiti della normativa vigente, come nel caso </w:t>
      </w:r>
      <w:r w:rsidR="00D20170" w:rsidRPr="00A21FA4">
        <w:rPr>
          <w:rFonts w:eastAsia="Calibri" w:cs="Calibri"/>
          <w:lang w:eastAsia="it-IT"/>
        </w:rPr>
        <w:t>del</w:t>
      </w:r>
      <w:r w:rsidRPr="00A21FA4">
        <w:rPr>
          <w:rFonts w:eastAsia="Calibri" w:cs="Calibri"/>
          <w:lang w:eastAsia="it-IT"/>
        </w:rPr>
        <w:t xml:space="preserve"> medicinal</w:t>
      </w:r>
      <w:r w:rsidR="00D20170" w:rsidRPr="00A21FA4">
        <w:rPr>
          <w:rFonts w:eastAsia="Calibri" w:cs="Calibri"/>
          <w:lang w:eastAsia="it-IT"/>
        </w:rPr>
        <w:t>e</w:t>
      </w:r>
      <w:r w:rsidRPr="00A21FA4">
        <w:rPr>
          <w:rFonts w:eastAsia="Calibri" w:cs="Calibri"/>
          <w:lang w:eastAsia="it-IT"/>
        </w:rPr>
        <w:t xml:space="preserve"> di riferimento </w:t>
      </w:r>
      <w:proofErr w:type="spellStart"/>
      <w:r w:rsidR="00DF4CE3" w:rsidRPr="00A21FA4">
        <w:rPr>
          <w:rFonts w:eastAsia="Calibri" w:cs="Calibri"/>
          <w:lang w:eastAsia="it-IT"/>
        </w:rPr>
        <w:t>Levopraid</w:t>
      </w:r>
      <w:proofErr w:type="spellEnd"/>
      <w:r w:rsidRPr="00A21FA4">
        <w:rPr>
          <w:rFonts w:eastAsia="Calibri" w:cs="Calibri"/>
          <w:lang w:eastAsia="it-IT"/>
        </w:rPr>
        <w:t xml:space="preserve">, i benefici di </w:t>
      </w:r>
      <w:proofErr w:type="spellStart"/>
      <w:r w:rsidR="00516411">
        <w:rPr>
          <w:rFonts w:eastAsia="Calibri" w:cs="Calibri"/>
          <w:lang w:eastAsia="it-IT"/>
        </w:rPr>
        <w:t>Levosulpiride</w:t>
      </w:r>
      <w:proofErr w:type="spellEnd"/>
      <w:r w:rsidR="00516411">
        <w:rPr>
          <w:rFonts w:eastAsia="Calibri" w:cs="Calibri"/>
          <w:lang w:eastAsia="it-IT"/>
        </w:rPr>
        <w:t xml:space="preserve"> </w:t>
      </w:r>
      <w:r w:rsidR="00323123">
        <w:rPr>
          <w:rFonts w:eastAsia="Calibri" w:cs="Calibri"/>
          <w:lang w:eastAsia="it-IT"/>
        </w:rPr>
        <w:t>Ipso Pharma</w:t>
      </w:r>
      <w:r w:rsidR="00B9671B" w:rsidRPr="00A21FA4">
        <w:rPr>
          <w:rFonts w:eastAsia="Calibri" w:cs="Calibri"/>
          <w:lang w:eastAsia="it-IT"/>
        </w:rPr>
        <w:t xml:space="preserve"> </w:t>
      </w:r>
      <w:r w:rsidR="001C1A8E" w:rsidRPr="00A21FA4">
        <w:rPr>
          <w:rFonts w:eastAsia="Calibri" w:cs="Calibri"/>
          <w:lang w:eastAsia="it-IT"/>
        </w:rPr>
        <w:t>sono</w:t>
      </w:r>
      <w:r w:rsidRPr="00A21FA4">
        <w:rPr>
          <w:rFonts w:eastAsia="Calibri" w:cs="Calibri"/>
          <w:lang w:eastAsia="it-IT"/>
        </w:rPr>
        <w:t xml:space="preserve"> superiori ai rischi individuati. La CTS ha, inoltre, definito le modalità d</w:t>
      </w:r>
      <w:r w:rsidR="00BB4CC4" w:rsidRPr="00A21FA4">
        <w:rPr>
          <w:rFonts w:eastAsia="Calibri" w:cs="Calibri"/>
          <w:lang w:eastAsia="it-IT"/>
        </w:rPr>
        <w:t xml:space="preserve">i prescrizione di cui al punto </w:t>
      </w:r>
      <w:r w:rsidRPr="00A21FA4">
        <w:rPr>
          <w:rFonts w:eastAsia="Calibri" w:cs="Calibri"/>
          <w:lang w:eastAsia="it-IT"/>
        </w:rPr>
        <w:t>2) di questo</w:t>
      </w:r>
      <w:r w:rsidRPr="00E65C8A">
        <w:rPr>
          <w:rFonts w:eastAsia="Calibri" w:cs="Calibri"/>
          <w:lang w:eastAsia="it-IT"/>
        </w:rPr>
        <w:t xml:space="preserve"> Riassunto e la classe di rimborsabilità del medicinale</w:t>
      </w:r>
      <w:r w:rsidR="00D20170" w:rsidRPr="00E65C8A">
        <w:rPr>
          <w:rFonts w:eastAsia="Calibri" w:cs="Calibri"/>
          <w:lang w:eastAsia="it-IT"/>
        </w:rPr>
        <w:t xml:space="preserve"> </w:t>
      </w:r>
      <w:r w:rsidRPr="00E65C8A">
        <w:rPr>
          <w:rFonts w:eastAsia="Calibri" w:cs="Calibri"/>
          <w:lang w:eastAsia="it-IT"/>
        </w:rPr>
        <w:t>(</w:t>
      </w:r>
      <w:r w:rsidR="00787D23">
        <w:rPr>
          <w:rFonts w:eastAsia="Calibri" w:cs="Calibri"/>
          <w:lang w:eastAsia="it-IT"/>
        </w:rPr>
        <w:t xml:space="preserve">gocce orali: </w:t>
      </w:r>
      <w:r w:rsidR="00E65C8A" w:rsidRPr="00E65C8A">
        <w:rPr>
          <w:rFonts w:eastAsia="Calibri" w:cs="Calibri"/>
          <w:lang w:eastAsia="it-IT"/>
        </w:rPr>
        <w:t>C</w:t>
      </w:r>
      <w:r w:rsidR="00787D23">
        <w:rPr>
          <w:rFonts w:eastAsia="Calibri" w:cs="Calibri"/>
          <w:lang w:eastAsia="it-IT"/>
        </w:rPr>
        <w:t>; compresse: classificazione provvisoria Cnn</w:t>
      </w:r>
      <w:r w:rsidRPr="00E65C8A">
        <w:rPr>
          <w:rFonts w:eastAsia="Calibri" w:cs="Calibri"/>
          <w:lang w:eastAsia="it-IT"/>
        </w:rPr>
        <w:t>).</w:t>
      </w:r>
      <w:r w:rsidRPr="002A3F14">
        <w:rPr>
          <w:rFonts w:eastAsia="Calibri" w:cs="Calibri"/>
          <w:lang w:eastAsia="it-IT"/>
        </w:rPr>
        <w:t xml:space="preserve"> </w:t>
      </w:r>
    </w:p>
    <w:p w:rsidR="004241AC" w:rsidRDefault="004241AC" w:rsidP="0059098E">
      <w:pPr>
        <w:autoSpaceDE w:val="0"/>
        <w:autoSpaceDN w:val="0"/>
        <w:adjustRightInd w:val="0"/>
        <w:spacing w:after="0" w:line="240" w:lineRule="auto"/>
        <w:jc w:val="both"/>
        <w:rPr>
          <w:rFonts w:eastAsia="Calibri" w:cs="Calibri"/>
          <w:b/>
          <w:bCs/>
          <w:lang w:eastAsia="it-IT"/>
        </w:rPr>
      </w:pPr>
    </w:p>
    <w:p w:rsidR="004241AC" w:rsidRPr="002A3F14" w:rsidRDefault="004241AC" w:rsidP="0059098E">
      <w:pPr>
        <w:autoSpaceDE w:val="0"/>
        <w:autoSpaceDN w:val="0"/>
        <w:adjustRightInd w:val="0"/>
        <w:spacing w:after="0" w:line="240" w:lineRule="auto"/>
        <w:jc w:val="both"/>
        <w:rPr>
          <w:rFonts w:eastAsia="Calibri" w:cs="Calibri"/>
          <w:b/>
          <w:bCs/>
          <w:lang w:eastAsia="it-IT"/>
        </w:rPr>
      </w:pPr>
    </w:p>
    <w:p w:rsidR="004241AC" w:rsidRPr="002A3F14" w:rsidRDefault="004241AC" w:rsidP="0059098E">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323123">
        <w:rPr>
          <w:b/>
          <w:snapToGrid w:val="0"/>
        </w:rPr>
        <w:t>Ipso Pharma</w:t>
      </w:r>
      <w:r w:rsidRPr="002A3F14">
        <w:rPr>
          <w:rFonts w:eastAsia="Calibri" w:cs="Calibri"/>
          <w:b/>
          <w:bCs/>
          <w:color w:val="000000"/>
          <w:lang w:eastAsia="it-IT"/>
        </w:rPr>
        <w:t>?</w:t>
      </w:r>
    </w:p>
    <w:p w:rsidR="004241AC" w:rsidRPr="002A3F14" w:rsidRDefault="00B90347" w:rsidP="0059098E">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516411">
        <w:rPr>
          <w:rFonts w:eastAsia="Calibri" w:cs="Calibri"/>
          <w:lang w:eastAsia="it-IT"/>
        </w:rPr>
        <w:t>Levosulpiride</w:t>
      </w:r>
      <w:proofErr w:type="spellEnd"/>
      <w:r w:rsidR="00516411">
        <w:rPr>
          <w:rFonts w:eastAsia="Calibri" w:cs="Calibri"/>
          <w:lang w:eastAsia="it-IT"/>
        </w:rPr>
        <w:t xml:space="preserve"> </w:t>
      </w:r>
      <w:r w:rsidR="00323123">
        <w:rPr>
          <w:rFonts w:eastAsia="Calibri" w:cs="Calibri"/>
          <w:lang w:eastAsia="it-IT"/>
        </w:rPr>
        <w:t>Ipso Pharma</w:t>
      </w:r>
      <w:r w:rsidR="004241AC" w:rsidRPr="002A3F14">
        <w:rPr>
          <w:rFonts w:eastAsia="Calibri" w:cs="Calibri"/>
          <w:lang w:eastAsia="it-IT"/>
        </w:rPr>
        <w:t>.</w:t>
      </w:r>
    </w:p>
    <w:p w:rsidR="004241AC" w:rsidRDefault="004241AC" w:rsidP="0059098E">
      <w:pPr>
        <w:autoSpaceDE w:val="0"/>
        <w:autoSpaceDN w:val="0"/>
        <w:adjustRightInd w:val="0"/>
        <w:spacing w:after="0" w:line="240" w:lineRule="auto"/>
        <w:jc w:val="both"/>
        <w:rPr>
          <w:rFonts w:eastAsia="Calibri" w:cs="Calibri"/>
          <w:lang w:eastAsia="it-IT"/>
        </w:rPr>
      </w:pPr>
    </w:p>
    <w:p w:rsidR="004241AC" w:rsidRPr="002A3F14" w:rsidRDefault="004241AC" w:rsidP="0059098E">
      <w:pPr>
        <w:autoSpaceDE w:val="0"/>
        <w:autoSpaceDN w:val="0"/>
        <w:adjustRightInd w:val="0"/>
        <w:spacing w:after="0" w:line="240" w:lineRule="auto"/>
        <w:jc w:val="both"/>
        <w:rPr>
          <w:rFonts w:eastAsia="Calibri" w:cs="Calibri"/>
          <w:lang w:eastAsia="it-IT"/>
        </w:rPr>
      </w:pPr>
    </w:p>
    <w:p w:rsidR="004241AC" w:rsidRPr="002A3F14" w:rsidRDefault="004241AC" w:rsidP="0059098E">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E307AA" w:rsidRPr="00E307AA">
        <w:rPr>
          <w:rFonts w:eastAsia="Calibri" w:cs="Calibri"/>
          <w:b/>
          <w:lang w:eastAsia="it-IT"/>
        </w:rPr>
        <w:t>Levosulpiride</w:t>
      </w:r>
      <w:proofErr w:type="spellEnd"/>
      <w:r w:rsidR="00E307AA" w:rsidRPr="00E307AA">
        <w:rPr>
          <w:b/>
          <w:snapToGrid w:val="0"/>
        </w:rPr>
        <w:t xml:space="preserve"> </w:t>
      </w:r>
      <w:r w:rsidR="00323123">
        <w:rPr>
          <w:b/>
          <w:snapToGrid w:val="0"/>
        </w:rPr>
        <w:t>Ipso Pharma</w:t>
      </w:r>
    </w:p>
    <w:p w:rsidR="004241AC" w:rsidRPr="00CA3A1E" w:rsidRDefault="00DF4CE3" w:rsidP="0059098E">
      <w:pPr>
        <w:autoSpaceDE w:val="0"/>
        <w:autoSpaceDN w:val="0"/>
        <w:adjustRightInd w:val="0"/>
        <w:spacing w:after="0" w:line="240" w:lineRule="auto"/>
        <w:jc w:val="both"/>
        <w:rPr>
          <w:rFonts w:eastAsia="Calibri" w:cs="Calibri"/>
          <w:bCs/>
          <w:lang w:eastAsia="it-IT"/>
        </w:rPr>
      </w:pPr>
      <w:r w:rsidRPr="000A2A03">
        <w:rPr>
          <w:rFonts w:eastAsia="Calibri" w:cs="Calibri"/>
          <w:bCs/>
          <w:iCs/>
          <w:lang w:eastAsia="it-IT"/>
        </w:rPr>
        <w:t xml:space="preserve">Il </w:t>
      </w:r>
      <w:r w:rsidR="002D4C36" w:rsidRPr="000A2A03">
        <w:rPr>
          <w:rFonts w:eastAsia="Calibri" w:cs="Calibri"/>
          <w:bCs/>
          <w:iCs/>
          <w:lang w:eastAsia="it-IT"/>
        </w:rPr>
        <w:t>9</w:t>
      </w:r>
      <w:r w:rsidR="00181F56" w:rsidRPr="000A2A03">
        <w:rPr>
          <w:rFonts w:eastAsia="Calibri" w:cs="Calibri"/>
          <w:bCs/>
          <w:iCs/>
          <w:lang w:eastAsia="it-IT"/>
        </w:rPr>
        <w:t xml:space="preserve"> giugno</w:t>
      </w:r>
      <w:r w:rsidR="00E65C8A" w:rsidRPr="000A2A03">
        <w:rPr>
          <w:rFonts w:eastAsia="Calibri" w:cs="Calibri"/>
          <w:bCs/>
          <w:iCs/>
          <w:lang w:eastAsia="it-IT"/>
        </w:rPr>
        <w:t xml:space="preserve"> 2014</w:t>
      </w:r>
      <w:r w:rsidR="00787D23" w:rsidRPr="000A2A03">
        <w:rPr>
          <w:rFonts w:eastAsia="Calibri" w:cs="Calibri"/>
          <w:bCs/>
          <w:iCs/>
          <w:lang w:eastAsia="it-IT"/>
        </w:rPr>
        <w:t xml:space="preserve"> e</w:t>
      </w:r>
      <w:r w:rsidR="002F7C1A" w:rsidRPr="000A2A03">
        <w:rPr>
          <w:rFonts w:eastAsia="Calibri" w:cs="Calibri"/>
          <w:bCs/>
          <w:iCs/>
          <w:lang w:eastAsia="it-IT"/>
        </w:rPr>
        <w:t>d il</w:t>
      </w:r>
      <w:r w:rsidR="000A2A03" w:rsidRPr="000A2A03">
        <w:rPr>
          <w:rFonts w:eastAsia="Calibri" w:cs="Calibri"/>
          <w:bCs/>
          <w:iCs/>
          <w:lang w:eastAsia="it-IT"/>
        </w:rPr>
        <w:t xml:space="preserve"> 30 settembre 2016</w:t>
      </w:r>
      <w:r w:rsidR="00787D23" w:rsidRPr="000A2A03">
        <w:rPr>
          <w:rFonts w:eastAsia="Calibri" w:cs="Calibri"/>
          <w:bCs/>
          <w:iCs/>
          <w:lang w:eastAsia="it-IT"/>
        </w:rPr>
        <w:t xml:space="preserve"> </w:t>
      </w:r>
      <w:r w:rsidR="004241AC" w:rsidRPr="000A2A03">
        <w:rPr>
          <w:rFonts w:eastAsia="Calibri" w:cs="Calibri"/>
          <w:bCs/>
          <w:iCs/>
          <w:lang w:eastAsia="it-IT"/>
        </w:rPr>
        <w:t xml:space="preserve">l’AIFA ha rilasciato l’autorizzazione all’immissione in commercio </w:t>
      </w:r>
      <w:r w:rsidR="00787D23" w:rsidRPr="000A2A03">
        <w:rPr>
          <w:rFonts w:eastAsia="Calibri" w:cs="Calibri"/>
          <w:bCs/>
          <w:iCs/>
          <w:lang w:eastAsia="it-IT"/>
        </w:rPr>
        <w:t>delle</w:t>
      </w:r>
      <w:r w:rsidR="00787D23">
        <w:rPr>
          <w:rFonts w:eastAsia="Calibri" w:cs="Calibri"/>
          <w:bCs/>
          <w:iCs/>
          <w:lang w:eastAsia="it-IT"/>
        </w:rPr>
        <w:t xml:space="preserve"> diverse confezioni </w:t>
      </w:r>
      <w:r w:rsidR="004241AC" w:rsidRPr="00CA3A1E">
        <w:rPr>
          <w:rFonts w:eastAsia="Calibri" w:cs="Calibri"/>
          <w:bCs/>
          <w:iCs/>
          <w:lang w:eastAsia="it-IT"/>
        </w:rPr>
        <w:t xml:space="preserve">di </w:t>
      </w:r>
      <w:proofErr w:type="spellStart"/>
      <w:r w:rsidR="00516411">
        <w:rPr>
          <w:rFonts w:eastAsia="Calibri" w:cs="Calibri"/>
          <w:bCs/>
          <w:color w:val="000000"/>
          <w:lang w:eastAsia="it-IT"/>
        </w:rPr>
        <w:t>Levosulpiride</w:t>
      </w:r>
      <w:proofErr w:type="spellEnd"/>
      <w:r w:rsidR="00516411">
        <w:rPr>
          <w:rFonts w:eastAsia="Calibri" w:cs="Calibri"/>
          <w:bCs/>
          <w:color w:val="000000"/>
          <w:lang w:eastAsia="it-IT"/>
        </w:rPr>
        <w:t xml:space="preserve"> </w:t>
      </w:r>
      <w:r w:rsidR="00323123">
        <w:rPr>
          <w:rFonts w:eastAsia="Calibri" w:cs="Calibri"/>
          <w:bCs/>
          <w:color w:val="000000"/>
          <w:lang w:eastAsia="it-IT"/>
        </w:rPr>
        <w:t>Ipso Pharma</w:t>
      </w:r>
      <w:r w:rsidR="004241AC" w:rsidRPr="00CA3A1E">
        <w:rPr>
          <w:rFonts w:eastAsia="Calibri" w:cs="Calibri"/>
          <w:bCs/>
          <w:lang w:eastAsia="it-IT"/>
        </w:rPr>
        <w:t xml:space="preserve">. </w:t>
      </w:r>
    </w:p>
    <w:p w:rsidR="00787D23" w:rsidRDefault="00787D23" w:rsidP="0059098E">
      <w:pPr>
        <w:autoSpaceDE w:val="0"/>
        <w:autoSpaceDN w:val="0"/>
        <w:adjustRightInd w:val="0"/>
        <w:spacing w:after="0" w:line="240" w:lineRule="auto"/>
        <w:jc w:val="both"/>
        <w:rPr>
          <w:rFonts w:eastAsia="Calibri" w:cs="Calibri"/>
          <w:lang w:eastAsia="it-IT"/>
        </w:rPr>
      </w:pPr>
    </w:p>
    <w:p w:rsidR="00AB54C2" w:rsidRDefault="00787D23" w:rsidP="0059098E">
      <w:pPr>
        <w:autoSpaceDE w:val="0"/>
        <w:autoSpaceDN w:val="0"/>
        <w:adjustRightInd w:val="0"/>
        <w:spacing w:after="0" w:line="240" w:lineRule="auto"/>
        <w:jc w:val="both"/>
        <w:rPr>
          <w:rFonts w:eastAsia="Calibri" w:cs="Calibri"/>
          <w:lang w:eastAsia="it-IT"/>
        </w:rPr>
      </w:pPr>
      <w:r>
        <w:rPr>
          <w:rFonts w:eastAsia="Calibri" w:cs="Calibri"/>
          <w:lang w:eastAsia="it-IT"/>
        </w:rPr>
        <w:t>La Relazione Pubblica di Valutazione completa segue questo Riassunto.</w:t>
      </w:r>
    </w:p>
    <w:p w:rsidR="004241AC" w:rsidRPr="002A3F14" w:rsidRDefault="004241AC" w:rsidP="0059098E">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516411">
        <w:rPr>
          <w:rFonts w:eastAsia="Calibri" w:cs="Calibri"/>
          <w:bCs/>
          <w:color w:val="000000"/>
          <w:lang w:eastAsia="it-IT"/>
        </w:rPr>
        <w:t>Levosulpiride</w:t>
      </w:r>
      <w:proofErr w:type="spellEnd"/>
      <w:r w:rsidR="00516411">
        <w:rPr>
          <w:rFonts w:eastAsia="Calibri" w:cs="Calibri"/>
          <w:bCs/>
          <w:color w:val="000000"/>
          <w:lang w:eastAsia="it-IT"/>
        </w:rPr>
        <w:t xml:space="preserve"> </w:t>
      </w:r>
      <w:r w:rsidR="00323123">
        <w:rPr>
          <w:rFonts w:eastAsia="Calibri" w:cs="Calibri"/>
          <w:bCs/>
          <w:color w:val="000000"/>
          <w:lang w:eastAsia="it-IT"/>
        </w:rPr>
        <w:t>Ipso Pharma</w:t>
      </w:r>
      <w:r w:rsidR="00B9671B">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2748E4">
        <w:rPr>
          <w:rFonts w:eastAsia="Calibri" w:cs="Calibri"/>
          <w:lang w:eastAsia="it-IT"/>
        </w:rPr>
        <w:t>(</w:t>
      </w:r>
      <w:hyperlink r:id="rId8" w:history="1">
        <w:r w:rsidR="002748E4">
          <w:rPr>
            <w:rStyle w:val="Collegamentoipertestuale"/>
            <w:rFonts w:eastAsia="Calibri" w:cs="Calibri"/>
            <w:lang w:eastAsia="it-IT"/>
          </w:rPr>
          <w:t>https://farmaci.agenziafarmaco.gov.it/bancadatifarmaci</w:t>
        </w:r>
      </w:hyperlink>
      <w:r w:rsidR="002748E4">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59098E">
      <w:pPr>
        <w:spacing w:after="0" w:line="240" w:lineRule="auto"/>
        <w:jc w:val="both"/>
        <w:rPr>
          <w:rFonts w:eastAsia="Calibri" w:cs="Calibri"/>
          <w:lang w:eastAsia="it-IT"/>
        </w:rPr>
      </w:pPr>
    </w:p>
    <w:p w:rsidR="004241AC" w:rsidRDefault="004241AC" w:rsidP="0059098E">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4263B4" w:rsidRPr="004263B4">
        <w:rPr>
          <w:rFonts w:eastAsia="Calibri" w:cs="Calibri"/>
          <w:lang w:eastAsia="it-IT"/>
        </w:rPr>
        <w:t>05.09</w:t>
      </w:r>
      <w:r w:rsidR="004059F8" w:rsidRPr="004263B4">
        <w:rPr>
          <w:rFonts w:eastAsia="Calibri" w:cs="Calibri"/>
          <w:lang w:eastAsia="it-IT"/>
        </w:rPr>
        <w:t>.201</w:t>
      </w:r>
      <w:r w:rsidR="004263B4" w:rsidRPr="004263B4">
        <w:rPr>
          <w:rFonts w:eastAsia="Calibri" w:cs="Calibri"/>
          <w:lang w:eastAsia="it-IT"/>
        </w:rPr>
        <w:t>6</w:t>
      </w:r>
      <w:r w:rsidRPr="004263B4">
        <w:rPr>
          <w:rFonts w:eastAsia="Calibri" w:cs="Calibri"/>
          <w:lang w:eastAsia="it-IT"/>
        </w:rPr>
        <w:t>.</w:t>
      </w:r>
      <w:r w:rsidRPr="002A3F14">
        <w:rPr>
          <w:rFonts w:eastAsia="Calibri" w:cs="Calibri"/>
          <w:lang w:eastAsia="it-IT"/>
        </w:rPr>
        <w:t xml:space="preserve"> </w:t>
      </w:r>
    </w:p>
    <w:p w:rsidR="00DC49CC" w:rsidRDefault="00DC49CC" w:rsidP="0059098E">
      <w:pPr>
        <w:spacing w:after="0" w:line="240" w:lineRule="auto"/>
        <w:jc w:val="both"/>
        <w:rPr>
          <w:rFonts w:eastAsia="Calibri" w:cs="Calibri"/>
          <w:lang w:eastAsia="it-IT"/>
        </w:rPr>
      </w:pPr>
    </w:p>
    <w:p w:rsidR="00DC49CC" w:rsidRDefault="00DC49CC" w:rsidP="0059098E">
      <w:pPr>
        <w:spacing w:after="0" w:line="240" w:lineRule="auto"/>
        <w:jc w:val="both"/>
        <w:rPr>
          <w:rFonts w:eastAsia="Calibri" w:cs="Calibri"/>
          <w:lang w:eastAsia="it-IT"/>
        </w:rPr>
      </w:pPr>
    </w:p>
    <w:p w:rsidR="00DC49CC" w:rsidRPr="00894064" w:rsidRDefault="00787D23" w:rsidP="0059098E">
      <w:pPr>
        <w:spacing w:after="0" w:line="240" w:lineRule="auto"/>
        <w:jc w:val="center"/>
        <w:rPr>
          <w:b/>
          <w:sz w:val="28"/>
        </w:rPr>
      </w:pPr>
      <w:r>
        <w:rPr>
          <w:b/>
          <w:sz w:val="28"/>
        </w:rPr>
        <w:t xml:space="preserve">RELAZIONE PUBBLICA DI </w:t>
      </w:r>
      <w:r w:rsidR="00DC49CC" w:rsidRPr="00894064">
        <w:rPr>
          <w:b/>
          <w:sz w:val="28"/>
        </w:rPr>
        <w:t>VALUTAZIONE</w:t>
      </w:r>
    </w:p>
    <w:p w:rsidR="00DC49CC" w:rsidRPr="00894064" w:rsidRDefault="00DC49CC" w:rsidP="0059098E">
      <w:pPr>
        <w:spacing w:after="0" w:line="240" w:lineRule="auto"/>
        <w:jc w:val="center"/>
        <w:rPr>
          <w:b/>
          <w:sz w:val="28"/>
        </w:rPr>
      </w:pPr>
    </w:p>
    <w:p w:rsidR="00DC49CC" w:rsidRPr="00894064" w:rsidRDefault="00DC49CC" w:rsidP="0059098E">
      <w:pPr>
        <w:spacing w:after="0" w:line="240" w:lineRule="auto"/>
        <w:jc w:val="both"/>
        <w:rPr>
          <w:b/>
        </w:rPr>
      </w:pPr>
    </w:p>
    <w:p w:rsidR="00DC49CC" w:rsidRPr="00894064" w:rsidRDefault="00DC49CC" w:rsidP="0059098E">
      <w:pPr>
        <w:spacing w:after="0" w:line="240" w:lineRule="auto"/>
        <w:jc w:val="both"/>
        <w:rPr>
          <w:b/>
        </w:rPr>
      </w:pPr>
    </w:p>
    <w:p w:rsidR="00DC49CC" w:rsidRPr="00894064" w:rsidRDefault="00DC49CC" w:rsidP="0059098E">
      <w:pPr>
        <w:spacing w:after="0" w:line="240" w:lineRule="auto"/>
        <w:jc w:val="both"/>
        <w:rPr>
          <w:b/>
        </w:rPr>
      </w:pPr>
    </w:p>
    <w:p w:rsidR="00DC49CC" w:rsidRPr="00894064" w:rsidRDefault="00DC49CC" w:rsidP="0059098E">
      <w:pPr>
        <w:spacing w:after="0" w:line="240" w:lineRule="auto"/>
        <w:jc w:val="center"/>
        <w:rPr>
          <w:b/>
        </w:rPr>
      </w:pPr>
      <w:r w:rsidRPr="00894064">
        <w:rPr>
          <w:b/>
        </w:rPr>
        <w:t>INDICE</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pStyle w:val="Paragrafoelenco"/>
        <w:numPr>
          <w:ilvl w:val="0"/>
          <w:numId w:val="6"/>
        </w:numPr>
        <w:spacing w:after="0" w:line="240" w:lineRule="auto"/>
        <w:jc w:val="both"/>
        <w:rPr>
          <w:b/>
        </w:rPr>
      </w:pPr>
      <w:r w:rsidRPr="00894064">
        <w:rPr>
          <w:b/>
        </w:rPr>
        <w:t>INTRODUZIONE</w:t>
      </w:r>
    </w:p>
    <w:p w:rsidR="00DC49CC" w:rsidRPr="00894064" w:rsidRDefault="00DC49CC" w:rsidP="0059098E">
      <w:pPr>
        <w:spacing w:after="0" w:line="240" w:lineRule="auto"/>
        <w:jc w:val="both"/>
      </w:pPr>
    </w:p>
    <w:p w:rsidR="00DC49CC" w:rsidRPr="00894064" w:rsidRDefault="00DC49CC" w:rsidP="0059098E">
      <w:pPr>
        <w:pStyle w:val="Paragrafoelenco"/>
        <w:numPr>
          <w:ilvl w:val="0"/>
          <w:numId w:val="6"/>
        </w:numPr>
        <w:spacing w:after="0" w:line="240" w:lineRule="auto"/>
        <w:jc w:val="both"/>
        <w:rPr>
          <w:b/>
        </w:rPr>
      </w:pPr>
      <w:r w:rsidRPr="00894064">
        <w:rPr>
          <w:b/>
        </w:rPr>
        <w:t>ASPETTI DI QUALITA’</w:t>
      </w:r>
    </w:p>
    <w:p w:rsidR="00DC49CC" w:rsidRPr="00894064" w:rsidRDefault="00DC49CC" w:rsidP="0059098E">
      <w:pPr>
        <w:pStyle w:val="Paragrafoelenco"/>
        <w:spacing w:after="0" w:line="240" w:lineRule="auto"/>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ASPETTI NON CLINICI</w:t>
      </w:r>
    </w:p>
    <w:p w:rsidR="00DC49CC" w:rsidRPr="00894064" w:rsidRDefault="00DC49CC" w:rsidP="0059098E">
      <w:pPr>
        <w:pStyle w:val="Paragrafoelenco"/>
        <w:spacing w:after="0" w:line="240" w:lineRule="auto"/>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ASPETTI CLINICI</w:t>
      </w:r>
    </w:p>
    <w:p w:rsidR="00DC49CC" w:rsidRPr="00894064" w:rsidRDefault="00DC49CC" w:rsidP="0059098E">
      <w:pPr>
        <w:pStyle w:val="Paragrafoelenco"/>
        <w:spacing w:after="0" w:line="240" w:lineRule="auto"/>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CONSULTAZIONE SUL FOGLIO ILLUSTRATIVO</w:t>
      </w:r>
    </w:p>
    <w:p w:rsidR="00DC49CC" w:rsidRPr="00894064" w:rsidRDefault="00DC49CC" w:rsidP="0059098E">
      <w:pPr>
        <w:pStyle w:val="Paragrafoelenco"/>
        <w:spacing w:after="0" w:line="240" w:lineRule="auto"/>
        <w:ind w:left="1080"/>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CONCLUSIONI, VALUTAZIONE DEL RAPPORTO BENEFICIO/RISCHIO E RACCOMANDAZIONI</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516411" w:rsidRDefault="00516411"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Pr="00894064" w:rsidRDefault="00DC49CC" w:rsidP="0059098E">
      <w:pPr>
        <w:pStyle w:val="Paragrafoelenco"/>
        <w:numPr>
          <w:ilvl w:val="0"/>
          <w:numId w:val="7"/>
        </w:numPr>
        <w:spacing w:after="0" w:line="240" w:lineRule="auto"/>
        <w:jc w:val="both"/>
        <w:rPr>
          <w:b/>
        </w:rPr>
      </w:pPr>
      <w:r w:rsidRPr="00894064">
        <w:rPr>
          <w:b/>
        </w:rPr>
        <w:lastRenderedPageBreak/>
        <w:t>INTRODUZIONE</w:t>
      </w:r>
    </w:p>
    <w:p w:rsidR="00DC49CC" w:rsidRPr="00894064" w:rsidRDefault="00DC49CC" w:rsidP="0059098E">
      <w:pPr>
        <w:autoSpaceDE w:val="0"/>
        <w:autoSpaceDN w:val="0"/>
        <w:adjustRightInd w:val="0"/>
        <w:spacing w:after="0" w:line="240" w:lineRule="auto"/>
        <w:jc w:val="both"/>
      </w:pPr>
      <w:r w:rsidRPr="00894064">
        <w:t xml:space="preserve">Sulla base dei dati di qualità, sicurezza ed efficacia, l’AIFA ha rilasciato a </w:t>
      </w:r>
      <w:r w:rsidR="00323123">
        <w:t>Ipso Pharma</w:t>
      </w:r>
      <w:r w:rsidR="006F5F62">
        <w:t xml:space="preserve"> </w:t>
      </w:r>
      <w:r w:rsidRPr="00894064">
        <w:t>l’autorizzazione all’immissione in commercio (AIC) per</w:t>
      </w:r>
      <w:r>
        <w:t xml:space="preserve"> </w:t>
      </w:r>
      <w:r w:rsidR="00787D23">
        <w:t>le diverse confezioni de</w:t>
      </w:r>
      <w:r>
        <w:t>l</w:t>
      </w:r>
      <w:r w:rsidRPr="00894064">
        <w:t xml:space="preserve"> medicinale </w:t>
      </w:r>
      <w:proofErr w:type="spellStart"/>
      <w:r w:rsidR="00516411">
        <w:rPr>
          <w:snapToGrid w:val="0"/>
        </w:rPr>
        <w:t>Levosulpiride</w:t>
      </w:r>
      <w:proofErr w:type="spellEnd"/>
      <w:r w:rsidR="00516411">
        <w:rPr>
          <w:snapToGrid w:val="0"/>
        </w:rPr>
        <w:t xml:space="preserve"> </w:t>
      </w:r>
      <w:r w:rsidR="00323123">
        <w:rPr>
          <w:snapToGrid w:val="0"/>
        </w:rPr>
        <w:t>Ipso Pharma</w:t>
      </w:r>
      <w:r w:rsidRPr="00894064">
        <w:t xml:space="preserve"> </w:t>
      </w:r>
      <w:r>
        <w:t xml:space="preserve">il 9 </w:t>
      </w:r>
      <w:r w:rsidR="00787D23">
        <w:t>g</w:t>
      </w:r>
      <w:r>
        <w:t xml:space="preserve">iugno </w:t>
      </w:r>
      <w:r w:rsidRPr="000A2A03">
        <w:t xml:space="preserve">2014 ed il </w:t>
      </w:r>
      <w:r w:rsidR="000A2A03" w:rsidRPr="000A2A03">
        <w:rPr>
          <w:rFonts w:eastAsia="Calibri" w:cs="Calibri"/>
          <w:bCs/>
          <w:iCs/>
          <w:lang w:eastAsia="it-IT"/>
        </w:rPr>
        <w:t>30 settembre 2016</w:t>
      </w:r>
      <w:r w:rsidRPr="000A2A03">
        <w:rPr>
          <w:rFonts w:cs="Calibri"/>
          <w:bCs/>
          <w:iCs/>
          <w:lang w:eastAsia="it-IT"/>
        </w:rPr>
        <w:t>6</w:t>
      </w:r>
      <w:r w:rsidRPr="000A2A03">
        <w:t>.</w:t>
      </w:r>
      <w:r w:rsidRPr="00894064">
        <w:t xml:space="preserve">  </w:t>
      </w:r>
    </w:p>
    <w:p w:rsidR="00DC49CC" w:rsidRPr="00894064" w:rsidRDefault="00DC49CC" w:rsidP="0059098E">
      <w:pPr>
        <w:spacing w:after="0" w:line="240" w:lineRule="auto"/>
        <w:jc w:val="both"/>
      </w:pPr>
    </w:p>
    <w:p w:rsidR="00DC49CC" w:rsidRPr="00894064" w:rsidRDefault="00516411" w:rsidP="0059098E">
      <w:pPr>
        <w:autoSpaceDE w:val="0"/>
        <w:autoSpaceDN w:val="0"/>
        <w:adjustRightInd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r w:rsidR="00323123">
        <w:rPr>
          <w:snapToGrid w:val="0"/>
        </w:rPr>
        <w:t>Ipso Pharma</w:t>
      </w:r>
      <w:r w:rsidR="00DC49CC" w:rsidRPr="00894064">
        <w:t xml:space="preserve"> </w:t>
      </w:r>
      <w:r w:rsidR="00DC49CC" w:rsidRPr="00894064">
        <w:rPr>
          <w:rFonts w:cs="Calibri"/>
          <w:color w:val="000000"/>
          <w:lang w:eastAsia="it-IT"/>
        </w:rPr>
        <w:t>può essere ottenuto solo dietro prescrizione da parte del medico (ricetta ripetibile).</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 xml:space="preserve">Questa procedura è stata presentata ai sensi dell’art. 10(1) della Direttiva 2001/83/EU </w:t>
      </w:r>
      <w:proofErr w:type="spellStart"/>
      <w:r w:rsidRPr="00894064">
        <w:t>s.m.i.</w:t>
      </w:r>
      <w:proofErr w:type="spellEnd"/>
    </w:p>
    <w:p w:rsidR="00DC49CC" w:rsidRPr="00894064" w:rsidRDefault="00DC49CC" w:rsidP="0059098E">
      <w:pPr>
        <w:widowControl w:val="0"/>
        <w:spacing w:after="0" w:line="240" w:lineRule="auto"/>
        <w:jc w:val="both"/>
        <w:rPr>
          <w:rFonts w:cs="Calibri"/>
          <w:bCs/>
          <w:color w:val="000000"/>
          <w:lang w:eastAsia="it-IT"/>
        </w:rPr>
      </w:pPr>
    </w:p>
    <w:p w:rsidR="00DC49CC" w:rsidRPr="00894064" w:rsidRDefault="00516411" w:rsidP="0059098E">
      <w:pPr>
        <w:widowControl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r w:rsidR="00323123">
        <w:rPr>
          <w:snapToGrid w:val="0"/>
        </w:rPr>
        <w:t>Ipso Pharma</w:t>
      </w:r>
      <w:r w:rsidR="00DC49CC" w:rsidRPr="00894064">
        <w:t xml:space="preserve"> </w:t>
      </w:r>
      <w:r w:rsidR="00DC49CC" w:rsidRPr="00894064">
        <w:rPr>
          <w:rFonts w:cs="Calibri"/>
          <w:color w:val="000000"/>
          <w:lang w:eastAsia="it-IT"/>
        </w:rPr>
        <w:t xml:space="preserve">è un medicinale generico contenente il principio attivo </w:t>
      </w:r>
      <w:proofErr w:type="spellStart"/>
      <w:r w:rsidR="00DC49CC">
        <w:rPr>
          <w:snapToGrid w:val="0"/>
        </w:rPr>
        <w:t>levosulpiride</w:t>
      </w:r>
      <w:proofErr w:type="spellEnd"/>
      <w:r w:rsidR="00DC49CC" w:rsidRPr="00894064">
        <w:rPr>
          <w:rFonts w:cs="Calibri"/>
          <w:color w:val="000000"/>
          <w:lang w:eastAsia="it-IT"/>
        </w:rPr>
        <w:t xml:space="preserve"> presente nel medicinale di riferimento </w:t>
      </w:r>
      <w:proofErr w:type="spellStart"/>
      <w:r w:rsidR="00DC49CC">
        <w:rPr>
          <w:rFonts w:cs="Calibri"/>
          <w:color w:val="000000"/>
          <w:lang w:eastAsia="it-IT"/>
        </w:rPr>
        <w:t>Levopraid</w:t>
      </w:r>
      <w:proofErr w:type="spellEnd"/>
      <w:r w:rsidR="00DC49CC" w:rsidRPr="00894064">
        <w:rPr>
          <w:rFonts w:cs="Calibri"/>
          <w:color w:val="000000"/>
          <w:lang w:eastAsia="it-IT"/>
        </w:rPr>
        <w:t>, autorizzato in Italia da più di 10 anni.</w:t>
      </w:r>
    </w:p>
    <w:p w:rsidR="00DC49CC" w:rsidRPr="007760A3" w:rsidRDefault="00DC49CC" w:rsidP="0059098E">
      <w:pPr>
        <w:widowControl w:val="0"/>
        <w:spacing w:after="0" w:line="240" w:lineRule="auto"/>
        <w:jc w:val="both"/>
        <w:rPr>
          <w:rFonts w:cs="Calibri"/>
          <w:color w:val="000000"/>
          <w:lang w:eastAsia="it-IT"/>
        </w:rPr>
      </w:pPr>
    </w:p>
    <w:p w:rsidR="00DC49CC" w:rsidRPr="00A6009A" w:rsidRDefault="00516411" w:rsidP="0059098E">
      <w:pPr>
        <w:widowControl w:val="0"/>
        <w:spacing w:after="0" w:line="240" w:lineRule="auto"/>
        <w:jc w:val="both"/>
        <w:rPr>
          <w:snapToGrid w:val="0"/>
        </w:rPr>
      </w:pPr>
      <w:proofErr w:type="spellStart"/>
      <w:r>
        <w:rPr>
          <w:snapToGrid w:val="0"/>
        </w:rPr>
        <w:t>Levosulpiride</w:t>
      </w:r>
      <w:proofErr w:type="spellEnd"/>
      <w:r>
        <w:rPr>
          <w:snapToGrid w:val="0"/>
        </w:rPr>
        <w:t xml:space="preserve"> </w:t>
      </w:r>
      <w:r w:rsidR="00323123">
        <w:rPr>
          <w:snapToGrid w:val="0"/>
        </w:rPr>
        <w:t>Ipso Pharma</w:t>
      </w:r>
      <w:r w:rsidR="00DC49CC" w:rsidRPr="007760A3">
        <w:rPr>
          <w:rFonts w:cs="Calibri"/>
          <w:color w:val="000000"/>
          <w:lang w:eastAsia="it-IT"/>
        </w:rPr>
        <w:t xml:space="preserve">, il cui codice ATC </w:t>
      </w:r>
      <w:r w:rsidR="00DC49CC" w:rsidRPr="00323123">
        <w:rPr>
          <w:snapToGrid w:val="0"/>
        </w:rPr>
        <w:t>è A03FA contiene</w:t>
      </w:r>
      <w:r w:rsidR="00DC49CC" w:rsidRPr="007760A3">
        <w:rPr>
          <w:rFonts w:cs="Calibri"/>
          <w:color w:val="000000"/>
          <w:lang w:eastAsia="it-IT"/>
        </w:rPr>
        <w:t xml:space="preserve"> il principio attivo </w:t>
      </w:r>
      <w:proofErr w:type="spellStart"/>
      <w:r w:rsidR="00DC49CC">
        <w:rPr>
          <w:snapToGrid w:val="0"/>
        </w:rPr>
        <w:t>levosulpiride</w:t>
      </w:r>
      <w:proofErr w:type="spellEnd"/>
      <w:r w:rsidR="00787D23">
        <w:rPr>
          <w:snapToGrid w:val="0"/>
        </w:rPr>
        <w:t xml:space="preserve"> che </w:t>
      </w:r>
      <w:r w:rsidR="00320B87" w:rsidRPr="000737C3">
        <w:rPr>
          <w:rFonts w:eastAsia="Calibri" w:cs="Calibri"/>
          <w:color w:val="000000"/>
          <w:lang w:eastAsia="it-IT"/>
        </w:rPr>
        <w:t>è un antagonista dei recettori della dopamina (cioè si lega ai recettori, bloccandoli) ed è un agonista dei recettori della serotonina (cioè si lega ai recettori, attivandoli). La dopamina è un neurotrasmettitore</w:t>
      </w:r>
      <w:r w:rsidR="00320B87" w:rsidRPr="000737C3">
        <w:rPr>
          <w:color w:val="000000"/>
        </w:rPr>
        <w:t>, abbondante a livello dell’intestino, che svolge un’azione inibitoria sulla motilità del tratto gastrointestinale: i farmaci in grado di bloccare i recettori della dopa</w:t>
      </w:r>
      <w:r w:rsidR="0016701E">
        <w:rPr>
          <w:color w:val="000000"/>
        </w:rPr>
        <w:t xml:space="preserve">mina sono efficaci </w:t>
      </w:r>
      <w:proofErr w:type="spellStart"/>
      <w:r w:rsidR="0016701E">
        <w:rPr>
          <w:color w:val="000000"/>
        </w:rPr>
        <w:t>procinetici</w:t>
      </w:r>
      <w:proofErr w:type="spellEnd"/>
      <w:r w:rsidR="0016701E">
        <w:rPr>
          <w:color w:val="000000"/>
        </w:rPr>
        <w:t xml:space="preserve">, </w:t>
      </w:r>
      <w:r w:rsidR="00320B87" w:rsidRPr="000737C3">
        <w:rPr>
          <w:color w:val="000000"/>
        </w:rPr>
        <w:t>cioè sono in</w:t>
      </w:r>
      <w:r w:rsidR="0016701E">
        <w:rPr>
          <w:color w:val="000000"/>
        </w:rPr>
        <w:t xml:space="preserve"> </w:t>
      </w:r>
      <w:r w:rsidR="00320B87" w:rsidRPr="000737C3">
        <w:rPr>
          <w:rFonts w:cs="Arial"/>
          <w:color w:val="252525"/>
          <w:shd w:val="clear" w:color="auto" w:fill="FFFFFF"/>
        </w:rPr>
        <w:t>grado di stimolare selettivamente la funzione motoria intestinale</w:t>
      </w:r>
      <w:r w:rsidR="00320B87">
        <w:rPr>
          <w:rFonts w:cs="Arial"/>
          <w:color w:val="252525"/>
          <w:shd w:val="clear" w:color="auto" w:fill="FFFFFF"/>
        </w:rPr>
        <w:t>.</w:t>
      </w:r>
    </w:p>
    <w:p w:rsidR="00DC49CC" w:rsidRPr="007760A3" w:rsidRDefault="00DC49CC" w:rsidP="0059098E">
      <w:pPr>
        <w:widowControl w:val="0"/>
        <w:spacing w:after="0" w:line="240" w:lineRule="auto"/>
        <w:jc w:val="both"/>
        <w:rPr>
          <w:rFonts w:cs="Calibri"/>
          <w:color w:val="000000"/>
          <w:lang w:eastAsia="it-IT"/>
        </w:rPr>
      </w:pPr>
    </w:p>
    <w:p w:rsidR="00DC49CC" w:rsidRPr="007760A3" w:rsidRDefault="00516411" w:rsidP="0059098E">
      <w:pPr>
        <w:widowControl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r w:rsidR="00323123">
        <w:rPr>
          <w:snapToGrid w:val="0"/>
        </w:rPr>
        <w:t>Ipso Pharma</w:t>
      </w:r>
      <w:r w:rsidR="00320B87" w:rsidRPr="007760A3">
        <w:rPr>
          <w:rFonts w:cs="Calibri"/>
          <w:color w:val="000000"/>
          <w:lang w:eastAsia="it-IT"/>
        </w:rPr>
        <w:t xml:space="preserve"> </w:t>
      </w:r>
      <w:r w:rsidR="00DC49CC" w:rsidRPr="007760A3">
        <w:rPr>
          <w:rFonts w:cs="Calibri"/>
          <w:color w:val="000000"/>
          <w:lang w:eastAsia="it-IT"/>
        </w:rPr>
        <w:t>è utilizzato per</w:t>
      </w:r>
      <w:r w:rsidR="00320B87">
        <w:rPr>
          <w:rFonts w:cs="Calibri"/>
          <w:color w:val="000000"/>
          <w:lang w:eastAsia="it-IT"/>
        </w:rPr>
        <w:t xml:space="preserve"> il trattamento di</w:t>
      </w:r>
      <w:r w:rsidR="00DC49CC" w:rsidRPr="007760A3">
        <w:rPr>
          <w:rFonts w:cs="Calibri"/>
          <w:color w:val="000000"/>
          <w:lang w:eastAsia="it-IT"/>
        </w:rPr>
        <w:t>:</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Sindrome dispeptica (anoressia, meteorismo, senso di tensione epigastrica, cefalea postprandiale, pirosi, eruttazioni, diarrea, stipsi) da ritardato svuotamento gastrico legato a fattori organici (</w:t>
      </w:r>
      <w:proofErr w:type="spellStart"/>
      <w:r w:rsidRPr="0016701E">
        <w:rPr>
          <w:rFonts w:cs="Calibri"/>
          <w:color w:val="000000"/>
          <w:lang w:eastAsia="it-IT"/>
        </w:rPr>
        <w:t>gastroparesi</w:t>
      </w:r>
      <w:proofErr w:type="spellEnd"/>
      <w:r w:rsidRPr="0016701E">
        <w:rPr>
          <w:rFonts w:cs="Calibri"/>
          <w:color w:val="000000"/>
          <w:lang w:eastAsia="it-IT"/>
        </w:rPr>
        <w:t xml:space="preserve"> diabetica, neoplasie, ecc.) e/o funzionali (somatizzazioni viscerali in soggetti ansioso-depressivi).</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Cefalea essenziale: forme vasomotorie (emicrania classica, comune, oftalmica, emiplegica, a grappolo) e forme muscolo-tensive.</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Vomito e nausea (post-operatorio o indotto da farmaci antiblastici).</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Vertigini di origine centrale e/o periferica.</w:t>
      </w:r>
    </w:p>
    <w:p w:rsidR="00320B87" w:rsidRPr="00320B87" w:rsidRDefault="00320B87" w:rsidP="0059098E">
      <w:pPr>
        <w:spacing w:after="0" w:line="240" w:lineRule="auto"/>
        <w:jc w:val="both"/>
        <w:rPr>
          <w:rFonts w:cs="Calibri"/>
          <w:color w:val="000000"/>
          <w:lang w:eastAsia="it-IT"/>
        </w:rPr>
      </w:pPr>
    </w:p>
    <w:p w:rsidR="00DC49CC" w:rsidRDefault="00DC49CC" w:rsidP="0059098E">
      <w:pPr>
        <w:spacing w:after="0" w:line="240" w:lineRule="auto"/>
        <w:jc w:val="both"/>
      </w:pPr>
      <w:r w:rsidRPr="00894064">
        <w:t xml:space="preserve">Poiché </w:t>
      </w:r>
      <w:proofErr w:type="spellStart"/>
      <w:r w:rsidR="00516411">
        <w:rPr>
          <w:snapToGrid w:val="0"/>
        </w:rPr>
        <w:t>Levosulpiride</w:t>
      </w:r>
      <w:proofErr w:type="spellEnd"/>
      <w:r w:rsidR="00516411">
        <w:rPr>
          <w:snapToGrid w:val="0"/>
        </w:rPr>
        <w:t xml:space="preserve"> </w:t>
      </w:r>
      <w:r w:rsidR="00323123">
        <w:rPr>
          <w:snapToGrid w:val="0"/>
        </w:rPr>
        <w:t>Ipso Pharma</w:t>
      </w:r>
      <w:r w:rsidR="00320B87" w:rsidRPr="007760A3">
        <w:rPr>
          <w:rFonts w:cs="Calibri"/>
          <w:color w:val="000000"/>
          <w:lang w:eastAsia="it-IT"/>
        </w:rPr>
        <w:t xml:space="preserve"> </w:t>
      </w:r>
      <w:r w:rsidRPr="00894064">
        <w:t xml:space="preserve">contiene un principio attivo noto non sono stati forniti nuovi dati non clinici e clinici: questo approccio è accettabile poiché il medicinale di riferimento </w:t>
      </w:r>
      <w:proofErr w:type="spellStart"/>
      <w:r w:rsidR="00320B87">
        <w:t>Levopraid</w:t>
      </w:r>
      <w:proofErr w:type="spellEnd"/>
      <w:r w:rsidRPr="00894064">
        <w:t xml:space="preserve"> è autorizzato in Italia da oltre 10 anni.</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 xml:space="preserve">La richiesta di AIC </w:t>
      </w:r>
      <w:r w:rsidR="0016701E">
        <w:t xml:space="preserve">delle compresse </w:t>
      </w:r>
      <w:r w:rsidRPr="00894064">
        <w:t xml:space="preserve">è supportata da </w:t>
      </w:r>
      <w:r w:rsidR="00320B87">
        <w:t>uno</w:t>
      </w:r>
      <w:r w:rsidRPr="00894064">
        <w:t xml:space="preserve"> studi</w:t>
      </w:r>
      <w:r w:rsidR="00320B87">
        <w:t>o</w:t>
      </w:r>
      <w:r w:rsidRPr="00894064">
        <w:t xml:space="preserve"> di bioequivalenza che ha confrontato i profili farmacocinetici del medicinale test </w:t>
      </w:r>
      <w:proofErr w:type="spellStart"/>
      <w:r w:rsidR="00516411">
        <w:rPr>
          <w:snapToGrid w:val="0"/>
        </w:rPr>
        <w:t>Levosulpiride</w:t>
      </w:r>
      <w:proofErr w:type="spellEnd"/>
      <w:r w:rsidR="00516411">
        <w:rPr>
          <w:snapToGrid w:val="0"/>
        </w:rPr>
        <w:t xml:space="preserve"> </w:t>
      </w:r>
      <w:r w:rsidR="00323123">
        <w:rPr>
          <w:snapToGrid w:val="0"/>
        </w:rPr>
        <w:t>Ipso Pharma</w:t>
      </w:r>
      <w:r w:rsidR="00320B87" w:rsidRPr="007760A3">
        <w:rPr>
          <w:rFonts w:cs="Calibri"/>
          <w:color w:val="000000"/>
          <w:lang w:eastAsia="it-IT"/>
        </w:rPr>
        <w:t xml:space="preserve"> </w:t>
      </w:r>
      <w:r w:rsidRPr="00894064">
        <w:t xml:space="preserve">e quelli del medicinale di riferimento </w:t>
      </w:r>
      <w:proofErr w:type="spellStart"/>
      <w:r w:rsidR="00320B87">
        <w:t>Levopraid</w:t>
      </w:r>
      <w:proofErr w:type="spellEnd"/>
      <w:r w:rsidRPr="00894064">
        <w:t>.</w:t>
      </w:r>
      <w:r>
        <w:t xml:space="preserve"> </w:t>
      </w:r>
      <w:r w:rsidRPr="00894064">
        <w:t>Lo studio di bioequivalenza è stato condotto in conformità alle linee guida di Buona Pratica Clinica (</w:t>
      </w:r>
      <w:proofErr w:type="spellStart"/>
      <w:r w:rsidRPr="00894064">
        <w:rPr>
          <w:i/>
        </w:rPr>
        <w:t>Good</w:t>
      </w:r>
      <w:proofErr w:type="spellEnd"/>
      <w:r w:rsidRPr="00894064">
        <w:rPr>
          <w:i/>
        </w:rPr>
        <w:t xml:space="preserve"> </w:t>
      </w:r>
      <w:proofErr w:type="spellStart"/>
      <w:r w:rsidRPr="00894064">
        <w:rPr>
          <w:i/>
        </w:rPr>
        <w:t>Clinical</w:t>
      </w:r>
      <w:proofErr w:type="spellEnd"/>
      <w:r w:rsidRPr="00894064">
        <w:rPr>
          <w:i/>
        </w:rPr>
        <w:t xml:space="preserve"> </w:t>
      </w:r>
      <w:proofErr w:type="spellStart"/>
      <w:r w:rsidRPr="00894064">
        <w:rPr>
          <w:i/>
        </w:rPr>
        <w:t>Practice</w:t>
      </w:r>
      <w:proofErr w:type="spellEnd"/>
      <w:r w:rsidRPr="00894064">
        <w:t xml:space="preserve"> - GCP).</w:t>
      </w:r>
      <w:r w:rsidR="0016701E">
        <w:t xml:space="preserve"> Per le gocce </w:t>
      </w:r>
      <w:r w:rsidR="0016701E">
        <w:rPr>
          <w:rFonts w:cs="Arial"/>
        </w:rPr>
        <w:t xml:space="preserve">orali, </w:t>
      </w:r>
      <w:r w:rsidR="0016701E" w:rsidRPr="000737C3">
        <w:rPr>
          <w:rFonts w:cs="Arial"/>
        </w:rPr>
        <w:t>somministrat</w:t>
      </w:r>
      <w:r w:rsidR="0016701E">
        <w:rPr>
          <w:rFonts w:cs="Arial"/>
        </w:rPr>
        <w:t>e</w:t>
      </w:r>
      <w:r w:rsidR="0016701E" w:rsidRPr="000737C3">
        <w:rPr>
          <w:rFonts w:cs="Arial"/>
        </w:rPr>
        <w:t xml:space="preserve"> come soluzione orale</w:t>
      </w:r>
      <w:r w:rsidR="0016701E">
        <w:rPr>
          <w:rFonts w:cs="Arial"/>
        </w:rPr>
        <w:t>, è stato possibile concedere l’esenzione dallo studio di bioequivalenza.</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Le officine coinvolte nella produzione sono conformi alle linee guida di Buona Pratica di Fabbricazione (</w:t>
      </w:r>
      <w:proofErr w:type="spellStart"/>
      <w:r w:rsidRPr="00894064">
        <w:rPr>
          <w:i/>
        </w:rPr>
        <w:t>Good</w:t>
      </w:r>
      <w:proofErr w:type="spellEnd"/>
      <w:r w:rsidRPr="00894064">
        <w:rPr>
          <w:i/>
        </w:rPr>
        <w:t xml:space="preserve"> Manufacturing </w:t>
      </w:r>
      <w:proofErr w:type="spellStart"/>
      <w:r w:rsidRPr="00894064">
        <w:rPr>
          <w:i/>
        </w:rPr>
        <w:t>Practice</w:t>
      </w:r>
      <w:proofErr w:type="spellEnd"/>
      <w:r w:rsidRPr="00894064">
        <w:t xml:space="preserve"> - GMP). Le autorità regolatore competenti hanno rilasciato i certificati GMP per i siti di produzione sul territorio dell’Unione Europea.</w:t>
      </w:r>
    </w:p>
    <w:p w:rsidR="00DC49CC" w:rsidRPr="00894064" w:rsidRDefault="00DC49CC" w:rsidP="0059098E">
      <w:pPr>
        <w:spacing w:after="0" w:line="240" w:lineRule="auto"/>
        <w:jc w:val="both"/>
        <w:rPr>
          <w:highlight w:val="yellow"/>
        </w:rPr>
      </w:pPr>
    </w:p>
    <w:p w:rsidR="00DC49CC" w:rsidRPr="00894064" w:rsidRDefault="00DC49CC" w:rsidP="0059098E">
      <w:pPr>
        <w:spacing w:after="0" w:line="240" w:lineRule="auto"/>
        <w:jc w:val="both"/>
      </w:pPr>
      <w:r w:rsidRPr="00894064">
        <w:t>Il sistema di Farmacovigilanza descritto dal titolare dell’AIC è conforme ai requisiti previsti dalla normativa corrente. E’ stato presentato un Piano di gestione del rischio (</w:t>
      </w:r>
      <w:proofErr w:type="spellStart"/>
      <w:r w:rsidRPr="00894064">
        <w:rPr>
          <w:i/>
        </w:rPr>
        <w:t>Risk</w:t>
      </w:r>
      <w:proofErr w:type="spellEnd"/>
      <w:r w:rsidRPr="00894064">
        <w:rPr>
          <w:i/>
        </w:rPr>
        <w:t xml:space="preserve"> Management </w:t>
      </w:r>
      <w:proofErr w:type="spellStart"/>
      <w:r w:rsidRPr="00894064">
        <w:rPr>
          <w:i/>
        </w:rPr>
        <w:t>Plan</w:t>
      </w:r>
      <w:proofErr w:type="spellEnd"/>
      <w:r w:rsidRPr="00894064">
        <w:t xml:space="preserve"> – RMP) accettabile.</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 xml:space="preserve">Il titolare di AIC ha presentato una adeguata giustificazione della non presentazione della Valutazione del Rischio ambientale; questo approccio è accettabile in quanto  </w:t>
      </w:r>
      <w:proofErr w:type="spellStart"/>
      <w:r w:rsidR="00516411">
        <w:rPr>
          <w:snapToGrid w:val="0"/>
        </w:rPr>
        <w:t>Levosulpiride</w:t>
      </w:r>
      <w:proofErr w:type="spellEnd"/>
      <w:r w:rsidR="00516411">
        <w:rPr>
          <w:snapToGrid w:val="0"/>
        </w:rPr>
        <w:t xml:space="preserve"> </w:t>
      </w:r>
      <w:r w:rsidR="00323123">
        <w:rPr>
          <w:snapToGrid w:val="0"/>
        </w:rPr>
        <w:t>Ipso Pharma</w:t>
      </w:r>
      <w:r w:rsidR="00320B87" w:rsidRPr="007760A3">
        <w:rPr>
          <w:rFonts w:cs="Calibri"/>
          <w:color w:val="000000"/>
          <w:lang w:eastAsia="it-IT"/>
        </w:rPr>
        <w:t xml:space="preserve"> </w:t>
      </w:r>
      <w:r w:rsidRPr="00894064">
        <w:t>contiene un principio attivo noto presente in medicinali autorizzati; inoltre, non sono presenti componenti geneticamente modificati; il metodo di produzione e la formulazione del medicinale non presentano problematiche di carattere ambientale.</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Default="00DC49CC" w:rsidP="0059098E">
      <w:pPr>
        <w:pStyle w:val="Paragrafoelenco"/>
        <w:numPr>
          <w:ilvl w:val="0"/>
          <w:numId w:val="7"/>
        </w:numPr>
        <w:spacing w:after="0" w:line="240" w:lineRule="auto"/>
        <w:jc w:val="both"/>
        <w:rPr>
          <w:b/>
        </w:rPr>
      </w:pPr>
      <w:r w:rsidRPr="00894064">
        <w:rPr>
          <w:b/>
        </w:rPr>
        <w:t>ASPETTI DI QUALITA’</w:t>
      </w:r>
    </w:p>
    <w:p w:rsidR="00DC49CC" w:rsidRPr="00894064" w:rsidRDefault="00DC49CC" w:rsidP="0059098E">
      <w:pPr>
        <w:spacing w:after="0" w:line="240" w:lineRule="auto"/>
        <w:jc w:val="both"/>
      </w:pPr>
      <w:r w:rsidRPr="00894064">
        <w:rPr>
          <w:b/>
        </w:rPr>
        <w:t xml:space="preserve">II.1 PRINCIPIO ATTIVO </w:t>
      </w:r>
      <w:r w:rsidR="00DD3E4F">
        <w:rPr>
          <w:b/>
        </w:rPr>
        <w:t>LEVOSULPIRIDE</w:t>
      </w:r>
    </w:p>
    <w:p w:rsidR="00060A64" w:rsidRDefault="00A12CE2" w:rsidP="0059098E">
      <w:pPr>
        <w:autoSpaceDE w:val="0"/>
        <w:autoSpaceDN w:val="0"/>
        <w:adjustRightInd w:val="0"/>
        <w:spacing w:after="0" w:line="240" w:lineRule="auto"/>
        <w:rPr>
          <w:rStyle w:val="s1"/>
          <w:rFonts w:ascii="Calibri" w:hAnsi="Calibri"/>
        </w:rPr>
      </w:pPr>
      <w:r w:rsidRPr="00EE29EF">
        <w:rPr>
          <w:u w:val="single"/>
        </w:rPr>
        <w:t>Nome chimico</w:t>
      </w:r>
      <w:r w:rsidRPr="00EE29EF">
        <w:t xml:space="preserve">: </w:t>
      </w:r>
      <w:r w:rsidRPr="00EE29EF">
        <w:rPr>
          <w:rStyle w:val="s1"/>
          <w:rFonts w:ascii="Calibri" w:hAnsi="Calibri"/>
        </w:rPr>
        <w:t>(</w:t>
      </w:r>
      <w:r w:rsidRPr="00EE29EF">
        <w:rPr>
          <w:rStyle w:val="s1"/>
          <w:rFonts w:ascii="Calibri" w:hAnsi="Calibri"/>
          <w:i/>
          <w:iCs/>
        </w:rPr>
        <w:t>S</w:t>
      </w:r>
      <w:r w:rsidRPr="00EE29EF">
        <w:rPr>
          <w:rStyle w:val="s1"/>
          <w:rFonts w:ascii="Calibri" w:hAnsi="Calibri"/>
        </w:rPr>
        <w:t>)-</w:t>
      </w:r>
      <w:r>
        <w:rPr>
          <w:rStyle w:val="s1"/>
          <w:rFonts w:ascii="Calibri" w:hAnsi="Calibri"/>
        </w:rPr>
        <w:t>N-((1-ethyl</w:t>
      </w:r>
      <w:r w:rsidRPr="00EE29EF">
        <w:rPr>
          <w:rStyle w:val="s1"/>
          <w:rFonts w:ascii="Calibri" w:hAnsi="Calibri"/>
        </w:rPr>
        <w:t>py</w:t>
      </w:r>
      <w:r>
        <w:rPr>
          <w:rStyle w:val="s1"/>
          <w:rFonts w:ascii="Calibri" w:hAnsi="Calibri"/>
        </w:rPr>
        <w:t>rrolidin-2-yl)methyl)-2-methoxy-5-silfamoyl-benzamede</w:t>
      </w:r>
    </w:p>
    <w:p w:rsidR="00060A64" w:rsidRDefault="00A12CE2" w:rsidP="0059098E">
      <w:pPr>
        <w:autoSpaceDE w:val="0"/>
        <w:autoSpaceDN w:val="0"/>
        <w:adjustRightInd w:val="0"/>
        <w:spacing w:after="0" w:line="240" w:lineRule="auto"/>
        <w:rPr>
          <w:rStyle w:val="s1"/>
          <w:rFonts w:ascii="Calibri" w:hAnsi="Calibri"/>
        </w:rPr>
      </w:pPr>
      <w:r w:rsidRPr="0016701E">
        <w:rPr>
          <w:rStyle w:val="s1"/>
          <w:rFonts w:ascii="Calibri" w:hAnsi="Calibri"/>
          <w:u w:val="single"/>
        </w:rPr>
        <w:lastRenderedPageBreak/>
        <w:t>Str</w:t>
      </w:r>
      <w:r w:rsidRPr="0016701E">
        <w:rPr>
          <w:u w:val="single"/>
        </w:rPr>
        <w:t>u</w:t>
      </w:r>
      <w:r w:rsidRPr="00EE29EF">
        <w:rPr>
          <w:u w:val="single"/>
        </w:rPr>
        <w:t>ttura</w:t>
      </w:r>
      <w:r w:rsidRPr="00EE29EF">
        <w:t>:</w:t>
      </w:r>
    </w:p>
    <w:p w:rsidR="00060A64" w:rsidRDefault="0016701E" w:rsidP="0016701E">
      <w:pPr>
        <w:autoSpaceDE w:val="0"/>
        <w:autoSpaceDN w:val="0"/>
        <w:adjustRightInd w:val="0"/>
        <w:spacing w:after="0" w:line="240" w:lineRule="auto"/>
        <w:jc w:val="center"/>
        <w:rPr>
          <w:noProof/>
          <w:highlight w:val="yellow"/>
          <w:lang w:eastAsia="it-IT"/>
        </w:rPr>
      </w:pPr>
      <w:r>
        <w:rPr>
          <w:noProof/>
          <w:lang w:eastAsia="it-IT"/>
        </w:rPr>
        <w:drawing>
          <wp:inline distT="0" distB="0" distL="0" distR="0">
            <wp:extent cx="1261110" cy="636859"/>
            <wp:effectExtent l="19050" t="0" r="0" b="0"/>
            <wp:docPr id="8" name="Immagine 8" descr="Levosulpirid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evosulpiride.svg"/>
                    <pic:cNvPicPr>
                      <a:picLocks noChangeAspect="1" noChangeArrowheads="1"/>
                    </pic:cNvPicPr>
                  </pic:nvPicPr>
                  <pic:blipFill>
                    <a:blip r:embed="rId9" cstate="print"/>
                    <a:srcRect/>
                    <a:stretch>
                      <a:fillRect/>
                    </a:stretch>
                  </pic:blipFill>
                  <pic:spPr bwMode="auto">
                    <a:xfrm>
                      <a:off x="0" y="0"/>
                      <a:ext cx="1265598" cy="639125"/>
                    </a:xfrm>
                    <a:prstGeom prst="rect">
                      <a:avLst/>
                    </a:prstGeom>
                    <a:noFill/>
                    <a:ln w="9525">
                      <a:noFill/>
                      <a:miter lim="800000"/>
                      <a:headEnd/>
                      <a:tailEnd/>
                    </a:ln>
                  </pic:spPr>
                </pic:pic>
              </a:graphicData>
            </a:graphic>
          </wp:inline>
        </w:drawing>
      </w:r>
    </w:p>
    <w:p w:rsidR="00A12CE2" w:rsidRPr="00A12CE2" w:rsidRDefault="00A12CE2" w:rsidP="0016701E">
      <w:pPr>
        <w:spacing w:after="0" w:line="240" w:lineRule="auto"/>
        <w:jc w:val="both"/>
        <w:rPr>
          <w:rStyle w:val="s1"/>
          <w:rFonts w:ascii="Calibri" w:hAnsi="Calibri"/>
        </w:rPr>
      </w:pPr>
      <w:r w:rsidRPr="00EE29EF">
        <w:rPr>
          <w:u w:val="single"/>
        </w:rPr>
        <w:t>Formula molecolare</w:t>
      </w:r>
      <w:r w:rsidRPr="00EE29EF">
        <w:t>:</w:t>
      </w:r>
      <w:r>
        <w:t xml:space="preserve"> </w:t>
      </w:r>
      <w:r w:rsidRPr="00EE29EF">
        <w:rPr>
          <w:rStyle w:val="s1"/>
          <w:rFonts w:ascii="Calibri" w:hAnsi="Calibri"/>
        </w:rPr>
        <w:t>C</w:t>
      </w:r>
      <w:r w:rsidRPr="00EE29EF">
        <w:rPr>
          <w:rStyle w:val="s1"/>
          <w:rFonts w:ascii="Calibri" w:hAnsi="Calibri"/>
          <w:vertAlign w:val="subscript"/>
        </w:rPr>
        <w:t>1</w:t>
      </w:r>
      <w:r>
        <w:rPr>
          <w:rStyle w:val="s1"/>
          <w:rFonts w:ascii="Calibri" w:hAnsi="Calibri"/>
          <w:vertAlign w:val="subscript"/>
        </w:rPr>
        <w:t>5</w:t>
      </w:r>
      <w:r w:rsidRPr="00EE29EF">
        <w:rPr>
          <w:rStyle w:val="s1"/>
          <w:rFonts w:ascii="Calibri" w:hAnsi="Calibri"/>
        </w:rPr>
        <w:t>H</w:t>
      </w:r>
      <w:r>
        <w:rPr>
          <w:rStyle w:val="s1"/>
          <w:rFonts w:ascii="Calibri" w:hAnsi="Calibri"/>
          <w:vertAlign w:val="subscript"/>
        </w:rPr>
        <w:t>23</w:t>
      </w:r>
      <w:r>
        <w:rPr>
          <w:rStyle w:val="s1"/>
          <w:rFonts w:ascii="Calibri" w:hAnsi="Calibri"/>
        </w:rPr>
        <w:t>N</w:t>
      </w:r>
      <w:r>
        <w:rPr>
          <w:rStyle w:val="s1"/>
          <w:rFonts w:ascii="Calibri" w:hAnsi="Calibri"/>
          <w:vertAlign w:val="subscript"/>
        </w:rPr>
        <w:t>3</w:t>
      </w:r>
      <w:r>
        <w:rPr>
          <w:rStyle w:val="s1"/>
          <w:rFonts w:ascii="Calibri" w:hAnsi="Calibri"/>
        </w:rPr>
        <w:t>O</w:t>
      </w:r>
      <w:r w:rsidRPr="00A12CE2">
        <w:rPr>
          <w:rStyle w:val="s1"/>
          <w:rFonts w:ascii="Calibri" w:hAnsi="Calibri"/>
          <w:vertAlign w:val="subscript"/>
        </w:rPr>
        <w:t>4</w:t>
      </w:r>
      <w:r w:rsidRPr="00A12CE2">
        <w:rPr>
          <w:rStyle w:val="s1"/>
          <w:rFonts w:ascii="Calibri" w:hAnsi="Calibri"/>
        </w:rPr>
        <w:t>S</w:t>
      </w:r>
    </w:p>
    <w:p w:rsidR="00A12CE2" w:rsidRDefault="00A12CE2" w:rsidP="0016701E">
      <w:pPr>
        <w:spacing w:after="0" w:line="240" w:lineRule="auto"/>
        <w:jc w:val="both"/>
        <w:rPr>
          <w:rStyle w:val="s1"/>
          <w:rFonts w:ascii="Calibri" w:hAnsi="Calibri"/>
        </w:rPr>
      </w:pPr>
      <w:r w:rsidRPr="00EE29EF">
        <w:rPr>
          <w:u w:val="single"/>
        </w:rPr>
        <w:t>Peso molecolare</w:t>
      </w:r>
      <w:r w:rsidRPr="00EE29EF">
        <w:t>:</w:t>
      </w:r>
      <w:r>
        <w:t xml:space="preserve"> 341.4 </w:t>
      </w:r>
      <w:r w:rsidRPr="00EE29EF">
        <w:rPr>
          <w:rStyle w:val="s1"/>
          <w:rFonts w:ascii="Calibri" w:hAnsi="Calibri"/>
        </w:rPr>
        <w:t>g/mol</w:t>
      </w:r>
      <w:r>
        <w:rPr>
          <w:rStyle w:val="s1"/>
          <w:rFonts w:ascii="Calibri" w:hAnsi="Calibri"/>
        </w:rPr>
        <w:t xml:space="preserve"> </w:t>
      </w:r>
    </w:p>
    <w:p w:rsidR="00A12CE2" w:rsidRPr="00A12CE2" w:rsidRDefault="00A12CE2" w:rsidP="0016701E">
      <w:pPr>
        <w:spacing w:after="0" w:line="240" w:lineRule="auto"/>
        <w:jc w:val="both"/>
        <w:rPr>
          <w:rFonts w:ascii="Calibri" w:hAnsi="Calibri"/>
        </w:rPr>
      </w:pPr>
      <w:r w:rsidRPr="00A12CE2">
        <w:rPr>
          <w:rFonts w:ascii="Calibri" w:hAnsi="Calibri"/>
          <w:u w:val="single"/>
        </w:rPr>
        <w:t>CAS</w:t>
      </w:r>
      <w:r w:rsidRPr="00A12CE2">
        <w:rPr>
          <w:rFonts w:ascii="Calibri" w:hAnsi="Calibri"/>
        </w:rPr>
        <w:t>: 23672-07-3</w:t>
      </w:r>
    </w:p>
    <w:p w:rsidR="00A12CE2" w:rsidRPr="00EE29EF" w:rsidRDefault="00A12CE2" w:rsidP="0016701E">
      <w:pPr>
        <w:spacing w:after="0" w:line="240" w:lineRule="auto"/>
        <w:jc w:val="both"/>
      </w:pPr>
      <w:r w:rsidRPr="00EE29EF">
        <w:rPr>
          <w:u w:val="single"/>
        </w:rPr>
        <w:t>Aspetto</w:t>
      </w:r>
      <w:r w:rsidRPr="00EE29EF">
        <w:t xml:space="preserve">: polvere cristallina bianca o quasi bianca </w:t>
      </w:r>
    </w:p>
    <w:p w:rsidR="00792C54" w:rsidRDefault="00A12CE2" w:rsidP="0016701E">
      <w:pPr>
        <w:spacing w:after="0" w:line="240" w:lineRule="auto"/>
        <w:jc w:val="both"/>
        <w:rPr>
          <w:rStyle w:val="s1"/>
          <w:rFonts w:ascii="Calibri" w:hAnsi="Calibri"/>
        </w:rPr>
      </w:pPr>
      <w:r w:rsidRPr="00EE29EF">
        <w:rPr>
          <w:u w:val="single"/>
        </w:rPr>
        <w:t>Solubilità</w:t>
      </w:r>
      <w:r w:rsidRPr="00EE29EF">
        <w:t>: praticamente insolubile in acqua</w:t>
      </w:r>
      <w:r w:rsidRPr="00EE29EF">
        <w:rPr>
          <w:rStyle w:val="s1"/>
          <w:rFonts w:ascii="Calibri" w:hAnsi="Calibri"/>
        </w:rPr>
        <w:t>,</w:t>
      </w:r>
      <w:r w:rsidR="00792C54">
        <w:rPr>
          <w:rStyle w:val="s1"/>
          <w:rFonts w:ascii="Calibri" w:hAnsi="Calibri"/>
        </w:rPr>
        <w:t xml:space="preserve"> moderatamente solubile in metanolo, poco solubile in alcol e </w:t>
      </w:r>
    </w:p>
    <w:p w:rsidR="00A12CE2" w:rsidRDefault="00A12CE2" w:rsidP="0016701E">
      <w:pPr>
        <w:spacing w:after="0" w:line="240" w:lineRule="auto"/>
        <w:jc w:val="both"/>
        <w:rPr>
          <w:rStyle w:val="s1"/>
          <w:rFonts w:ascii="Calibri" w:hAnsi="Calibri"/>
        </w:rPr>
      </w:pPr>
      <w:r w:rsidRPr="00EE29EF">
        <w:rPr>
          <w:rStyle w:val="s1"/>
          <w:rFonts w:ascii="Calibri" w:hAnsi="Calibri"/>
        </w:rPr>
        <w:t xml:space="preserve">e metilene cloruro. Si scioglie in soluzioni diluite di </w:t>
      </w:r>
      <w:r w:rsidRPr="00987A69">
        <w:rPr>
          <w:rStyle w:val="s1"/>
          <w:rFonts w:ascii="Calibri" w:hAnsi="Calibri"/>
        </w:rPr>
        <w:t>idrossidi</w:t>
      </w:r>
      <w:r w:rsidRPr="00EE29EF">
        <w:rPr>
          <w:rStyle w:val="s1"/>
          <w:rFonts w:ascii="Calibri" w:hAnsi="Calibri"/>
        </w:rPr>
        <w:t xml:space="preserve"> alcalini e </w:t>
      </w:r>
      <w:r w:rsidR="00792C54">
        <w:rPr>
          <w:rStyle w:val="s1"/>
          <w:rFonts w:ascii="Calibri" w:hAnsi="Calibri"/>
        </w:rPr>
        <w:t>acidi minerali</w:t>
      </w:r>
      <w:r w:rsidRPr="00EE29EF">
        <w:rPr>
          <w:rStyle w:val="s1"/>
          <w:rFonts w:ascii="Calibri" w:hAnsi="Calibri"/>
        </w:rPr>
        <w:t>.</w:t>
      </w:r>
    </w:p>
    <w:p w:rsidR="005A2C8B" w:rsidRPr="00EE29EF" w:rsidRDefault="005A2C8B" w:rsidP="0016701E">
      <w:pPr>
        <w:spacing w:after="0" w:line="240" w:lineRule="auto"/>
        <w:jc w:val="both"/>
        <w:rPr>
          <w:rStyle w:val="s1"/>
          <w:rFonts w:ascii="Calibri" w:hAnsi="Calibri"/>
        </w:rPr>
      </w:pPr>
    </w:p>
    <w:p w:rsidR="00A77786" w:rsidRPr="00894064" w:rsidRDefault="00A77786" w:rsidP="00A77786">
      <w:pPr>
        <w:spacing w:after="0" w:line="240" w:lineRule="auto"/>
        <w:jc w:val="both"/>
      </w:pPr>
      <w:r w:rsidRPr="00894064">
        <w:t xml:space="preserve">Il principio attivo </w:t>
      </w:r>
      <w:proofErr w:type="spellStart"/>
      <w:r>
        <w:t>levosulpiride</w:t>
      </w:r>
      <w:proofErr w:type="spellEnd"/>
      <w:r>
        <w:t xml:space="preserve"> non</w:t>
      </w:r>
      <w:r w:rsidRPr="00894064">
        <w:t xml:space="preserve"> è presente in Farmacopea Europea; il produttore ha presentato un ASMF. </w:t>
      </w:r>
    </w:p>
    <w:p w:rsidR="00A77786" w:rsidRPr="00894064" w:rsidRDefault="00A77786" w:rsidP="00A77786">
      <w:pPr>
        <w:spacing w:after="0" w:line="240" w:lineRule="auto"/>
        <w:jc w:val="both"/>
      </w:pPr>
      <w:r w:rsidRPr="00894064">
        <w:t>La sintesi del principio attivo è stata adeguatamente descritta a partire da idonei materiali di partenza; sono utilizzati appropriati controlli di processo e intermedi di sintesi.</w:t>
      </w:r>
    </w:p>
    <w:p w:rsidR="00A77786" w:rsidRPr="00894064" w:rsidRDefault="00A77786" w:rsidP="00A77786">
      <w:pPr>
        <w:spacing w:after="0" w:line="240" w:lineRule="auto"/>
        <w:jc w:val="both"/>
      </w:pPr>
      <w:r w:rsidRPr="00894064">
        <w:t>I materiali e i reagenti utilizzati nella sintesi sono di qualità adeguata.</w:t>
      </w:r>
    </w:p>
    <w:p w:rsidR="00A77786" w:rsidRPr="00894064" w:rsidRDefault="00A77786" w:rsidP="00A77786">
      <w:pPr>
        <w:spacing w:after="0" w:line="240" w:lineRule="auto"/>
        <w:jc w:val="both"/>
      </w:pPr>
      <w:r w:rsidRPr="00894064">
        <w:t>I materiali, gli intermedi, i reagenti utilizzati nella sintesi non sono di origine umana, biologica o geneticamente modificata. Sono state fornite prove adeguate della struttura isolata nonché della stabilità della forma polimorfica utilizzata. Tutte le potenziali impurezze note sono state identificate e caratterizzate</w:t>
      </w:r>
    </w:p>
    <w:p w:rsidR="00A77786" w:rsidRPr="00894064" w:rsidRDefault="00A77786" w:rsidP="00A77786">
      <w:pPr>
        <w:spacing w:after="0" w:line="240" w:lineRule="auto"/>
        <w:jc w:val="both"/>
      </w:pPr>
      <w:r w:rsidRPr="00894064">
        <w:t>Le specifiche del principio attivo sono appropriate e controllati con metodi analitici adeguatamente convalidati. Sono stati forniti certificati analitici che confermano la qualità del principio attivo.</w:t>
      </w:r>
    </w:p>
    <w:p w:rsidR="000A7624" w:rsidRDefault="000A7624" w:rsidP="000A7624">
      <w:pPr>
        <w:spacing w:after="0" w:line="240" w:lineRule="auto"/>
        <w:jc w:val="both"/>
      </w:pPr>
      <w:r>
        <w:t xml:space="preserve">Il principio attivo è confezionato in un adeguato contenitore, per il quale sono stati forniti specifiche e certificati analitici. Il confezionamento primario è costituito da una doppia busta di polietilene poste all’interno di un fusto di cartone. Sono stati forniti adeguati studi di stabilità per il principio attivo conservato nel confezionamento proposto per il commercio. Sulla base di questi dati, è stato approvato un periodo di </w:t>
      </w:r>
      <w:proofErr w:type="spellStart"/>
      <w:r>
        <w:t>retest</w:t>
      </w:r>
      <w:proofErr w:type="spellEnd"/>
      <w:r>
        <w:t xml:space="preserve"> di 5 anni.</w:t>
      </w:r>
    </w:p>
    <w:p w:rsidR="000A7624" w:rsidRDefault="000A7624" w:rsidP="000A7624">
      <w:pPr>
        <w:spacing w:after="0" w:line="240" w:lineRule="auto"/>
        <w:jc w:val="both"/>
        <w:rPr>
          <w:highlight w:val="magenta"/>
        </w:rPr>
      </w:pPr>
    </w:p>
    <w:p w:rsidR="000A7624" w:rsidRDefault="000A7624" w:rsidP="000A7624">
      <w:pPr>
        <w:spacing w:after="0" w:line="240" w:lineRule="auto"/>
        <w:jc w:val="both"/>
        <w:rPr>
          <w:rStyle w:val="s1"/>
          <w:rFonts w:ascii="Calibri" w:hAnsi="Calibri"/>
          <w:vertAlign w:val="subscript"/>
        </w:rPr>
      </w:pPr>
      <w:bookmarkStart w:id="1" w:name="_GoBack"/>
      <w:bookmarkEnd w:id="1"/>
    </w:p>
    <w:p w:rsidR="000A7624" w:rsidRDefault="000A7624" w:rsidP="000A7624">
      <w:pPr>
        <w:spacing w:after="0" w:line="240" w:lineRule="auto"/>
        <w:jc w:val="both"/>
        <w:rPr>
          <w:b/>
        </w:rPr>
      </w:pPr>
      <w:r>
        <w:rPr>
          <w:b/>
        </w:rPr>
        <w:t>II.2 PRODOTTO FINITO</w:t>
      </w:r>
    </w:p>
    <w:p w:rsidR="000A7624" w:rsidRDefault="000A7624" w:rsidP="000A7624">
      <w:pPr>
        <w:spacing w:after="0" w:line="240" w:lineRule="auto"/>
        <w:jc w:val="both"/>
        <w:rPr>
          <w:b/>
        </w:rPr>
      </w:pPr>
      <w:r>
        <w:rPr>
          <w:b/>
        </w:rPr>
        <w:t>Descrizione e composizione</w:t>
      </w:r>
    </w:p>
    <w:p w:rsidR="000A7624" w:rsidRDefault="000A7624" w:rsidP="000A7624">
      <w:pPr>
        <w:spacing w:after="0" w:line="240" w:lineRule="auto"/>
        <w:jc w:val="both"/>
      </w:pPr>
      <w:proofErr w:type="spellStart"/>
      <w:r>
        <w:t>Levosulpiride</w:t>
      </w:r>
      <w:proofErr w:type="spellEnd"/>
      <w:r>
        <w:t xml:space="preserve"> EG è disponibile </w:t>
      </w:r>
      <w:r>
        <w:rPr>
          <w:rFonts w:eastAsia="Calibri" w:cs="Calibri"/>
          <w:lang w:eastAsia="it-IT"/>
        </w:rPr>
        <w:t>come gocce orali contenenti il principio attivo alla concentrazione di 25 mg/ml e compresse contenenti 25 mg di principio attivo.</w:t>
      </w:r>
    </w:p>
    <w:p w:rsidR="000A7624" w:rsidRDefault="000A7624" w:rsidP="000A7624">
      <w:pPr>
        <w:spacing w:after="0" w:line="240" w:lineRule="auto"/>
        <w:jc w:val="both"/>
        <w:rPr>
          <w:rStyle w:val="s1"/>
          <w:rFonts w:ascii="Calibri" w:hAnsi="Calibri"/>
        </w:rPr>
      </w:pPr>
      <w:r>
        <w:rPr>
          <w:rStyle w:val="s1"/>
          <w:rFonts w:ascii="Calibri" w:hAnsi="Calibri"/>
        </w:rPr>
        <w:t>Gli eccipienti delle compresse sono i seguenti: cellulosa microcristallina, lattosio monoidrato, magnesio stearato e sodio amido glicolato.</w:t>
      </w:r>
    </w:p>
    <w:p w:rsidR="000A7624" w:rsidRDefault="000A7624" w:rsidP="000A7624">
      <w:pPr>
        <w:spacing w:after="0" w:line="240" w:lineRule="auto"/>
        <w:jc w:val="both"/>
        <w:rPr>
          <w:b/>
        </w:rPr>
      </w:pPr>
      <w:r>
        <w:rPr>
          <w:rStyle w:val="s1"/>
          <w:rFonts w:ascii="Calibri" w:hAnsi="Calibri"/>
        </w:rPr>
        <w:t xml:space="preserve">Gli eccipienti delle gocce orali sono i seguenti: </w:t>
      </w:r>
      <w:r>
        <w:rPr>
          <w:rFonts w:ascii="Calibri" w:hAnsi="Calibri" w:cs="Arial"/>
        </w:rPr>
        <w:t xml:space="preserve">acido citrico anidro, saccarina sodica, metile </w:t>
      </w:r>
      <w:proofErr w:type="spellStart"/>
      <w:r>
        <w:rPr>
          <w:rFonts w:ascii="Calibri" w:hAnsi="Calibri" w:cs="Arial"/>
        </w:rPr>
        <w:t>p-idrossibenzoato</w:t>
      </w:r>
      <w:proofErr w:type="spellEnd"/>
      <w:r>
        <w:rPr>
          <w:rFonts w:ascii="Calibri" w:hAnsi="Calibri" w:cs="Arial"/>
        </w:rPr>
        <w:t xml:space="preserve">, propile </w:t>
      </w:r>
      <w:proofErr w:type="spellStart"/>
      <w:r>
        <w:rPr>
          <w:rFonts w:ascii="Calibri" w:hAnsi="Calibri" w:cs="Arial"/>
        </w:rPr>
        <w:t>p-idrossibenzoato</w:t>
      </w:r>
      <w:proofErr w:type="spellEnd"/>
      <w:r>
        <w:rPr>
          <w:rFonts w:ascii="Calibri" w:hAnsi="Calibri" w:cs="Arial"/>
        </w:rPr>
        <w:t>, aroma limone, acqua depurata.</w:t>
      </w:r>
    </w:p>
    <w:p w:rsidR="00445F97" w:rsidRPr="005F7971" w:rsidRDefault="00445F97" w:rsidP="00445F97">
      <w:pPr>
        <w:spacing w:after="0" w:line="240" w:lineRule="auto"/>
        <w:ind w:right="13"/>
        <w:jc w:val="both"/>
      </w:pPr>
      <w:r w:rsidRPr="00D64F23">
        <w:rPr>
          <w:rStyle w:val="s1"/>
          <w:rFonts w:ascii="Calibri" w:hAnsi="Calibri"/>
        </w:rPr>
        <w:t>Tutti gli eccipienti sono conformi alla relativa monografia di Farmacopea Europea</w:t>
      </w:r>
      <w:r>
        <w:rPr>
          <w:rStyle w:val="s1"/>
          <w:rFonts w:ascii="Calibri" w:hAnsi="Calibri"/>
        </w:rPr>
        <w:t xml:space="preserve">, ad eccezione dell’aroma limone </w:t>
      </w:r>
      <w:r w:rsidRPr="00F93450">
        <w:t>le cui specifiche sono state adeguatamente definite dal produttore</w:t>
      </w:r>
      <w:r>
        <w:t xml:space="preserve"> ed è, inoltre, conforme alla normativa vigente sugli aromi.</w:t>
      </w:r>
    </w:p>
    <w:p w:rsidR="007B251F" w:rsidRPr="00C32E3A" w:rsidRDefault="007B251F" w:rsidP="007B251F">
      <w:pPr>
        <w:spacing w:after="0" w:line="240" w:lineRule="auto"/>
        <w:jc w:val="both"/>
      </w:pPr>
      <w:r w:rsidRPr="00C32E3A">
        <w:t>Il solo eccipiente di origine animale è il lattosio; è stata fornita una dichiarazione che nella sua produzione sono utilizzati animali sani della stessa qualità utilizzata per il consumo umano.</w:t>
      </w:r>
    </w:p>
    <w:p w:rsidR="008445DA" w:rsidRPr="00A01F72" w:rsidRDefault="00B3262E" w:rsidP="0059098E">
      <w:pPr>
        <w:spacing w:after="0" w:line="240" w:lineRule="auto"/>
        <w:jc w:val="both"/>
        <w:rPr>
          <w:rStyle w:val="s1"/>
          <w:rFonts w:ascii="Calibri" w:hAnsi="Calibri"/>
        </w:rPr>
      </w:pPr>
      <w:r w:rsidRPr="00D64F23">
        <w:rPr>
          <w:rStyle w:val="s1"/>
          <w:rFonts w:ascii="Calibri" w:hAnsi="Calibri"/>
        </w:rPr>
        <w:t>Nessun eccipiente è ottenuto da organismi geneticamente modificati; non sono presenti eccipienti mai utilizzati nell’uomo.</w:t>
      </w:r>
    </w:p>
    <w:p w:rsidR="008445DA" w:rsidRDefault="008445DA" w:rsidP="0059098E">
      <w:pPr>
        <w:spacing w:after="0" w:line="240" w:lineRule="auto"/>
        <w:jc w:val="both"/>
        <w:rPr>
          <w:rStyle w:val="s1"/>
          <w:rFonts w:ascii="Calibri" w:hAnsi="Calibri"/>
        </w:rPr>
      </w:pPr>
    </w:p>
    <w:p w:rsidR="00DC49CC" w:rsidRPr="00894064" w:rsidRDefault="00DC49CC" w:rsidP="0059098E">
      <w:pPr>
        <w:spacing w:after="0" w:line="240" w:lineRule="auto"/>
        <w:jc w:val="both"/>
        <w:rPr>
          <w:b/>
        </w:rPr>
      </w:pPr>
      <w:r w:rsidRPr="00894064">
        <w:rPr>
          <w:b/>
        </w:rPr>
        <w:t>Sviluppo farmaceutico</w:t>
      </w:r>
    </w:p>
    <w:p w:rsidR="008445DA" w:rsidRPr="00097D78" w:rsidRDefault="008445DA" w:rsidP="0059098E">
      <w:pPr>
        <w:spacing w:after="0" w:line="240" w:lineRule="auto"/>
        <w:jc w:val="both"/>
      </w:pPr>
      <w:r w:rsidRPr="00097D78">
        <w:t>Sono stati forniti dettagli dello sviluppo farmaceutico e questi sono stati ritenuti soddisfacenti.</w:t>
      </w:r>
    </w:p>
    <w:p w:rsidR="008445DA" w:rsidRPr="00097D78" w:rsidRDefault="008445DA" w:rsidP="0059098E">
      <w:pPr>
        <w:spacing w:after="0" w:line="240" w:lineRule="auto"/>
        <w:jc w:val="both"/>
      </w:pPr>
      <w:r w:rsidRPr="00097D78">
        <w:t xml:space="preserve">Lo scopo era quello di ottenere un medicinale </w:t>
      </w:r>
      <w:proofErr w:type="spellStart"/>
      <w:r w:rsidRPr="00097D78">
        <w:t>bioequivalente</w:t>
      </w:r>
      <w:proofErr w:type="spellEnd"/>
      <w:r w:rsidRPr="00097D78">
        <w:t xml:space="preserve"> al medicinale di riferimento </w:t>
      </w:r>
      <w:proofErr w:type="spellStart"/>
      <w:r>
        <w:t>Levopraid</w:t>
      </w:r>
      <w:proofErr w:type="spellEnd"/>
      <w:r w:rsidRPr="00097D78">
        <w:t>.</w:t>
      </w:r>
    </w:p>
    <w:p w:rsidR="008445DA" w:rsidRDefault="008445DA" w:rsidP="0059098E">
      <w:pPr>
        <w:spacing w:after="0" w:line="240" w:lineRule="auto"/>
        <w:jc w:val="both"/>
      </w:pPr>
      <w:r w:rsidRPr="00C97A20">
        <w:t>Sono stati forniti dati comparati</w:t>
      </w:r>
      <w:r>
        <w:t>v</w:t>
      </w:r>
      <w:r w:rsidRPr="00C97A20">
        <w:t>i relativi al profilo di dissoluzione e al profilo di impurezze rispetto al medicinale di riferimento. I dati sono soddisfacenti.</w:t>
      </w:r>
    </w:p>
    <w:p w:rsidR="008445DA" w:rsidRDefault="008445DA" w:rsidP="0059098E">
      <w:pPr>
        <w:spacing w:after="0" w:line="240" w:lineRule="auto"/>
        <w:jc w:val="both"/>
      </w:pPr>
    </w:p>
    <w:p w:rsidR="00DC49CC" w:rsidRPr="00894064" w:rsidRDefault="00DC49CC" w:rsidP="0059098E">
      <w:pPr>
        <w:spacing w:after="0" w:line="240" w:lineRule="auto"/>
        <w:jc w:val="both"/>
        <w:rPr>
          <w:b/>
        </w:rPr>
      </w:pPr>
      <w:r w:rsidRPr="00894064">
        <w:rPr>
          <w:b/>
        </w:rPr>
        <w:t xml:space="preserve">Produzione </w:t>
      </w:r>
    </w:p>
    <w:p w:rsidR="008445DA" w:rsidRPr="00C97A20" w:rsidRDefault="008445DA" w:rsidP="0059098E">
      <w:pPr>
        <w:spacing w:after="0" w:line="240" w:lineRule="auto"/>
        <w:jc w:val="both"/>
      </w:pPr>
      <w:r w:rsidRPr="00C97A20">
        <w:t>Sono stati forniti una descrizione del metodo di produzione e la relativa flow-chart.</w:t>
      </w:r>
    </w:p>
    <w:p w:rsidR="008445DA" w:rsidRPr="00C97A20" w:rsidRDefault="008445DA" w:rsidP="0059098E">
      <w:pPr>
        <w:spacing w:after="0" w:line="240" w:lineRule="auto"/>
        <w:jc w:val="both"/>
      </w:pPr>
      <w:r w:rsidRPr="00C97A20">
        <w:t>I controlli effettuati nel corso della produzione sono appropriati per la natura del medicinale e del metodo di produzione. Sono stati forniti, inoltre, dati soddisfacenti relativi alla convalida del metodo di produzione.</w:t>
      </w:r>
    </w:p>
    <w:p w:rsidR="000A7624" w:rsidRPr="00894064" w:rsidRDefault="000A7624" w:rsidP="0059098E">
      <w:pPr>
        <w:spacing w:after="0" w:line="240" w:lineRule="auto"/>
        <w:jc w:val="both"/>
      </w:pPr>
    </w:p>
    <w:p w:rsidR="00DC49CC" w:rsidRPr="00894064" w:rsidRDefault="00DC49CC" w:rsidP="0059098E">
      <w:pPr>
        <w:spacing w:after="0" w:line="240" w:lineRule="auto"/>
        <w:jc w:val="both"/>
        <w:rPr>
          <w:b/>
        </w:rPr>
      </w:pPr>
      <w:r w:rsidRPr="00894064">
        <w:rPr>
          <w:b/>
        </w:rPr>
        <w:lastRenderedPageBreak/>
        <w:t>Specifiche del prodotto finito</w:t>
      </w:r>
    </w:p>
    <w:p w:rsidR="008445DA" w:rsidRPr="00C97A20" w:rsidRDefault="008445DA" w:rsidP="0059098E">
      <w:pPr>
        <w:spacing w:after="0" w:line="240" w:lineRule="auto"/>
        <w:jc w:val="both"/>
      </w:pPr>
      <w:r w:rsidRPr="00C97A20">
        <w:t xml:space="preserve">Sono state fornite adeguate specifiche di controllo per il prodotto finito al rilascio e alla fine della validità. I metodi analitici sono stati descritti e adeguatamente convalidati. Sono stati forniti, inoltre, dati analitici per </w:t>
      </w:r>
      <w:r w:rsidR="007B251F">
        <w:t>il</w:t>
      </w:r>
      <w:r w:rsidRPr="00C97A20">
        <w:t xml:space="preserve"> prodotto finito: questi dati dimostrano che i lotti prodotti sono in accordo alle specifiche proposte. Sono stati forniti, infine, certificati analitici per gli standard di riferimento utilizzati.</w:t>
      </w:r>
    </w:p>
    <w:p w:rsidR="00DC49CC" w:rsidRDefault="00DC49CC" w:rsidP="0059098E">
      <w:pPr>
        <w:spacing w:after="0" w:line="240" w:lineRule="auto"/>
        <w:jc w:val="both"/>
        <w:rPr>
          <w:b/>
        </w:rPr>
      </w:pPr>
    </w:p>
    <w:p w:rsidR="00DC49CC" w:rsidRPr="00894064" w:rsidRDefault="00DC49CC" w:rsidP="0059098E">
      <w:pPr>
        <w:spacing w:after="0" w:line="240" w:lineRule="auto"/>
        <w:jc w:val="both"/>
        <w:rPr>
          <w:b/>
        </w:rPr>
      </w:pPr>
      <w:r w:rsidRPr="00894064">
        <w:rPr>
          <w:b/>
        </w:rPr>
        <w:t>Contenitore</w:t>
      </w:r>
    </w:p>
    <w:p w:rsidR="00967924" w:rsidRDefault="007B251F" w:rsidP="0059098E">
      <w:pPr>
        <w:spacing w:after="0" w:line="240" w:lineRule="auto"/>
        <w:jc w:val="both"/>
      </w:pPr>
      <w:r>
        <w:t xml:space="preserve">Le compresse di </w:t>
      </w:r>
      <w:proofErr w:type="spellStart"/>
      <w:r w:rsidR="00E307AA">
        <w:t>Levosulpiride</w:t>
      </w:r>
      <w:proofErr w:type="spellEnd"/>
      <w:r w:rsidR="00E307AA">
        <w:t xml:space="preserve"> </w:t>
      </w:r>
      <w:r w:rsidR="00323123">
        <w:t>Ipso Pharma</w:t>
      </w:r>
      <w:r w:rsidR="00967924" w:rsidRPr="00C97A20">
        <w:t xml:space="preserve"> </w:t>
      </w:r>
      <w:r>
        <w:t>sono</w:t>
      </w:r>
      <w:r w:rsidR="00967924" w:rsidRPr="00C97A20">
        <w:t xml:space="preserve"> confezionat</w:t>
      </w:r>
      <w:r>
        <w:t>e</w:t>
      </w:r>
      <w:r w:rsidR="00967924" w:rsidRPr="00C97A20">
        <w:t xml:space="preserve"> </w:t>
      </w:r>
      <w:r w:rsidR="00967924">
        <w:t>in blister PVC/PVDC</w:t>
      </w:r>
      <w:r w:rsidR="00D64F23">
        <w:t xml:space="preserve"> </w:t>
      </w:r>
      <w:r>
        <w:t xml:space="preserve">e le gocce orali in </w:t>
      </w:r>
      <w:r w:rsidR="00967924" w:rsidRPr="00967924">
        <w:t xml:space="preserve">flacone contagocce </w:t>
      </w:r>
      <w:r>
        <w:t>di</w:t>
      </w:r>
      <w:r w:rsidR="00967924" w:rsidRPr="00967924">
        <w:t xml:space="preserve"> vetro</w:t>
      </w:r>
      <w:r w:rsidR="00967924" w:rsidRPr="00C97A20">
        <w:t>. Sono state fornite specifiche e certificati analitici per tutti i componenti del confezionamento primario, che è adeguato per il medicinale.</w:t>
      </w:r>
    </w:p>
    <w:p w:rsidR="00DC49CC" w:rsidRPr="00894064" w:rsidRDefault="00DC49CC" w:rsidP="0059098E">
      <w:pPr>
        <w:spacing w:after="0" w:line="240" w:lineRule="auto"/>
        <w:jc w:val="both"/>
      </w:pPr>
    </w:p>
    <w:p w:rsidR="00DC49CC" w:rsidRPr="00894064" w:rsidRDefault="00DC49CC" w:rsidP="0059098E">
      <w:pPr>
        <w:spacing w:after="0" w:line="240" w:lineRule="auto"/>
        <w:jc w:val="both"/>
        <w:rPr>
          <w:b/>
        </w:rPr>
      </w:pPr>
      <w:r w:rsidRPr="00894064">
        <w:rPr>
          <w:b/>
        </w:rPr>
        <w:t>Stabilità</w:t>
      </w:r>
    </w:p>
    <w:p w:rsidR="00967924" w:rsidRPr="00DC2CE8" w:rsidRDefault="00967924" w:rsidP="0059098E">
      <w:pPr>
        <w:spacing w:after="0" w:line="240" w:lineRule="auto"/>
        <w:jc w:val="both"/>
      </w:pPr>
      <w:r w:rsidRPr="00C97A20">
        <w:t xml:space="preserve">Studi di stabilità sul prodotto finito sono stati condotti in accordo alle correnti linee guida e i risultati sono entro i limiti delle specifiche autorizzate. Sulla base di questi risultati, è stato autorizzato un periodo di validità di </w:t>
      </w:r>
      <w:r>
        <w:t>3 anni</w:t>
      </w:r>
      <w:r w:rsidRPr="00C97A20">
        <w:t xml:space="preserve">  senza nessuna condizione particolare di conservazione</w:t>
      </w:r>
      <w:r>
        <w:t xml:space="preserve"> per le compresse, mentre per le gocce orali è stato autorizzato un </w:t>
      </w:r>
      <w:r w:rsidRPr="00C97A20">
        <w:t>periodo di validità d</w:t>
      </w:r>
      <w:r>
        <w:t>i 2 anni</w:t>
      </w:r>
      <w:r w:rsidRPr="00DC2CE8">
        <w:t>.</w:t>
      </w:r>
      <w:r>
        <w:t xml:space="preserve"> Inoltre</w:t>
      </w:r>
      <w:r w:rsidR="007B251F">
        <w:t>,</w:t>
      </w:r>
      <w:r>
        <w:t xml:space="preserve"> le gocce orali devono essere utilizzate entro </w:t>
      </w:r>
      <w:r w:rsidRPr="00967924">
        <w:t>4 settimane dalla prima apertura del flacone</w:t>
      </w:r>
      <w:r w:rsidR="007B251F">
        <w:t>.</w:t>
      </w:r>
    </w:p>
    <w:p w:rsidR="00DC49CC" w:rsidRPr="00894064" w:rsidRDefault="00DC49CC" w:rsidP="0059098E">
      <w:pPr>
        <w:spacing w:after="0" w:line="240" w:lineRule="auto"/>
        <w:jc w:val="both"/>
      </w:pPr>
    </w:p>
    <w:p w:rsidR="00DC49CC" w:rsidRPr="00894064" w:rsidRDefault="00DC49CC" w:rsidP="0059098E">
      <w:pPr>
        <w:spacing w:after="0" w:line="240" w:lineRule="auto"/>
        <w:jc w:val="both"/>
        <w:rPr>
          <w:b/>
        </w:rPr>
      </w:pPr>
      <w:r w:rsidRPr="00894064">
        <w:rPr>
          <w:b/>
        </w:rPr>
        <w:t>II.3 Discussione sugli aspetti di qualità</w:t>
      </w:r>
    </w:p>
    <w:p w:rsidR="00C352A1" w:rsidRDefault="00C352A1" w:rsidP="0059098E">
      <w:pPr>
        <w:spacing w:after="0" w:line="240" w:lineRule="auto"/>
        <w:jc w:val="both"/>
      </w:pPr>
      <w:r>
        <w:t xml:space="preserve">Tutte le criticità evidenziate nel corso della valutazione sono state risolte e la qualità di </w:t>
      </w:r>
      <w:proofErr w:type="spellStart"/>
      <w:r w:rsidR="00E307AA">
        <w:t>Levosulpiride</w:t>
      </w:r>
      <w:proofErr w:type="spellEnd"/>
      <w:r w:rsidR="00E307AA">
        <w:t xml:space="preserve"> </w:t>
      </w:r>
      <w:r w:rsidR="00323123">
        <w:t>Ipso Pharma</w:t>
      </w:r>
      <w:r w:rsidR="00E307AA" w:rsidRPr="00C97A20">
        <w:t xml:space="preserve"> </w:t>
      </w:r>
      <w:r>
        <w:t xml:space="preserve">è considerata adeguata. Non ci sono obiezioni per l’approvazione di </w:t>
      </w:r>
      <w:proofErr w:type="spellStart"/>
      <w:r w:rsidR="00E307AA">
        <w:t>Levosulpiride</w:t>
      </w:r>
      <w:proofErr w:type="spellEnd"/>
      <w:r w:rsidR="00E307AA">
        <w:t xml:space="preserve"> </w:t>
      </w:r>
      <w:r w:rsidR="00323123">
        <w:t>Ipso Pharma</w:t>
      </w:r>
      <w:r w:rsidR="00E307AA" w:rsidRPr="00C97A20">
        <w:t xml:space="preserve"> </w:t>
      </w:r>
      <w:r>
        <w:t>dal punto di vista chimico-farmaceutico.</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pStyle w:val="Paragrafoelenco"/>
        <w:numPr>
          <w:ilvl w:val="0"/>
          <w:numId w:val="7"/>
        </w:numPr>
        <w:spacing w:after="0" w:line="240" w:lineRule="auto"/>
        <w:jc w:val="both"/>
        <w:rPr>
          <w:b/>
        </w:rPr>
      </w:pPr>
      <w:r w:rsidRPr="00894064">
        <w:rPr>
          <w:b/>
        </w:rPr>
        <w:t>ASPETTI NON CLINICI</w:t>
      </w:r>
    </w:p>
    <w:p w:rsidR="00DC49CC" w:rsidRPr="00894064" w:rsidRDefault="00DC49CC" w:rsidP="0059098E">
      <w:pPr>
        <w:spacing w:after="0" w:line="240" w:lineRule="auto"/>
        <w:jc w:val="both"/>
      </w:pPr>
      <w:r w:rsidRPr="00894064">
        <w:t xml:space="preserve">Non sono stati condotti specifici studi non clinici, in quanto </w:t>
      </w:r>
      <w:proofErr w:type="spellStart"/>
      <w:r w:rsidR="00E307AA">
        <w:rPr>
          <w:snapToGrid w:val="0"/>
        </w:rPr>
        <w:t>Levosulpiride</w:t>
      </w:r>
      <w:proofErr w:type="spellEnd"/>
      <w:r w:rsidR="00E307AA">
        <w:rPr>
          <w:snapToGrid w:val="0"/>
        </w:rPr>
        <w:t xml:space="preserve"> </w:t>
      </w:r>
      <w:r w:rsidR="00323123">
        <w:rPr>
          <w:snapToGrid w:val="0"/>
        </w:rPr>
        <w:t>Ipso Pharma</w:t>
      </w:r>
      <w:r w:rsidR="00320B87">
        <w:rPr>
          <w:snapToGrid w:val="0"/>
        </w:rPr>
        <w:t xml:space="preserve"> </w:t>
      </w:r>
      <w:r w:rsidRPr="00894064">
        <w:t xml:space="preserve">contiene un principio attivo noto: questo approccio è accettabile poiché il medicinale di riferimento </w:t>
      </w:r>
      <w:proofErr w:type="spellStart"/>
      <w:r w:rsidR="00320B87">
        <w:t>Levopraid</w:t>
      </w:r>
      <w:proofErr w:type="spellEnd"/>
      <w:r w:rsidR="00320B87">
        <w:t xml:space="preserve"> </w:t>
      </w:r>
      <w:r w:rsidRPr="00894064">
        <w:t xml:space="preserve"> è autorizzato in Italia da oltre 10 anni.</w:t>
      </w:r>
    </w:p>
    <w:p w:rsidR="00DC49CC" w:rsidRPr="00894064" w:rsidRDefault="00DC49CC" w:rsidP="0059098E">
      <w:pPr>
        <w:spacing w:after="0" w:line="240" w:lineRule="auto"/>
        <w:jc w:val="both"/>
      </w:pPr>
      <w:r w:rsidRPr="00894064">
        <w:t>Non ci sono obiezioni per l’approvazione dal punto di vista non clinico.</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pStyle w:val="Paragrafoelenco"/>
        <w:numPr>
          <w:ilvl w:val="0"/>
          <w:numId w:val="7"/>
        </w:numPr>
        <w:spacing w:after="0" w:line="240" w:lineRule="auto"/>
        <w:jc w:val="both"/>
        <w:rPr>
          <w:b/>
        </w:rPr>
      </w:pPr>
      <w:r w:rsidRPr="00894064">
        <w:rPr>
          <w:b/>
        </w:rPr>
        <w:t>ASPETTI CLINICI</w:t>
      </w:r>
    </w:p>
    <w:p w:rsidR="00320B87" w:rsidRPr="007760A3" w:rsidRDefault="00E307AA" w:rsidP="0059098E">
      <w:pPr>
        <w:widowControl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r w:rsidR="00323123">
        <w:rPr>
          <w:snapToGrid w:val="0"/>
        </w:rPr>
        <w:t>Ipso Pharma</w:t>
      </w:r>
      <w:r w:rsidR="00320B87" w:rsidRPr="007760A3">
        <w:rPr>
          <w:rFonts w:cs="Calibri"/>
          <w:color w:val="000000"/>
          <w:lang w:eastAsia="it-IT"/>
        </w:rPr>
        <w:t xml:space="preserve"> è utilizzato per</w:t>
      </w:r>
      <w:r w:rsidR="00320B87">
        <w:rPr>
          <w:rFonts w:cs="Calibri"/>
          <w:color w:val="000000"/>
          <w:lang w:eastAsia="it-IT"/>
        </w:rPr>
        <w:t xml:space="preserve"> il trattamento di</w:t>
      </w:r>
      <w:r w:rsidR="00320B87" w:rsidRPr="007760A3">
        <w:rPr>
          <w:rFonts w:cs="Calibri"/>
          <w:color w:val="000000"/>
          <w:lang w:eastAsia="it-IT"/>
        </w:rPr>
        <w:t>:</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Sindrome dispeptica (anoressia, meteorismo, senso di tensione epigastrica, cefalea postprandiale, pirosi, eruttazioni, diarrea, stipsi) da ritardato svuotamento gastrico legato a fattori organici (</w:t>
      </w:r>
      <w:proofErr w:type="spellStart"/>
      <w:r w:rsidRPr="007B251F">
        <w:rPr>
          <w:rFonts w:cs="Calibri"/>
          <w:color w:val="000000"/>
          <w:lang w:eastAsia="it-IT"/>
        </w:rPr>
        <w:t>gastroparesi</w:t>
      </w:r>
      <w:proofErr w:type="spellEnd"/>
      <w:r w:rsidRPr="007B251F">
        <w:rPr>
          <w:rFonts w:cs="Calibri"/>
          <w:color w:val="000000"/>
          <w:lang w:eastAsia="it-IT"/>
        </w:rPr>
        <w:t xml:space="preserve"> diabetica, neoplasie, ecc.) e/o funzionali (somatizzazioni viscerali in soggetti ansioso-depressivi).</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Cefalea essenziale: forme vasomotorie (emicrania classica, comune, oftalmica, emiplegica, a grappolo) e forme muscolo-tensive.</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Vomito e nausea (post-operatorio o indotto da farmaci antiblastici).</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Vertigini di origine centrale e/o periferica.</w:t>
      </w:r>
    </w:p>
    <w:p w:rsidR="00DC49CC" w:rsidRPr="007760A3" w:rsidRDefault="00DC49CC" w:rsidP="0059098E">
      <w:pPr>
        <w:widowControl w:val="0"/>
        <w:spacing w:after="0" w:line="240" w:lineRule="auto"/>
        <w:jc w:val="both"/>
        <w:rPr>
          <w:rFonts w:cs="Calibri"/>
          <w:color w:val="000000"/>
          <w:lang w:eastAsia="it-IT"/>
        </w:rPr>
      </w:pPr>
    </w:p>
    <w:p w:rsidR="00DC49CC" w:rsidRPr="00716019" w:rsidRDefault="00DC49CC" w:rsidP="0059098E">
      <w:pPr>
        <w:spacing w:after="0" w:line="240" w:lineRule="auto"/>
        <w:ind w:right="6"/>
        <w:jc w:val="both"/>
        <w:rPr>
          <w:b/>
        </w:rPr>
      </w:pPr>
      <w:r w:rsidRPr="002B6D26">
        <w:rPr>
          <w:b/>
        </w:rPr>
        <w:t>Posologia e modalità di somministrazione</w:t>
      </w:r>
    </w:p>
    <w:p w:rsidR="00DC49CC" w:rsidRPr="00894064" w:rsidRDefault="00DC49CC" w:rsidP="0059098E">
      <w:pPr>
        <w:spacing w:after="0" w:line="240" w:lineRule="auto"/>
        <w:ind w:right="6"/>
        <w:jc w:val="both"/>
        <w:rPr>
          <w:rFonts w:cs="Calibri"/>
          <w:lang w:eastAsia="it-IT"/>
        </w:rPr>
      </w:pPr>
      <w:r w:rsidRPr="00894064">
        <w:t>Le informazioni sulla posologia e sulle modalità di somministrazione sono riportate nel Riassunto delle Caratteristiche del Prodotto pubblicato sul sito dell’Agenzia Italiana del Farmaco - AIFA /</w:t>
      </w:r>
      <w:r w:rsidRPr="00894064">
        <w:rPr>
          <w:rFonts w:cs="Calibri"/>
          <w:lang w:eastAsia="it-IT"/>
        </w:rPr>
        <w:t>(</w:t>
      </w:r>
      <w:hyperlink r:id="rId10" w:history="1">
        <w:r w:rsidRPr="00894064">
          <w:rPr>
            <w:rStyle w:val="Collegamentoipertestuale"/>
            <w:rFonts w:cs="Calibri"/>
          </w:rPr>
          <w:t>https://farmaci.agenziafarmaco.gov.it/bancadatifarmaci</w:t>
        </w:r>
      </w:hyperlink>
      <w:r w:rsidRPr="00894064">
        <w:rPr>
          <w:rFonts w:cs="Calibri"/>
          <w:lang w:eastAsia="it-IT"/>
        </w:rPr>
        <w:t>).</w:t>
      </w:r>
    </w:p>
    <w:p w:rsidR="00DC49CC" w:rsidRPr="00894064" w:rsidRDefault="00DC49CC" w:rsidP="0059098E">
      <w:pPr>
        <w:spacing w:after="0" w:line="240" w:lineRule="auto"/>
        <w:ind w:right="6"/>
        <w:jc w:val="both"/>
        <w:rPr>
          <w:rFonts w:cs="Calibri"/>
          <w:lang w:eastAsia="it-IT"/>
        </w:rPr>
      </w:pPr>
    </w:p>
    <w:p w:rsidR="00DC49CC" w:rsidRPr="00894064" w:rsidRDefault="00DC49CC" w:rsidP="0059098E">
      <w:pPr>
        <w:spacing w:after="0" w:line="240" w:lineRule="auto"/>
        <w:ind w:right="6"/>
        <w:jc w:val="both"/>
        <w:rPr>
          <w:rFonts w:cs="Calibri"/>
          <w:b/>
          <w:lang w:eastAsia="it-IT"/>
        </w:rPr>
      </w:pPr>
      <w:r w:rsidRPr="00894064">
        <w:rPr>
          <w:rFonts w:cs="Calibri"/>
          <w:b/>
          <w:lang w:eastAsia="it-IT"/>
        </w:rPr>
        <w:t>Tossicologia</w:t>
      </w:r>
    </w:p>
    <w:p w:rsidR="00DC49CC" w:rsidRPr="00894064" w:rsidRDefault="00DC49CC" w:rsidP="0059098E">
      <w:pPr>
        <w:spacing w:after="0" w:line="240" w:lineRule="auto"/>
        <w:ind w:right="6"/>
        <w:jc w:val="both"/>
        <w:rPr>
          <w:rFonts w:cs="Calibri"/>
          <w:lang w:eastAsia="it-IT"/>
        </w:rPr>
      </w:pPr>
      <w:r w:rsidRPr="00894064">
        <w:rPr>
          <w:rFonts w:cs="Calibri"/>
          <w:lang w:eastAsia="it-IT"/>
        </w:rPr>
        <w:t>La</w:t>
      </w:r>
      <w:r w:rsidR="00320B87">
        <w:rPr>
          <w:rFonts w:cs="Calibri"/>
          <w:lang w:eastAsia="it-IT"/>
        </w:rPr>
        <w:t xml:space="preserve"> tossicologia di</w:t>
      </w:r>
      <w:r w:rsidRPr="00894064">
        <w:rPr>
          <w:rFonts w:cs="Calibri"/>
          <w:lang w:eastAsia="it-IT"/>
        </w:rPr>
        <w:t xml:space="preserve"> </w:t>
      </w:r>
      <w:proofErr w:type="spellStart"/>
      <w:r w:rsidR="00D64F23">
        <w:rPr>
          <w:rFonts w:cs="Calibri"/>
          <w:lang w:eastAsia="it-IT"/>
        </w:rPr>
        <w:t>l</w:t>
      </w:r>
      <w:r w:rsidR="00320B87">
        <w:rPr>
          <w:rFonts w:cs="Calibri"/>
          <w:lang w:eastAsia="it-IT"/>
        </w:rPr>
        <w:t>evosulpiride</w:t>
      </w:r>
      <w:proofErr w:type="spellEnd"/>
      <w:r w:rsidRPr="00894064">
        <w:t xml:space="preserve"> </w:t>
      </w:r>
      <w:r w:rsidRPr="00894064">
        <w:rPr>
          <w:rFonts w:cs="Calibri"/>
          <w:lang w:eastAsia="it-IT"/>
        </w:rPr>
        <w:t>è ben conosciuta; non è stato necessario presentare ulteriori dati.</w:t>
      </w:r>
    </w:p>
    <w:p w:rsidR="00DC49CC" w:rsidRPr="00894064" w:rsidRDefault="00DC49CC" w:rsidP="0059098E">
      <w:pPr>
        <w:spacing w:after="0" w:line="240" w:lineRule="auto"/>
        <w:ind w:right="6"/>
        <w:jc w:val="both"/>
        <w:rPr>
          <w:rFonts w:cs="Calibri"/>
          <w:lang w:eastAsia="it-IT"/>
        </w:rPr>
      </w:pPr>
    </w:p>
    <w:p w:rsidR="00DC49CC" w:rsidRPr="00894064" w:rsidRDefault="00DC49CC" w:rsidP="0059098E">
      <w:pPr>
        <w:spacing w:after="0" w:line="240" w:lineRule="auto"/>
        <w:ind w:right="6"/>
        <w:jc w:val="both"/>
        <w:rPr>
          <w:rFonts w:eastAsia="Times New Roman"/>
          <w:b/>
        </w:rPr>
      </w:pPr>
      <w:r w:rsidRPr="00894064">
        <w:rPr>
          <w:rFonts w:eastAsia="Times New Roman"/>
          <w:b/>
        </w:rPr>
        <w:t>Farmacologia clinica</w:t>
      </w:r>
    </w:p>
    <w:p w:rsidR="00DC49CC" w:rsidRPr="00894064" w:rsidRDefault="00DC49CC" w:rsidP="0059098E">
      <w:pPr>
        <w:spacing w:after="0" w:line="240" w:lineRule="auto"/>
        <w:jc w:val="both"/>
      </w:pPr>
      <w:r w:rsidRPr="00894064">
        <w:rPr>
          <w:rFonts w:cs="Calibri"/>
          <w:lang w:eastAsia="it-IT"/>
        </w:rPr>
        <w:t xml:space="preserve">La farmacologia clinica di </w:t>
      </w:r>
      <w:proofErr w:type="spellStart"/>
      <w:r w:rsidR="00320B87">
        <w:rPr>
          <w:rFonts w:cs="Calibri"/>
          <w:lang w:eastAsia="it-IT"/>
        </w:rPr>
        <w:t>levosulpiride</w:t>
      </w:r>
      <w:proofErr w:type="spellEnd"/>
      <w:r w:rsidRPr="00894064">
        <w:t xml:space="preserve"> </w:t>
      </w:r>
      <w:r w:rsidRPr="00894064">
        <w:rPr>
          <w:rFonts w:cs="Calibri"/>
          <w:lang w:eastAsia="it-IT"/>
        </w:rPr>
        <w:t>è ben conosciuta.</w:t>
      </w:r>
      <w:r>
        <w:t xml:space="preserve"> Con l’eccezione degli</w:t>
      </w:r>
      <w:r w:rsidRPr="00894064">
        <w:t xml:space="preserve"> studi di bioequivalenza, non sono stati condotti nuovi studi clinici di farmacodinamica e farmacocinetica, in quanto</w:t>
      </w:r>
      <w:r w:rsidR="007B251F">
        <w:t xml:space="preserve"> </w:t>
      </w:r>
      <w:proofErr w:type="spellStart"/>
      <w:r w:rsidR="00516411">
        <w:t>Levosulp</w:t>
      </w:r>
      <w:r w:rsidR="00E307AA">
        <w:t>iride</w:t>
      </w:r>
      <w:proofErr w:type="spellEnd"/>
      <w:r w:rsidR="00E307AA">
        <w:t xml:space="preserve"> </w:t>
      </w:r>
      <w:r w:rsidR="00323123">
        <w:t>Ipso Pharma</w:t>
      </w:r>
      <w:r w:rsidRPr="00894064">
        <w:t xml:space="preserve"> contiene un principio attivo noto e presente nel medicinale </w:t>
      </w:r>
      <w:proofErr w:type="spellStart"/>
      <w:r w:rsidR="00320B87">
        <w:t>Levopraid</w:t>
      </w:r>
      <w:proofErr w:type="spellEnd"/>
      <w:r w:rsidR="00320B87">
        <w:t xml:space="preserve"> </w:t>
      </w:r>
      <w:r w:rsidRPr="00894064">
        <w:t>autorizzato in Italia da più di 10 anni.</w:t>
      </w:r>
    </w:p>
    <w:p w:rsidR="00D64F23" w:rsidRDefault="00D64F23" w:rsidP="007B251F">
      <w:pPr>
        <w:spacing w:after="0" w:line="240" w:lineRule="auto"/>
        <w:jc w:val="both"/>
        <w:rPr>
          <w:rFonts w:cs="Arial"/>
          <w:b/>
        </w:rPr>
      </w:pPr>
    </w:p>
    <w:p w:rsidR="007B251F" w:rsidRDefault="007B251F" w:rsidP="007B251F">
      <w:pPr>
        <w:spacing w:after="0" w:line="240" w:lineRule="auto"/>
        <w:jc w:val="both"/>
        <w:rPr>
          <w:rFonts w:cs="Arial"/>
          <w:b/>
        </w:rPr>
      </w:pPr>
      <w:r w:rsidRPr="00AC5A92">
        <w:rPr>
          <w:rFonts w:cs="Arial"/>
          <w:b/>
        </w:rPr>
        <w:lastRenderedPageBreak/>
        <w:t>Efficacia e sicurezza clinica</w:t>
      </w:r>
    </w:p>
    <w:p w:rsidR="007B251F" w:rsidRDefault="007B251F" w:rsidP="007B251F">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sidR="00E307AA">
        <w:rPr>
          <w:rFonts w:eastAsia="Calibri" w:cs="Calibri"/>
          <w:color w:val="000000"/>
          <w:lang w:eastAsia="it-IT"/>
        </w:rPr>
        <w:t>Levosulpiride</w:t>
      </w:r>
      <w:proofErr w:type="spellEnd"/>
      <w:r w:rsidR="00E307AA">
        <w:rPr>
          <w:rFonts w:eastAsia="Calibri" w:cs="Calibri"/>
          <w:color w:val="000000"/>
          <w:lang w:eastAsia="it-IT"/>
        </w:rPr>
        <w:t xml:space="preserve"> </w:t>
      </w:r>
      <w:r w:rsidR="00323123">
        <w:rPr>
          <w:rFonts w:eastAsia="Calibri" w:cs="Calibri"/>
          <w:color w:val="000000"/>
          <w:lang w:eastAsia="it-IT"/>
        </w:rPr>
        <w:t>Ipso Pharma</w:t>
      </w:r>
      <w:r>
        <w:rPr>
          <w:rFonts w:cs="Arial"/>
        </w:rPr>
        <w:t xml:space="preserve"> è ben conosciuto; inoltre, per le gocce orali è stato possibile concedere l’esenzione dalla conduzione di studi clinici di confronto con il medicinale di riferimento in quanto </w:t>
      </w:r>
      <w:proofErr w:type="spellStart"/>
      <w:r w:rsidR="00E307AA">
        <w:rPr>
          <w:rFonts w:eastAsia="Calibri" w:cs="Calibri"/>
          <w:color w:val="000000"/>
          <w:lang w:eastAsia="it-IT"/>
        </w:rPr>
        <w:t>Levosulpiride</w:t>
      </w:r>
      <w:proofErr w:type="spellEnd"/>
      <w:r w:rsidR="00E307AA">
        <w:rPr>
          <w:rFonts w:eastAsia="Calibri" w:cs="Calibri"/>
          <w:color w:val="000000"/>
          <w:lang w:eastAsia="it-IT"/>
        </w:rPr>
        <w:t xml:space="preserve"> </w:t>
      </w:r>
      <w:r w:rsidR="00323123">
        <w:rPr>
          <w:rFonts w:eastAsia="Calibri" w:cs="Calibri"/>
          <w:color w:val="000000"/>
          <w:lang w:eastAsia="it-IT"/>
        </w:rPr>
        <w:t>Ipso Pharma</w:t>
      </w:r>
      <w:r>
        <w:rPr>
          <w:rFonts w:cs="Arial"/>
        </w:rPr>
        <w:t xml:space="preserve"> è somministrato come soluzione orale. Per le compresse è stato effettuato uno studio di </w:t>
      </w:r>
      <w:proofErr w:type="spellStart"/>
      <w:r>
        <w:rPr>
          <w:rFonts w:cs="Arial"/>
        </w:rPr>
        <w:t>bioquivalenza</w:t>
      </w:r>
      <w:proofErr w:type="spellEnd"/>
      <w:r>
        <w:rPr>
          <w:rFonts w:cs="Arial"/>
        </w:rPr>
        <w:t>.</w:t>
      </w:r>
    </w:p>
    <w:p w:rsidR="000B0D61" w:rsidRPr="00894064" w:rsidRDefault="000B0D61" w:rsidP="0059098E">
      <w:pPr>
        <w:spacing w:after="0" w:line="240" w:lineRule="auto"/>
        <w:jc w:val="both"/>
      </w:pPr>
    </w:p>
    <w:p w:rsidR="00DC49CC" w:rsidRPr="00DD3E4F" w:rsidRDefault="00CC37E2" w:rsidP="0059098E">
      <w:pPr>
        <w:spacing w:after="0" w:line="240" w:lineRule="auto"/>
        <w:jc w:val="both"/>
        <w:rPr>
          <w:b/>
        </w:rPr>
      </w:pPr>
      <w:r w:rsidRPr="00DD3E4F">
        <w:rPr>
          <w:b/>
        </w:rPr>
        <w:t>Studio di bioequivalenza</w:t>
      </w:r>
      <w:r w:rsidR="007B251F">
        <w:rPr>
          <w:b/>
        </w:rPr>
        <w:t xml:space="preserve"> – compresse </w:t>
      </w:r>
    </w:p>
    <w:p w:rsidR="00DC49CC" w:rsidRPr="00B95795" w:rsidRDefault="00DC49CC" w:rsidP="0059098E">
      <w:pPr>
        <w:spacing w:after="0" w:line="240" w:lineRule="auto"/>
        <w:jc w:val="both"/>
      </w:pPr>
      <w:r w:rsidRPr="00DD3E4F">
        <w:t xml:space="preserve">La richiesta di AIC </w:t>
      </w:r>
      <w:r w:rsidR="007B251F">
        <w:t xml:space="preserve">per le compresse </w:t>
      </w:r>
      <w:r w:rsidRPr="00DD3E4F">
        <w:t>è supportata</w:t>
      </w:r>
      <w:r w:rsidRPr="00B95795">
        <w:t xml:space="preserve"> da </w:t>
      </w:r>
      <w:r w:rsidR="00ED2C6B">
        <w:t>uno</w:t>
      </w:r>
      <w:r>
        <w:t xml:space="preserve"> studi</w:t>
      </w:r>
      <w:r w:rsidR="00ED2C6B">
        <w:t>o</w:t>
      </w:r>
      <w:r w:rsidRPr="00B95795">
        <w:t xml:space="preserve"> di bioequivalenza che ha confrontato i profili farmacocinetici di </w:t>
      </w:r>
      <w:proofErr w:type="spellStart"/>
      <w:r w:rsidR="00C352A1">
        <w:rPr>
          <w:snapToGrid w:val="0"/>
        </w:rPr>
        <w:t>levosul</w:t>
      </w:r>
      <w:r w:rsidR="00ED2C6B">
        <w:rPr>
          <w:snapToGrid w:val="0"/>
        </w:rPr>
        <w:t>piride</w:t>
      </w:r>
      <w:proofErr w:type="spellEnd"/>
      <w:r w:rsidRPr="00B95795">
        <w:t xml:space="preserve"> e quelli del medicinale di riferimento </w:t>
      </w:r>
      <w:proofErr w:type="spellStart"/>
      <w:r w:rsidR="00323123">
        <w:t>Levoprai</w:t>
      </w:r>
      <w:r w:rsidR="007B251F">
        <w:t>d</w:t>
      </w:r>
      <w:proofErr w:type="spellEnd"/>
      <w:r w:rsidR="007B251F">
        <w:t>.</w:t>
      </w:r>
    </w:p>
    <w:p w:rsidR="00DC49CC" w:rsidRPr="00B95795" w:rsidRDefault="00ED2C6B" w:rsidP="0059098E">
      <w:pPr>
        <w:pStyle w:val="Paragrafoelenco"/>
        <w:spacing w:after="0" w:line="240" w:lineRule="auto"/>
        <w:ind w:left="0"/>
        <w:jc w:val="both"/>
      </w:pPr>
      <w:r>
        <w:t>Lo</w:t>
      </w:r>
      <w:r w:rsidR="00DC49CC" w:rsidRPr="00B95795">
        <w:t xml:space="preserve"> studi</w:t>
      </w:r>
      <w:r>
        <w:t>o</w:t>
      </w:r>
      <w:r w:rsidR="00DC49CC" w:rsidRPr="00B95795">
        <w:t xml:space="preserve"> </w:t>
      </w:r>
      <w:r>
        <w:t>è</w:t>
      </w:r>
      <w:r w:rsidR="00DC49CC" w:rsidRPr="00B95795">
        <w:t xml:space="preserve"> caratterizzat</w:t>
      </w:r>
      <w:r>
        <w:t>o</w:t>
      </w:r>
      <w:r w:rsidR="00DC49CC" w:rsidRPr="00B95795">
        <w:t xml:space="preserve"> da u</w:t>
      </w:r>
      <w:r w:rsidR="00DC49CC">
        <w:t>n appropriato disegno e</w:t>
      </w:r>
      <w:r>
        <w:t xml:space="preserve">d è stato </w:t>
      </w:r>
      <w:r w:rsidR="00DC49CC" w:rsidRPr="00B95795">
        <w:t>condott</w:t>
      </w:r>
      <w:r>
        <w:t>o</w:t>
      </w:r>
      <w:r w:rsidR="00DC49CC" w:rsidRPr="00B95795">
        <w:t xml:space="preserve"> in accordo ai principi GCP. Sono stati forniti certificati analitici per medicinale test e medicinale di riferimento.</w:t>
      </w:r>
    </w:p>
    <w:p w:rsidR="00DC49CC" w:rsidRPr="00894064" w:rsidRDefault="00ED2C6B" w:rsidP="0059098E">
      <w:pPr>
        <w:spacing w:after="0" w:line="240" w:lineRule="auto"/>
        <w:jc w:val="both"/>
        <w:rPr>
          <w:rFonts w:cs="Arial"/>
        </w:rPr>
      </w:pPr>
      <w:r>
        <w:t xml:space="preserve">Lo studio </w:t>
      </w:r>
      <w:r w:rsidR="00DC49CC" w:rsidRPr="00B95795">
        <w:t xml:space="preserve">di bioequivalenza </w:t>
      </w:r>
      <w:r>
        <w:t>è</w:t>
      </w:r>
      <w:r w:rsidR="00DC49CC" w:rsidRPr="00B95795">
        <w:t xml:space="preserve"> uno studi</w:t>
      </w:r>
      <w:r>
        <w:t>o</w:t>
      </w:r>
      <w:r w:rsidR="00DC49CC" w:rsidRPr="00B95795">
        <w:t xml:space="preserve"> comparativ</w:t>
      </w:r>
      <w:r>
        <w:t>o</w:t>
      </w:r>
      <w:r w:rsidR="00DC49CC" w:rsidRPr="00894064">
        <w:t>, controllat</w:t>
      </w:r>
      <w:r>
        <w:t>o</w:t>
      </w:r>
      <w:r w:rsidR="00DC49CC" w:rsidRPr="00894064">
        <w:t>, randomizzat</w:t>
      </w:r>
      <w:r>
        <w:t>o</w:t>
      </w:r>
      <w:r w:rsidR="00DC49CC" w:rsidRPr="00894064">
        <w:t>, a dose singola, 2-periodi, crossover condott</w:t>
      </w:r>
      <w:r w:rsidR="00DC49CC">
        <w:t>i su 3</w:t>
      </w:r>
      <w:r w:rsidR="00E45EFF">
        <w:t>2</w:t>
      </w:r>
      <w:r w:rsidR="00DC49CC" w:rsidRPr="00894064">
        <w:t xml:space="preserve"> volontari sani con somministrazione a digiuno. </w:t>
      </w:r>
      <w:r w:rsidR="00DC49CC" w:rsidRPr="00894064">
        <w:rPr>
          <w:rFonts w:cs="Arial"/>
        </w:rPr>
        <w:t xml:space="preserve">Dopo una notte di digiuno, il medicinale è stato somministrato con acqua. </w:t>
      </w:r>
      <w:r w:rsidR="00DC49CC" w:rsidRPr="00894064">
        <w:t xml:space="preserve">Un soddisfacente periodo di wash-out di </w:t>
      </w:r>
      <w:r w:rsidR="00E45EFF">
        <w:rPr>
          <w:rFonts w:cs="Arial"/>
        </w:rPr>
        <w:t>6</w:t>
      </w:r>
      <w:r w:rsidR="00DC49CC" w:rsidRPr="00894064">
        <w:rPr>
          <w:rFonts w:cs="Arial"/>
        </w:rPr>
        <w:t xml:space="preserve"> giorni è stato previsto tra le somministrazioni in ogni gruppo.</w:t>
      </w:r>
    </w:p>
    <w:p w:rsidR="00DC49CC" w:rsidRPr="00894064" w:rsidRDefault="00DC49CC" w:rsidP="0059098E">
      <w:pPr>
        <w:pStyle w:val="Paragrafoelenco"/>
        <w:spacing w:after="0" w:line="240" w:lineRule="auto"/>
        <w:ind w:left="0"/>
        <w:jc w:val="both"/>
        <w:rPr>
          <w:rFonts w:cs="Arial"/>
        </w:rPr>
      </w:pPr>
      <w:r w:rsidRPr="00894064">
        <w:rPr>
          <w:rFonts w:cs="Arial"/>
        </w:rPr>
        <w:t>Campioni di sangue sono stati prelevati al tempo zero (</w:t>
      </w:r>
      <w:proofErr w:type="spellStart"/>
      <w:r w:rsidRPr="00894064">
        <w:rPr>
          <w:rFonts w:cs="Arial"/>
        </w:rPr>
        <w:t>pre-dose</w:t>
      </w:r>
      <w:proofErr w:type="spellEnd"/>
      <w:r w:rsidRPr="00894064">
        <w:rPr>
          <w:rFonts w:cs="Arial"/>
        </w:rPr>
        <w:t xml:space="preserve">) e a specificati tempi fino a </w:t>
      </w:r>
      <w:r w:rsidR="00E45EFF">
        <w:rPr>
          <w:rFonts w:cs="Arial"/>
        </w:rPr>
        <w:t>36</w:t>
      </w:r>
      <w:r w:rsidRPr="00894064">
        <w:rPr>
          <w:rFonts w:cs="Arial"/>
        </w:rPr>
        <w:t xml:space="preserve"> ore dopo la somministrazione. I livelli plasmatici dei due principi attivi sono stati determinati mediante un metodo analitico HPLC-MS-MS opportunamente convalidato.</w:t>
      </w:r>
    </w:p>
    <w:p w:rsidR="00DC49CC" w:rsidRPr="00894064" w:rsidRDefault="00DC49CC" w:rsidP="0059098E">
      <w:pPr>
        <w:pStyle w:val="Paragrafoelenco"/>
        <w:spacing w:after="0" w:line="240" w:lineRule="auto"/>
        <w:ind w:left="0"/>
        <w:jc w:val="both"/>
        <w:rPr>
          <w:rFonts w:cs="Arial"/>
        </w:rPr>
      </w:pPr>
      <w:r w:rsidRPr="00894064">
        <w:rPr>
          <w:rFonts w:cs="Arial"/>
        </w:rPr>
        <w:t xml:space="preserve">Le variabili farmacocinetiche definite per i due studi sono state: </w:t>
      </w:r>
      <w:proofErr w:type="spellStart"/>
      <w:r w:rsidRPr="00894064">
        <w:rPr>
          <w:rFonts w:cs="Arial"/>
        </w:rPr>
        <w:t>C</w:t>
      </w:r>
      <w:r w:rsidRPr="00894064">
        <w:rPr>
          <w:rFonts w:cs="Arial"/>
          <w:vertAlign w:val="subscript"/>
        </w:rPr>
        <w:t>max</w:t>
      </w:r>
      <w:proofErr w:type="spellEnd"/>
      <w:r w:rsidRPr="00894064">
        <w:rPr>
          <w:rFonts w:cs="Arial"/>
        </w:rPr>
        <w:t>, AUC</w:t>
      </w:r>
      <w:r w:rsidRPr="00894064">
        <w:rPr>
          <w:rFonts w:cs="Arial"/>
          <w:vertAlign w:val="subscript"/>
        </w:rPr>
        <w:t>0-t</w:t>
      </w:r>
      <w:r w:rsidRPr="00894064">
        <w:rPr>
          <w:rFonts w:cs="Arial"/>
        </w:rPr>
        <w:t>, AUC</w:t>
      </w:r>
      <w:r w:rsidRPr="00894064">
        <w:rPr>
          <w:rFonts w:cs="Arial"/>
          <w:vertAlign w:val="subscript"/>
        </w:rPr>
        <w:t>0-</w:t>
      </w:r>
      <w:r w:rsidRPr="00894064">
        <w:rPr>
          <w:rFonts w:cs="Arial"/>
          <w:vertAlign w:val="subscript"/>
          <w:lang w:val="en-GB"/>
        </w:rPr>
        <w:sym w:font="Symbol" w:char="00A5"/>
      </w:r>
      <w:r w:rsidRPr="00894064">
        <w:rPr>
          <w:rFonts w:cs="Arial"/>
        </w:rPr>
        <w:t xml:space="preserve">, </w:t>
      </w:r>
      <w:proofErr w:type="spellStart"/>
      <w:r w:rsidRPr="00894064">
        <w:rPr>
          <w:rFonts w:cs="Arial"/>
        </w:rPr>
        <w:t>t</w:t>
      </w:r>
      <w:r w:rsidRPr="00894064">
        <w:rPr>
          <w:rFonts w:cs="Arial"/>
          <w:vertAlign w:val="subscript"/>
        </w:rPr>
        <w:t>max</w:t>
      </w:r>
      <w:proofErr w:type="spellEnd"/>
      <w:r w:rsidRPr="00894064">
        <w:rPr>
          <w:rFonts w:cs="Arial"/>
        </w:rPr>
        <w:t xml:space="preserve">, </w:t>
      </w:r>
      <w:proofErr w:type="spellStart"/>
      <w:r w:rsidRPr="00894064">
        <w:rPr>
          <w:rFonts w:cs="Arial"/>
        </w:rPr>
        <w:t>t½</w:t>
      </w:r>
      <w:proofErr w:type="spellEnd"/>
      <w:r w:rsidRPr="00894064">
        <w:rPr>
          <w:rFonts w:cs="Arial"/>
        </w:rPr>
        <w:t xml:space="preserve"> e AUC estrapolata. La bioequivalenza tra medicinale test e medicinale di riferimento è dimostrata se gli intervalli di confidenza al 90% per la trasformata logaritmica di </w:t>
      </w:r>
      <w:proofErr w:type="spellStart"/>
      <w:r w:rsidRPr="00894064">
        <w:rPr>
          <w:rFonts w:cs="Arial"/>
        </w:rPr>
        <w:t>C</w:t>
      </w:r>
      <w:r w:rsidRPr="00894064">
        <w:rPr>
          <w:rFonts w:cs="Arial"/>
          <w:vertAlign w:val="subscript"/>
        </w:rPr>
        <w:t>max</w:t>
      </w:r>
      <w:r w:rsidRPr="00894064">
        <w:rPr>
          <w:rFonts w:cs="Arial"/>
        </w:rPr>
        <w:t>e</w:t>
      </w:r>
      <w:proofErr w:type="spellEnd"/>
      <w:r w:rsidRPr="00894064">
        <w:rPr>
          <w:rFonts w:cs="Arial"/>
        </w:rPr>
        <w:t xml:space="preserve"> AUC</w:t>
      </w:r>
      <w:r w:rsidRPr="00894064">
        <w:rPr>
          <w:rFonts w:cs="Arial"/>
          <w:vertAlign w:val="subscript"/>
        </w:rPr>
        <w:t>0-t</w:t>
      </w:r>
      <w:r w:rsidRPr="00894064">
        <w:rPr>
          <w:rFonts w:cs="Arial"/>
        </w:rPr>
        <w:t xml:space="preserve">, cadono nel </w:t>
      </w:r>
      <w:proofErr w:type="spellStart"/>
      <w:r w:rsidRPr="00894064">
        <w:rPr>
          <w:rFonts w:cs="Arial"/>
        </w:rPr>
        <w:t>range</w:t>
      </w:r>
      <w:proofErr w:type="spellEnd"/>
      <w:r w:rsidRPr="00894064">
        <w:rPr>
          <w:rFonts w:cs="Arial"/>
        </w:rPr>
        <w:t xml:space="preserve"> di accettabilità.</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rPr>
          <w:u w:val="single"/>
        </w:rPr>
      </w:pPr>
      <w:r w:rsidRPr="00894064">
        <w:rPr>
          <w:u w:val="single"/>
        </w:rPr>
        <w:t>Risultati</w:t>
      </w:r>
    </w:p>
    <w:p w:rsidR="00DC49CC" w:rsidRPr="00894064" w:rsidRDefault="00E45EFF" w:rsidP="0059098E">
      <w:pPr>
        <w:spacing w:after="0" w:line="240" w:lineRule="auto"/>
        <w:jc w:val="both"/>
      </w:pPr>
      <w:r>
        <w:rPr>
          <w:rFonts w:cs="Arial"/>
        </w:rPr>
        <w:t>Tutti i  volontari sani arruolati</w:t>
      </w:r>
      <w:r w:rsidR="00DC49CC" w:rsidRPr="00894064">
        <w:t xml:space="preserve"> hanno completato la fase clinica e sono stati analizzati.</w:t>
      </w:r>
    </w:p>
    <w:p w:rsidR="00DC49CC" w:rsidRPr="00894064" w:rsidRDefault="00DC49CC" w:rsidP="0059098E">
      <w:pPr>
        <w:pStyle w:val="Paragrafoelenco"/>
        <w:spacing w:after="0" w:line="240" w:lineRule="auto"/>
        <w:ind w:left="0"/>
        <w:jc w:val="both"/>
        <w:rPr>
          <w:rFonts w:cs="Arial"/>
          <w:b/>
          <w:i/>
        </w:rPr>
      </w:pPr>
    </w:p>
    <w:p w:rsidR="00DC49CC" w:rsidRPr="00FE0A84" w:rsidRDefault="00DC49CC" w:rsidP="0059098E">
      <w:pPr>
        <w:pStyle w:val="Didascalia"/>
        <w:keepNext/>
        <w:spacing w:before="0" w:after="0"/>
        <w:jc w:val="both"/>
        <w:outlineLvl w:val="0"/>
        <w:rPr>
          <w:rFonts w:ascii="Calibri" w:hAnsi="Calibri" w:cs="Arial"/>
          <w:b w:val="0"/>
          <w:i/>
          <w:sz w:val="22"/>
          <w:szCs w:val="22"/>
          <w:lang w:val="it-IT"/>
        </w:rPr>
      </w:pPr>
      <w:r w:rsidRPr="00894064">
        <w:rPr>
          <w:rFonts w:ascii="Calibri" w:hAnsi="Calibri" w:cs="Arial"/>
          <w:b w:val="0"/>
          <w:i/>
          <w:sz w:val="22"/>
          <w:szCs w:val="22"/>
          <w:lang w:val="it-IT"/>
        </w:rPr>
        <w:t>Sicurezza</w:t>
      </w:r>
    </w:p>
    <w:p w:rsidR="00DC49CC" w:rsidRPr="00894064" w:rsidRDefault="00DC49CC" w:rsidP="0059098E">
      <w:pPr>
        <w:pStyle w:val="Didascalia"/>
        <w:keepNext/>
        <w:spacing w:before="0" w:after="0"/>
        <w:jc w:val="both"/>
        <w:outlineLvl w:val="0"/>
        <w:rPr>
          <w:rFonts w:ascii="Calibri" w:hAnsi="Calibri" w:cs="Arial"/>
          <w:b w:val="0"/>
          <w:sz w:val="22"/>
          <w:szCs w:val="22"/>
          <w:lang w:val="it-IT"/>
        </w:rPr>
      </w:pPr>
      <w:r w:rsidRPr="00894064">
        <w:rPr>
          <w:rFonts w:ascii="Calibri" w:hAnsi="Calibri" w:cs="Arial"/>
          <w:b w:val="0"/>
          <w:sz w:val="22"/>
          <w:szCs w:val="22"/>
          <w:lang w:val="it-IT"/>
        </w:rPr>
        <w:t>Durante lo studio non sono stati rilevati eventi avversi gravi.</w:t>
      </w:r>
    </w:p>
    <w:p w:rsidR="00DC49CC" w:rsidRPr="00894064" w:rsidRDefault="00DC49CC" w:rsidP="0059098E">
      <w:pPr>
        <w:spacing w:after="0" w:line="240" w:lineRule="auto"/>
        <w:jc w:val="both"/>
      </w:pPr>
    </w:p>
    <w:p w:rsidR="00DC49CC" w:rsidRPr="00894064" w:rsidRDefault="00DC49CC" w:rsidP="0059098E">
      <w:pPr>
        <w:pStyle w:val="Didascalia"/>
        <w:keepNext/>
        <w:spacing w:before="0" w:after="0"/>
        <w:jc w:val="both"/>
        <w:outlineLvl w:val="0"/>
        <w:rPr>
          <w:rFonts w:ascii="Calibri" w:hAnsi="Calibri" w:cs="Arial"/>
          <w:b w:val="0"/>
          <w:sz w:val="22"/>
          <w:szCs w:val="22"/>
          <w:lang w:val="it-IT"/>
        </w:rPr>
      </w:pPr>
      <w:r w:rsidRPr="00894064">
        <w:rPr>
          <w:rFonts w:ascii="Calibri" w:hAnsi="Calibri" w:cs="Arial"/>
          <w:b w:val="0"/>
          <w:i/>
          <w:sz w:val="22"/>
          <w:szCs w:val="22"/>
          <w:lang w:val="it-IT"/>
        </w:rPr>
        <w:t>Parametri farmacocinetici</w:t>
      </w:r>
      <w:r w:rsidRPr="00894064">
        <w:rPr>
          <w:rFonts w:ascii="Calibri" w:hAnsi="Calibri" w:cs="Arial"/>
          <w:b w:val="0"/>
          <w:sz w:val="22"/>
          <w:szCs w:val="22"/>
          <w:lang w:val="it-IT"/>
        </w:rPr>
        <w:t xml:space="preserve">. </w:t>
      </w:r>
    </w:p>
    <w:p w:rsidR="00DC49CC" w:rsidRPr="00894064" w:rsidRDefault="00DC49CC" w:rsidP="0059098E">
      <w:pPr>
        <w:pStyle w:val="Didascalia"/>
        <w:keepNext/>
        <w:spacing w:before="0" w:after="0"/>
        <w:jc w:val="both"/>
        <w:outlineLvl w:val="0"/>
        <w:rPr>
          <w:rFonts w:ascii="Calibri" w:hAnsi="Calibri" w:cs="Arial"/>
          <w:b w:val="0"/>
          <w:sz w:val="22"/>
          <w:szCs w:val="22"/>
          <w:lang w:val="it-IT"/>
        </w:rPr>
      </w:pPr>
      <w:r>
        <w:rPr>
          <w:rFonts w:ascii="Calibri" w:hAnsi="Calibri" w:cs="Arial"/>
          <w:b w:val="0"/>
          <w:sz w:val="22"/>
          <w:szCs w:val="22"/>
          <w:lang w:val="it-IT"/>
        </w:rPr>
        <w:t>La sintesi dei risultati degli</w:t>
      </w:r>
      <w:r w:rsidRPr="00894064">
        <w:rPr>
          <w:rFonts w:ascii="Calibri" w:hAnsi="Calibri" w:cs="Arial"/>
          <w:b w:val="0"/>
          <w:sz w:val="22"/>
          <w:szCs w:val="22"/>
          <w:lang w:val="it-IT"/>
        </w:rPr>
        <w:t xml:space="preserve"> studi di bioequivalenza </w:t>
      </w:r>
      <w:r>
        <w:rPr>
          <w:rFonts w:ascii="Calibri" w:hAnsi="Calibri" w:cs="Arial"/>
          <w:b w:val="0"/>
          <w:sz w:val="22"/>
          <w:szCs w:val="22"/>
          <w:lang w:val="it-IT"/>
        </w:rPr>
        <w:t>sono</w:t>
      </w:r>
      <w:r w:rsidRPr="00894064">
        <w:rPr>
          <w:rFonts w:ascii="Calibri" w:hAnsi="Calibri" w:cs="Arial"/>
          <w:b w:val="0"/>
          <w:sz w:val="22"/>
          <w:szCs w:val="22"/>
          <w:lang w:val="it-IT"/>
        </w:rPr>
        <w:t xml:space="preserve"> riportat</w:t>
      </w:r>
      <w:r>
        <w:rPr>
          <w:rFonts w:ascii="Calibri" w:hAnsi="Calibri" w:cs="Arial"/>
          <w:b w:val="0"/>
          <w:sz w:val="22"/>
          <w:szCs w:val="22"/>
          <w:lang w:val="it-IT"/>
        </w:rPr>
        <w:t>i nell</w:t>
      </w:r>
      <w:r w:rsidR="000B0D61">
        <w:rPr>
          <w:rFonts w:ascii="Calibri" w:hAnsi="Calibri" w:cs="Arial"/>
          <w:b w:val="0"/>
          <w:sz w:val="22"/>
          <w:szCs w:val="22"/>
          <w:lang w:val="it-IT"/>
        </w:rPr>
        <w:t>a</w:t>
      </w:r>
      <w:r w:rsidRPr="00894064">
        <w:rPr>
          <w:rFonts w:ascii="Calibri" w:hAnsi="Calibri" w:cs="Arial"/>
          <w:b w:val="0"/>
          <w:sz w:val="22"/>
          <w:szCs w:val="22"/>
          <w:lang w:val="it-IT"/>
        </w:rPr>
        <w:t xml:space="preserve"> tabell</w:t>
      </w:r>
      <w:r w:rsidR="000B0D61">
        <w:rPr>
          <w:rFonts w:ascii="Calibri" w:hAnsi="Calibri" w:cs="Arial"/>
          <w:b w:val="0"/>
          <w:sz w:val="22"/>
          <w:szCs w:val="22"/>
          <w:lang w:val="it-IT"/>
        </w:rPr>
        <w:t>a</w:t>
      </w:r>
      <w:r w:rsidRPr="00894064">
        <w:rPr>
          <w:rFonts w:ascii="Calibri" w:hAnsi="Calibri" w:cs="Arial"/>
          <w:b w:val="0"/>
          <w:sz w:val="22"/>
          <w:szCs w:val="22"/>
          <w:lang w:val="it-IT"/>
        </w:rPr>
        <w:t xml:space="preserve"> che segu</w:t>
      </w:r>
      <w:r w:rsidR="000B0D61">
        <w:rPr>
          <w:rFonts w:ascii="Calibri" w:hAnsi="Calibri" w:cs="Arial"/>
          <w:b w:val="0"/>
          <w:sz w:val="22"/>
          <w:szCs w:val="22"/>
          <w:lang w:val="it-IT"/>
        </w:rPr>
        <w:t>e</w:t>
      </w:r>
      <w:r w:rsidRPr="00894064">
        <w:rPr>
          <w:rFonts w:ascii="Calibri" w:hAnsi="Calibri" w:cs="Arial"/>
          <w:b w:val="0"/>
          <w:sz w:val="22"/>
          <w:szCs w:val="22"/>
          <w:lang w:val="it-IT"/>
        </w:rPr>
        <w:t>.</w:t>
      </w:r>
    </w:p>
    <w:p w:rsidR="00DC49CC" w:rsidRPr="002606EB" w:rsidRDefault="00DC49CC" w:rsidP="0059098E">
      <w:pPr>
        <w:spacing w:after="0" w:line="240" w:lineRule="auto"/>
        <w:jc w:val="both"/>
        <w:rPr>
          <w:rFonts w:cs="Arial"/>
          <w:b/>
        </w:rPr>
      </w:pPr>
    </w:p>
    <w:tbl>
      <w:tblPr>
        <w:tblW w:w="40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000"/>
      </w:tblPr>
      <w:tblGrid>
        <w:gridCol w:w="1372"/>
        <w:gridCol w:w="1684"/>
        <w:gridCol w:w="1833"/>
        <w:gridCol w:w="1626"/>
        <w:gridCol w:w="1926"/>
      </w:tblGrid>
      <w:tr w:rsidR="00DC49CC" w:rsidRPr="002606EB" w:rsidTr="000B0D61">
        <w:trPr>
          <w:jc w:val="center"/>
        </w:trPr>
        <w:tc>
          <w:tcPr>
            <w:tcW w:w="8442" w:type="dxa"/>
            <w:gridSpan w:val="5"/>
            <w:shd w:val="clear" w:color="auto" w:fill="FFFFFF" w:themeFill="background1"/>
            <w:vAlign w:val="bottom"/>
          </w:tcPr>
          <w:p w:rsidR="00DC49CC" w:rsidRPr="000B0D61" w:rsidRDefault="00E45EFF" w:rsidP="000A7624">
            <w:pPr>
              <w:spacing w:after="0" w:line="240" w:lineRule="auto"/>
              <w:jc w:val="center"/>
              <w:rPr>
                <w:b/>
                <w:bCs/>
                <w:sz w:val="20"/>
              </w:rPr>
            </w:pPr>
            <w:proofErr w:type="spellStart"/>
            <w:r w:rsidRPr="000B0D61">
              <w:rPr>
                <w:b/>
                <w:bCs/>
                <w:sz w:val="20"/>
              </w:rPr>
              <w:t>Levosulpiride</w:t>
            </w:r>
            <w:proofErr w:type="spellEnd"/>
          </w:p>
        </w:tc>
      </w:tr>
      <w:tr w:rsidR="00E45EFF" w:rsidRPr="002606EB" w:rsidTr="000B0D61">
        <w:trPr>
          <w:trHeight w:val="269"/>
          <w:jc w:val="center"/>
        </w:trPr>
        <w:tc>
          <w:tcPr>
            <w:tcW w:w="1373" w:type="dxa"/>
            <w:vAlign w:val="bottom"/>
          </w:tcPr>
          <w:p w:rsidR="00E45EFF" w:rsidRPr="000B0D61" w:rsidRDefault="00E45EFF" w:rsidP="000A7624">
            <w:pPr>
              <w:spacing w:after="0" w:line="240" w:lineRule="auto"/>
              <w:jc w:val="center"/>
              <w:rPr>
                <w:b/>
                <w:sz w:val="20"/>
              </w:rPr>
            </w:pPr>
            <w:r w:rsidRPr="000B0D61">
              <w:rPr>
                <w:b/>
                <w:sz w:val="20"/>
              </w:rPr>
              <w:t>Parametro</w:t>
            </w:r>
          </w:p>
        </w:tc>
        <w:tc>
          <w:tcPr>
            <w:tcW w:w="1684" w:type="dxa"/>
            <w:vAlign w:val="bottom"/>
          </w:tcPr>
          <w:p w:rsidR="00E45EFF" w:rsidRPr="000B0D61" w:rsidRDefault="00E45EFF" w:rsidP="000A7624">
            <w:pPr>
              <w:spacing w:after="0" w:line="240" w:lineRule="auto"/>
              <w:jc w:val="center"/>
              <w:rPr>
                <w:b/>
                <w:sz w:val="20"/>
              </w:rPr>
            </w:pPr>
            <w:r w:rsidRPr="000B0D61">
              <w:rPr>
                <w:b/>
                <w:sz w:val="20"/>
              </w:rPr>
              <w:t>Test</w:t>
            </w:r>
          </w:p>
        </w:tc>
        <w:tc>
          <w:tcPr>
            <w:tcW w:w="1833" w:type="dxa"/>
            <w:vAlign w:val="bottom"/>
          </w:tcPr>
          <w:p w:rsidR="00E45EFF" w:rsidRPr="000B0D61" w:rsidRDefault="00E45EFF" w:rsidP="000A7624">
            <w:pPr>
              <w:spacing w:after="0" w:line="240" w:lineRule="auto"/>
              <w:jc w:val="center"/>
              <w:rPr>
                <w:b/>
                <w:sz w:val="20"/>
              </w:rPr>
            </w:pPr>
            <w:r w:rsidRPr="000B0D61">
              <w:rPr>
                <w:b/>
                <w:sz w:val="20"/>
              </w:rPr>
              <w:t>Reference</w:t>
            </w:r>
          </w:p>
        </w:tc>
        <w:tc>
          <w:tcPr>
            <w:tcW w:w="1626" w:type="dxa"/>
            <w:vAlign w:val="bottom"/>
          </w:tcPr>
          <w:p w:rsidR="00E45EFF" w:rsidRPr="000B0D61" w:rsidRDefault="00E45EFF" w:rsidP="000A7624">
            <w:pPr>
              <w:spacing w:after="0" w:line="240" w:lineRule="auto"/>
              <w:jc w:val="center"/>
              <w:rPr>
                <w:b/>
                <w:sz w:val="20"/>
              </w:rPr>
            </w:pPr>
            <w:r w:rsidRPr="000B0D61">
              <w:rPr>
                <w:b/>
                <w:sz w:val="20"/>
              </w:rPr>
              <w:t>T/R Ratio</w:t>
            </w:r>
          </w:p>
        </w:tc>
        <w:tc>
          <w:tcPr>
            <w:tcW w:w="1926" w:type="dxa"/>
            <w:vAlign w:val="bottom"/>
          </w:tcPr>
          <w:p w:rsidR="00E45EFF" w:rsidRPr="000B0D61" w:rsidRDefault="00E45EFF" w:rsidP="000A7624">
            <w:pPr>
              <w:spacing w:after="0" w:line="240" w:lineRule="auto"/>
              <w:jc w:val="center"/>
              <w:rPr>
                <w:b/>
                <w:sz w:val="20"/>
              </w:rPr>
            </w:pPr>
            <w:r w:rsidRPr="000B0D61">
              <w:rPr>
                <w:b/>
                <w:sz w:val="20"/>
              </w:rPr>
              <w:t>95% C.I.</w:t>
            </w:r>
          </w:p>
        </w:tc>
      </w:tr>
      <w:tr w:rsidR="00E45EFF" w:rsidRPr="002606EB" w:rsidTr="000B0D61">
        <w:trPr>
          <w:jc w:val="center"/>
        </w:trPr>
        <w:tc>
          <w:tcPr>
            <w:tcW w:w="1373" w:type="dxa"/>
            <w:vAlign w:val="bottom"/>
          </w:tcPr>
          <w:p w:rsidR="00E45EFF" w:rsidRPr="000B0D61" w:rsidRDefault="00E45EFF" w:rsidP="0059098E">
            <w:pPr>
              <w:spacing w:after="0" w:line="240" w:lineRule="auto"/>
              <w:rPr>
                <w:sz w:val="20"/>
              </w:rPr>
            </w:pPr>
            <w:r w:rsidRPr="000B0D61">
              <w:rPr>
                <w:b/>
                <w:sz w:val="20"/>
              </w:rPr>
              <w:t>AUC0-t</w:t>
            </w:r>
          </w:p>
        </w:tc>
        <w:tc>
          <w:tcPr>
            <w:tcW w:w="1684" w:type="dxa"/>
            <w:vAlign w:val="bottom"/>
          </w:tcPr>
          <w:p w:rsidR="00E45EFF" w:rsidRPr="000B0D61" w:rsidRDefault="00E45EFF" w:rsidP="0059098E">
            <w:pPr>
              <w:spacing w:after="0" w:line="240" w:lineRule="auto"/>
              <w:jc w:val="center"/>
              <w:rPr>
                <w:sz w:val="20"/>
              </w:rPr>
            </w:pPr>
            <w:r w:rsidRPr="000B0D61">
              <w:rPr>
                <w:bCs/>
                <w:sz w:val="20"/>
                <w:lang w:eastAsia="it-IT"/>
              </w:rPr>
              <w:t>833.80</w:t>
            </w:r>
          </w:p>
        </w:tc>
        <w:tc>
          <w:tcPr>
            <w:tcW w:w="1833" w:type="dxa"/>
            <w:vAlign w:val="bottom"/>
          </w:tcPr>
          <w:p w:rsidR="00E45EFF" w:rsidRPr="000B0D61" w:rsidRDefault="00E45EFF" w:rsidP="0059098E">
            <w:pPr>
              <w:spacing w:after="0" w:line="240" w:lineRule="auto"/>
              <w:jc w:val="center"/>
              <w:rPr>
                <w:sz w:val="20"/>
              </w:rPr>
            </w:pPr>
            <w:r w:rsidRPr="000B0D61">
              <w:rPr>
                <w:bCs/>
                <w:sz w:val="20"/>
                <w:lang w:eastAsia="it-IT"/>
              </w:rPr>
              <w:t>809.35</w:t>
            </w:r>
          </w:p>
        </w:tc>
        <w:tc>
          <w:tcPr>
            <w:tcW w:w="1626" w:type="dxa"/>
            <w:vAlign w:val="bottom"/>
          </w:tcPr>
          <w:p w:rsidR="00E45EFF" w:rsidRPr="000B0D61" w:rsidRDefault="00E45EFF" w:rsidP="0059098E">
            <w:pPr>
              <w:spacing w:after="0" w:line="240" w:lineRule="auto"/>
              <w:jc w:val="center"/>
              <w:rPr>
                <w:sz w:val="20"/>
              </w:rPr>
            </w:pPr>
            <w:r w:rsidRPr="000B0D61">
              <w:rPr>
                <w:sz w:val="20"/>
              </w:rPr>
              <w:t>1.03</w:t>
            </w:r>
          </w:p>
        </w:tc>
        <w:tc>
          <w:tcPr>
            <w:tcW w:w="1926" w:type="dxa"/>
            <w:vAlign w:val="bottom"/>
          </w:tcPr>
          <w:p w:rsidR="00E45EFF" w:rsidRPr="000B0D61" w:rsidRDefault="00E45EFF" w:rsidP="0059098E">
            <w:pPr>
              <w:spacing w:after="0" w:line="240" w:lineRule="auto"/>
              <w:jc w:val="center"/>
              <w:rPr>
                <w:sz w:val="20"/>
              </w:rPr>
            </w:pPr>
            <w:r w:rsidRPr="000B0D61">
              <w:rPr>
                <w:sz w:val="20"/>
                <w:lang w:val="en-GB"/>
              </w:rPr>
              <w:t>95.76 - 110.84</w:t>
            </w:r>
          </w:p>
        </w:tc>
      </w:tr>
      <w:tr w:rsidR="00E45EFF" w:rsidRPr="002606EB" w:rsidTr="000B0D61">
        <w:trPr>
          <w:jc w:val="center"/>
        </w:trPr>
        <w:tc>
          <w:tcPr>
            <w:tcW w:w="1373" w:type="dxa"/>
            <w:vAlign w:val="bottom"/>
          </w:tcPr>
          <w:p w:rsidR="00E45EFF" w:rsidRPr="000B0D61" w:rsidRDefault="00E45EFF" w:rsidP="0059098E">
            <w:pPr>
              <w:spacing w:after="0" w:line="240" w:lineRule="auto"/>
              <w:rPr>
                <w:sz w:val="20"/>
                <w:highlight w:val="yellow"/>
              </w:rPr>
            </w:pPr>
            <w:r w:rsidRPr="000B0D61">
              <w:rPr>
                <w:b/>
                <w:sz w:val="20"/>
              </w:rPr>
              <w:t>AUC</w:t>
            </w:r>
            <w:r w:rsidRPr="000B0D61">
              <w:rPr>
                <w:b/>
                <w:sz w:val="20"/>
                <w:vertAlign w:val="subscript"/>
              </w:rPr>
              <w:t>0-</w:t>
            </w:r>
            <w:r w:rsidRPr="000B0D61">
              <w:rPr>
                <w:b/>
                <w:sz w:val="20"/>
                <w:vertAlign w:val="subscript"/>
              </w:rPr>
              <w:sym w:font="Symbol" w:char="F0A5"/>
            </w:r>
          </w:p>
        </w:tc>
        <w:tc>
          <w:tcPr>
            <w:tcW w:w="1684" w:type="dxa"/>
            <w:vAlign w:val="bottom"/>
          </w:tcPr>
          <w:p w:rsidR="00E45EFF" w:rsidRPr="000B0D61" w:rsidRDefault="00E45EFF" w:rsidP="0059098E">
            <w:pPr>
              <w:spacing w:after="0" w:line="240" w:lineRule="auto"/>
              <w:jc w:val="center"/>
              <w:rPr>
                <w:sz w:val="20"/>
              </w:rPr>
            </w:pPr>
            <w:r w:rsidRPr="000B0D61">
              <w:rPr>
                <w:bCs/>
                <w:sz w:val="20"/>
                <w:lang w:eastAsia="it-IT"/>
              </w:rPr>
              <w:t>916.85</w:t>
            </w:r>
          </w:p>
        </w:tc>
        <w:tc>
          <w:tcPr>
            <w:tcW w:w="1833" w:type="dxa"/>
            <w:vAlign w:val="bottom"/>
          </w:tcPr>
          <w:p w:rsidR="00E45EFF" w:rsidRPr="000B0D61" w:rsidRDefault="00E45EFF" w:rsidP="0059098E">
            <w:pPr>
              <w:spacing w:after="0" w:line="240" w:lineRule="auto"/>
              <w:jc w:val="center"/>
              <w:rPr>
                <w:sz w:val="20"/>
              </w:rPr>
            </w:pPr>
            <w:r w:rsidRPr="000B0D61">
              <w:rPr>
                <w:bCs/>
                <w:sz w:val="20"/>
                <w:lang w:eastAsia="it-IT"/>
              </w:rPr>
              <w:t>885.13</w:t>
            </w:r>
          </w:p>
        </w:tc>
        <w:tc>
          <w:tcPr>
            <w:tcW w:w="1626" w:type="dxa"/>
            <w:vAlign w:val="bottom"/>
          </w:tcPr>
          <w:p w:rsidR="00E45EFF" w:rsidRPr="000B0D61" w:rsidRDefault="00E45EFF" w:rsidP="0059098E">
            <w:pPr>
              <w:spacing w:after="0" w:line="240" w:lineRule="auto"/>
              <w:jc w:val="center"/>
              <w:rPr>
                <w:sz w:val="20"/>
              </w:rPr>
            </w:pPr>
            <w:r w:rsidRPr="000B0D61">
              <w:rPr>
                <w:sz w:val="20"/>
              </w:rPr>
              <w:t>1.03</w:t>
            </w:r>
          </w:p>
        </w:tc>
        <w:tc>
          <w:tcPr>
            <w:tcW w:w="1926" w:type="dxa"/>
            <w:vAlign w:val="bottom"/>
          </w:tcPr>
          <w:p w:rsidR="00E45EFF" w:rsidRPr="000B0D61" w:rsidRDefault="00E45EFF" w:rsidP="0059098E">
            <w:pPr>
              <w:spacing w:after="0" w:line="240" w:lineRule="auto"/>
              <w:jc w:val="center"/>
              <w:rPr>
                <w:sz w:val="20"/>
              </w:rPr>
            </w:pPr>
            <w:r w:rsidRPr="000B0D61">
              <w:rPr>
                <w:sz w:val="20"/>
                <w:lang w:val="en-GB"/>
              </w:rPr>
              <w:t>95.87 - 111.92</w:t>
            </w:r>
          </w:p>
        </w:tc>
      </w:tr>
      <w:tr w:rsidR="00E45EFF" w:rsidRPr="002606EB" w:rsidTr="000B0D61">
        <w:trPr>
          <w:jc w:val="center"/>
        </w:trPr>
        <w:tc>
          <w:tcPr>
            <w:tcW w:w="1373" w:type="dxa"/>
            <w:vAlign w:val="bottom"/>
          </w:tcPr>
          <w:p w:rsidR="00E45EFF" w:rsidRPr="000B0D61" w:rsidRDefault="00E45EFF" w:rsidP="0059098E">
            <w:pPr>
              <w:spacing w:after="0" w:line="240" w:lineRule="auto"/>
              <w:rPr>
                <w:b/>
                <w:sz w:val="20"/>
              </w:rPr>
            </w:pPr>
            <w:proofErr w:type="spellStart"/>
            <w:r w:rsidRPr="000B0D61">
              <w:rPr>
                <w:b/>
                <w:sz w:val="20"/>
              </w:rPr>
              <w:t>Cmax</w:t>
            </w:r>
            <w:proofErr w:type="spellEnd"/>
          </w:p>
        </w:tc>
        <w:tc>
          <w:tcPr>
            <w:tcW w:w="1684" w:type="dxa"/>
            <w:vAlign w:val="bottom"/>
          </w:tcPr>
          <w:p w:rsidR="00E45EFF" w:rsidRPr="000B0D61" w:rsidRDefault="00E45EFF" w:rsidP="0059098E">
            <w:pPr>
              <w:spacing w:after="0" w:line="240" w:lineRule="auto"/>
              <w:jc w:val="center"/>
              <w:rPr>
                <w:bCs/>
                <w:sz w:val="20"/>
                <w:lang w:eastAsia="it-IT"/>
              </w:rPr>
            </w:pPr>
            <w:r w:rsidRPr="000B0D61">
              <w:rPr>
                <w:sz w:val="20"/>
              </w:rPr>
              <w:t>72.48</w:t>
            </w:r>
          </w:p>
        </w:tc>
        <w:tc>
          <w:tcPr>
            <w:tcW w:w="1833" w:type="dxa"/>
            <w:vAlign w:val="bottom"/>
          </w:tcPr>
          <w:p w:rsidR="00E45EFF" w:rsidRPr="000B0D61" w:rsidRDefault="00E45EFF" w:rsidP="0059098E">
            <w:pPr>
              <w:spacing w:after="0" w:line="240" w:lineRule="auto"/>
              <w:jc w:val="center"/>
              <w:rPr>
                <w:bCs/>
                <w:sz w:val="20"/>
                <w:lang w:eastAsia="it-IT"/>
              </w:rPr>
            </w:pPr>
            <w:r w:rsidRPr="000B0D61">
              <w:rPr>
                <w:bCs/>
                <w:sz w:val="20"/>
                <w:lang w:eastAsia="it-IT"/>
              </w:rPr>
              <w:t>69.48</w:t>
            </w:r>
          </w:p>
        </w:tc>
        <w:tc>
          <w:tcPr>
            <w:tcW w:w="1626" w:type="dxa"/>
            <w:vAlign w:val="bottom"/>
          </w:tcPr>
          <w:p w:rsidR="00E45EFF" w:rsidRPr="000B0D61" w:rsidRDefault="00E45EFF" w:rsidP="0059098E">
            <w:pPr>
              <w:spacing w:after="0" w:line="240" w:lineRule="auto"/>
              <w:jc w:val="center"/>
              <w:rPr>
                <w:sz w:val="20"/>
              </w:rPr>
            </w:pPr>
            <w:r w:rsidRPr="000B0D61">
              <w:rPr>
                <w:sz w:val="20"/>
              </w:rPr>
              <w:t>1.04</w:t>
            </w:r>
          </w:p>
        </w:tc>
        <w:tc>
          <w:tcPr>
            <w:tcW w:w="1926" w:type="dxa"/>
            <w:vAlign w:val="bottom"/>
          </w:tcPr>
          <w:p w:rsidR="00E45EFF" w:rsidRPr="000B0D61" w:rsidRDefault="00E45EFF" w:rsidP="0059098E">
            <w:pPr>
              <w:spacing w:after="0" w:line="240" w:lineRule="auto"/>
              <w:jc w:val="center"/>
              <w:rPr>
                <w:sz w:val="20"/>
                <w:lang w:val="en-GB"/>
              </w:rPr>
            </w:pPr>
            <w:r w:rsidRPr="000B0D61">
              <w:rPr>
                <w:sz w:val="20"/>
              </w:rPr>
              <w:t xml:space="preserve">94.90 – 114.65 </w:t>
            </w:r>
          </w:p>
        </w:tc>
      </w:tr>
    </w:tbl>
    <w:p w:rsidR="00DC49CC" w:rsidRDefault="00DC49CC" w:rsidP="0059098E">
      <w:pPr>
        <w:spacing w:after="0" w:line="240" w:lineRule="auto"/>
        <w:jc w:val="both"/>
        <w:rPr>
          <w:rFonts w:cs="Arial"/>
          <w:b/>
        </w:rPr>
      </w:pPr>
    </w:p>
    <w:p w:rsidR="00DC49CC" w:rsidRPr="00894064" w:rsidRDefault="00DC49CC" w:rsidP="0059098E">
      <w:pPr>
        <w:spacing w:after="0" w:line="240" w:lineRule="auto"/>
        <w:jc w:val="both"/>
        <w:rPr>
          <w:rFonts w:cs="Arial"/>
        </w:rPr>
      </w:pPr>
      <w:r w:rsidRPr="00894064">
        <w:rPr>
          <w:rFonts w:cs="Arial"/>
          <w:i/>
        </w:rPr>
        <w:t>Conclusioni sulla bioequivalenza</w:t>
      </w:r>
      <w:r w:rsidRPr="00894064">
        <w:rPr>
          <w:rFonts w:cs="Arial"/>
        </w:rPr>
        <w:t>.</w:t>
      </w:r>
    </w:p>
    <w:p w:rsidR="00DC49CC" w:rsidRPr="00894064" w:rsidRDefault="00E45EFF" w:rsidP="0059098E">
      <w:pPr>
        <w:spacing w:after="0" w:line="240" w:lineRule="auto"/>
        <w:jc w:val="both"/>
        <w:rPr>
          <w:rFonts w:cs="Arial"/>
        </w:rPr>
      </w:pPr>
      <w:r>
        <w:rPr>
          <w:rFonts w:cs="Arial"/>
        </w:rPr>
        <w:t>I risultati dello</w:t>
      </w:r>
      <w:r w:rsidR="00DC49CC" w:rsidRPr="00894064">
        <w:rPr>
          <w:rFonts w:cs="Arial"/>
        </w:rPr>
        <w:t xml:space="preserve"> studi</w:t>
      </w:r>
      <w:r>
        <w:rPr>
          <w:rFonts w:cs="Arial"/>
        </w:rPr>
        <w:t>o</w:t>
      </w:r>
      <w:r w:rsidR="00DC49CC" w:rsidRPr="00894064">
        <w:rPr>
          <w:rFonts w:cs="Arial"/>
        </w:rPr>
        <w:t xml:space="preserve"> di bioequivalenza mostrano che gli intervalli di confidenza dei parametri farmacocinetici studiati cadono nel </w:t>
      </w:r>
      <w:proofErr w:type="spellStart"/>
      <w:r w:rsidR="00DC49CC" w:rsidRPr="00894064">
        <w:rPr>
          <w:rFonts w:cs="Arial"/>
        </w:rPr>
        <w:t>range</w:t>
      </w:r>
      <w:proofErr w:type="spellEnd"/>
      <w:r w:rsidR="00DC49CC" w:rsidRPr="00894064">
        <w:rPr>
          <w:rFonts w:cs="Arial"/>
        </w:rPr>
        <w:t xml:space="preserve"> di accettabilità in accordo con le linee guida correnti.</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rPr>
          <w:b/>
        </w:rPr>
      </w:pPr>
      <w:r w:rsidRPr="00894064">
        <w:rPr>
          <w:b/>
        </w:rPr>
        <w:t>Piano di Valutazione del Rischio (</w:t>
      </w:r>
      <w:proofErr w:type="spellStart"/>
      <w:r w:rsidRPr="00894064">
        <w:rPr>
          <w:b/>
          <w:i/>
        </w:rPr>
        <w:t>Risk</w:t>
      </w:r>
      <w:proofErr w:type="spellEnd"/>
      <w:r w:rsidRPr="00894064">
        <w:rPr>
          <w:b/>
          <w:i/>
        </w:rPr>
        <w:t xml:space="preserve"> Management </w:t>
      </w:r>
      <w:proofErr w:type="spellStart"/>
      <w:r w:rsidRPr="00894064">
        <w:rPr>
          <w:b/>
          <w:i/>
        </w:rPr>
        <w:t>Plan</w:t>
      </w:r>
      <w:proofErr w:type="spellEnd"/>
      <w:r w:rsidRPr="00894064">
        <w:rPr>
          <w:b/>
        </w:rPr>
        <w:t xml:space="preserve"> - RMP)</w:t>
      </w:r>
    </w:p>
    <w:p w:rsidR="00DC49CC" w:rsidRPr="00894064" w:rsidRDefault="00DC49CC" w:rsidP="0059098E">
      <w:pPr>
        <w:pStyle w:val="Paragrafoelenco"/>
        <w:spacing w:after="0" w:line="240" w:lineRule="auto"/>
        <w:ind w:left="0"/>
        <w:jc w:val="both"/>
      </w:pPr>
      <w:r w:rsidRPr="00894064">
        <w:t xml:space="preserve">E’ stato presentato un RMP in accordo a quanto previsto dalla Direttiva 2001/83/EU </w:t>
      </w:r>
      <w:proofErr w:type="spellStart"/>
      <w:r w:rsidRPr="00894064">
        <w:t>s.m.i.</w:t>
      </w:r>
      <w:proofErr w:type="spellEnd"/>
      <w:r w:rsidRPr="00894064">
        <w:t xml:space="preserve"> che descrive le attività di farmacovigilanza e gli interventi definiti al fine di identificare, caratterizzare, prevenire o minimizzare i rischi collegati all’uso di </w:t>
      </w:r>
      <w:proofErr w:type="spellStart"/>
      <w:r w:rsidR="00E307AA">
        <w:rPr>
          <w:snapToGrid w:val="0"/>
        </w:rPr>
        <w:t>Levosulpiride</w:t>
      </w:r>
      <w:proofErr w:type="spellEnd"/>
      <w:r w:rsidR="00E307AA">
        <w:rPr>
          <w:snapToGrid w:val="0"/>
        </w:rPr>
        <w:t xml:space="preserve"> </w:t>
      </w:r>
      <w:r w:rsidR="00323123">
        <w:rPr>
          <w:snapToGrid w:val="0"/>
        </w:rPr>
        <w:t>Ipso Pharma</w:t>
      </w:r>
      <w:r w:rsidRPr="00894064">
        <w:t>.</w:t>
      </w:r>
    </w:p>
    <w:p w:rsidR="00DC49CC" w:rsidRDefault="00DC49CC" w:rsidP="0059098E">
      <w:pPr>
        <w:pStyle w:val="Paragrafoelenco"/>
        <w:spacing w:after="0" w:line="240" w:lineRule="auto"/>
        <w:ind w:left="0"/>
        <w:jc w:val="both"/>
      </w:pPr>
      <w:r w:rsidRPr="00894064">
        <w:t>Il riassunto delle problematiche di sicurezza è riportato nella tabella seguente.</w:t>
      </w:r>
    </w:p>
    <w:p w:rsidR="00DC49CC" w:rsidRDefault="00DC49CC" w:rsidP="0059098E">
      <w:pPr>
        <w:pStyle w:val="Paragrafoelenco"/>
        <w:spacing w:after="0" w:line="240" w:lineRule="auto"/>
        <w:ind w:left="0"/>
        <w:jc w:val="both"/>
      </w:pP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5"/>
        <w:gridCol w:w="5989"/>
      </w:tblGrid>
      <w:tr w:rsidR="00DC49CC" w:rsidRPr="00F630F3" w:rsidTr="000A7624">
        <w:trPr>
          <w:trHeight w:val="143"/>
          <w:jc w:val="center"/>
        </w:trPr>
        <w:tc>
          <w:tcPr>
            <w:tcW w:w="2865" w:type="dxa"/>
            <w:tcBorders>
              <w:top w:val="single" w:sz="4" w:space="0" w:color="auto"/>
              <w:left w:val="single" w:sz="4" w:space="0" w:color="auto"/>
              <w:bottom w:val="single" w:sz="4" w:space="0" w:color="auto"/>
              <w:right w:val="single" w:sz="4" w:space="0" w:color="auto"/>
            </w:tcBorders>
            <w:hideMark/>
          </w:tcPr>
          <w:p w:rsidR="00DC49CC" w:rsidRPr="00213946" w:rsidRDefault="00DC49CC" w:rsidP="0059098E">
            <w:pPr>
              <w:pStyle w:val="Paragrafoelenco"/>
              <w:spacing w:after="0" w:line="240" w:lineRule="auto"/>
              <w:ind w:left="0"/>
              <w:jc w:val="both"/>
              <w:rPr>
                <w:sz w:val="20"/>
              </w:rPr>
            </w:pPr>
            <w:r w:rsidRPr="00213946">
              <w:rPr>
                <w:sz w:val="20"/>
              </w:rPr>
              <w:t>Rischi importanti identificati</w:t>
            </w:r>
          </w:p>
        </w:tc>
        <w:tc>
          <w:tcPr>
            <w:tcW w:w="5989" w:type="dxa"/>
            <w:tcBorders>
              <w:top w:val="single" w:sz="4" w:space="0" w:color="auto"/>
              <w:left w:val="single" w:sz="4" w:space="0" w:color="auto"/>
              <w:bottom w:val="single" w:sz="4" w:space="0" w:color="auto"/>
              <w:right w:val="single" w:sz="4" w:space="0" w:color="auto"/>
            </w:tcBorders>
            <w:hideMark/>
          </w:tcPr>
          <w:p w:rsidR="00C73763" w:rsidRDefault="00C73763" w:rsidP="0059098E">
            <w:pPr>
              <w:pStyle w:val="Paragrafoelenco"/>
              <w:spacing w:after="0" w:line="240" w:lineRule="auto"/>
              <w:ind w:left="0"/>
              <w:jc w:val="both"/>
              <w:rPr>
                <w:sz w:val="20"/>
              </w:rPr>
            </w:pPr>
            <w:r>
              <w:rPr>
                <w:sz w:val="20"/>
              </w:rPr>
              <w:t xml:space="preserve">Convulsioni in pazienti con epilessia in quanto la </w:t>
            </w:r>
            <w:proofErr w:type="spellStart"/>
            <w:r>
              <w:rPr>
                <w:sz w:val="20"/>
              </w:rPr>
              <w:t>levosulpiride</w:t>
            </w:r>
            <w:proofErr w:type="spellEnd"/>
            <w:r>
              <w:rPr>
                <w:sz w:val="20"/>
              </w:rPr>
              <w:t xml:space="preserve"> può abbassare la soglia epilettogena</w:t>
            </w:r>
          </w:p>
          <w:p w:rsidR="00C73763" w:rsidRDefault="00C73763" w:rsidP="0059098E">
            <w:pPr>
              <w:pStyle w:val="Paragrafoelenco"/>
              <w:spacing w:after="0" w:line="240" w:lineRule="auto"/>
              <w:ind w:left="0"/>
              <w:jc w:val="both"/>
              <w:rPr>
                <w:sz w:val="20"/>
              </w:rPr>
            </w:pPr>
            <w:r>
              <w:rPr>
                <w:sz w:val="20"/>
              </w:rPr>
              <w:t>Aumento dell’agitazione psicomotoria (in pazienti con stati maniacali</w:t>
            </w:r>
            <w:r w:rsidRPr="00C73763">
              <w:rPr>
                <w:rFonts w:ascii="Times New Roman" w:eastAsia="Calibri" w:hAnsi="Times New Roman" w:cs="Times New Roman"/>
                <w:sz w:val="24"/>
                <w:szCs w:val="24"/>
                <w:lang w:eastAsia="it-IT"/>
              </w:rPr>
              <w:t xml:space="preserve"> </w:t>
            </w:r>
            <w:r w:rsidRPr="00C73763">
              <w:rPr>
                <w:sz w:val="20"/>
              </w:rPr>
              <w:t>nelle fasi maniacali delle psicosi maniaco-depressive</w:t>
            </w:r>
            <w:r>
              <w:rPr>
                <w:sz w:val="20"/>
              </w:rPr>
              <w:t>)</w:t>
            </w:r>
          </w:p>
          <w:p w:rsidR="00DC49CC" w:rsidRDefault="00C73763" w:rsidP="0059098E">
            <w:pPr>
              <w:pStyle w:val="Paragrafoelenco"/>
              <w:spacing w:after="0" w:line="240" w:lineRule="auto"/>
              <w:ind w:left="0"/>
              <w:jc w:val="both"/>
              <w:rPr>
                <w:sz w:val="20"/>
              </w:rPr>
            </w:pPr>
            <w:r>
              <w:rPr>
                <w:sz w:val="20"/>
              </w:rPr>
              <w:t>Ipertensione</w:t>
            </w:r>
            <w:r w:rsidR="003A0F04">
              <w:rPr>
                <w:sz w:val="20"/>
              </w:rPr>
              <w:t xml:space="preserve"> </w:t>
            </w:r>
            <w:r>
              <w:rPr>
                <w:sz w:val="20"/>
              </w:rPr>
              <w:t>(</w:t>
            </w:r>
            <w:r w:rsidR="003A0F04">
              <w:rPr>
                <w:sz w:val="20"/>
              </w:rPr>
              <w:t>in pa</w:t>
            </w:r>
            <w:r w:rsidR="000B0D61">
              <w:rPr>
                <w:sz w:val="20"/>
              </w:rPr>
              <w:t xml:space="preserve">zienti affetti da </w:t>
            </w:r>
            <w:proofErr w:type="spellStart"/>
            <w:r w:rsidR="000B0D61">
              <w:rPr>
                <w:sz w:val="20"/>
              </w:rPr>
              <w:t>feo</w:t>
            </w:r>
            <w:r>
              <w:rPr>
                <w:sz w:val="20"/>
              </w:rPr>
              <w:t>c</w:t>
            </w:r>
            <w:r w:rsidR="000B0D61">
              <w:rPr>
                <w:sz w:val="20"/>
              </w:rPr>
              <w:t>romocitoma</w:t>
            </w:r>
            <w:proofErr w:type="spellEnd"/>
            <w:r>
              <w:rPr>
                <w:sz w:val="20"/>
              </w:rPr>
              <w:t>)</w:t>
            </w:r>
          </w:p>
          <w:p w:rsidR="00C73763" w:rsidRDefault="00C73763" w:rsidP="00C73763">
            <w:pPr>
              <w:pStyle w:val="Paragrafoelenco"/>
              <w:spacing w:after="0" w:line="240" w:lineRule="auto"/>
              <w:ind w:left="0"/>
              <w:jc w:val="both"/>
              <w:rPr>
                <w:sz w:val="20"/>
              </w:rPr>
            </w:pPr>
            <w:r>
              <w:rPr>
                <w:rFonts w:ascii="Calibri" w:eastAsia="Calibri" w:hAnsi="Calibri" w:cs="Times New Roman"/>
              </w:rPr>
              <w:lastRenderedPageBreak/>
              <w:t>A</w:t>
            </w:r>
            <w:r>
              <w:rPr>
                <w:sz w:val="20"/>
              </w:rPr>
              <w:t>ritmie ventricolari in pazienti con malattie cardiovascolari</w:t>
            </w:r>
          </w:p>
          <w:p w:rsidR="00C73763" w:rsidRDefault="00C73763" w:rsidP="0059098E">
            <w:pPr>
              <w:pStyle w:val="Paragrafoelenco"/>
              <w:spacing w:after="0" w:line="240" w:lineRule="auto"/>
              <w:ind w:left="0"/>
              <w:jc w:val="both"/>
              <w:rPr>
                <w:rFonts w:ascii="Calibri" w:eastAsia="Calibri" w:hAnsi="Calibri" w:cs="Times New Roman"/>
                <w:sz w:val="20"/>
              </w:rPr>
            </w:pPr>
            <w:r>
              <w:rPr>
                <w:sz w:val="20"/>
              </w:rPr>
              <w:t>P</w:t>
            </w:r>
            <w:r w:rsidRPr="003A0F04">
              <w:rPr>
                <w:rFonts w:ascii="Calibri" w:eastAsia="Calibri" w:hAnsi="Calibri" w:cs="Times New Roman"/>
                <w:sz w:val="20"/>
              </w:rPr>
              <w:t>rolungamento QT</w:t>
            </w:r>
            <w:r>
              <w:rPr>
                <w:sz w:val="20"/>
              </w:rPr>
              <w:t xml:space="preserve"> in pazienti con una storia familiare di p</w:t>
            </w:r>
            <w:r w:rsidRPr="003A0F04">
              <w:rPr>
                <w:rFonts w:ascii="Calibri" w:eastAsia="Calibri" w:hAnsi="Calibri" w:cs="Times New Roman"/>
                <w:sz w:val="20"/>
              </w:rPr>
              <w:t>rolungamento QT</w:t>
            </w:r>
          </w:p>
          <w:p w:rsidR="00C73763" w:rsidRDefault="00C73763" w:rsidP="0059098E">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Aumento del rischio di aritmie cardiache in relazione all’uso concomitante di farmaci che prolungano l’intervallo QT</w:t>
            </w:r>
          </w:p>
          <w:p w:rsidR="00C73763" w:rsidRPr="00C73763" w:rsidRDefault="00C73763" w:rsidP="0059098E">
            <w:pPr>
              <w:pStyle w:val="Paragrafoelenco"/>
              <w:spacing w:after="0" w:line="240" w:lineRule="auto"/>
              <w:ind w:left="0"/>
              <w:jc w:val="both"/>
              <w:rPr>
                <w:sz w:val="20"/>
              </w:rPr>
            </w:pPr>
            <w:r>
              <w:rPr>
                <w:rFonts w:ascii="Calibri" w:eastAsia="Calibri" w:hAnsi="Calibri" w:cs="Times New Roman"/>
                <w:sz w:val="20"/>
              </w:rPr>
              <w:t>Aumento del rischio di eventi cardiovascolari in relazione all’uso di farmaci che causano alterazioni elettrolitiche</w:t>
            </w:r>
          </w:p>
          <w:p w:rsidR="003A0F04" w:rsidRDefault="00323123" w:rsidP="0059098E">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S</w:t>
            </w:r>
            <w:r w:rsidR="003A0F04" w:rsidRPr="003A0F04">
              <w:rPr>
                <w:rFonts w:ascii="Calibri" w:eastAsia="Calibri" w:hAnsi="Calibri" w:cs="Times New Roman"/>
                <w:sz w:val="20"/>
              </w:rPr>
              <w:t xml:space="preserve">intomi extrapiramidali o di astinenza in neonati esposti alla </w:t>
            </w:r>
            <w:proofErr w:type="spellStart"/>
            <w:r w:rsidR="003A0F04" w:rsidRPr="003A0F04">
              <w:rPr>
                <w:rFonts w:ascii="Calibri" w:eastAsia="Calibri" w:hAnsi="Calibri" w:cs="Times New Roman"/>
                <w:sz w:val="20"/>
              </w:rPr>
              <w:t>levosulpiride</w:t>
            </w:r>
            <w:proofErr w:type="spellEnd"/>
            <w:r w:rsidR="003A0F04" w:rsidRPr="003A0F04">
              <w:rPr>
                <w:rFonts w:ascii="Calibri" w:eastAsia="Calibri" w:hAnsi="Calibri" w:cs="Times New Roman"/>
                <w:sz w:val="20"/>
              </w:rPr>
              <w:t xml:space="preserve"> durante gravidanza </w:t>
            </w:r>
          </w:p>
          <w:p w:rsidR="00361FF5" w:rsidRDefault="00361FF5" w:rsidP="0059098E">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 xml:space="preserve">Sonnolenza quando si assume </w:t>
            </w:r>
            <w:r w:rsidR="000739DD">
              <w:rPr>
                <w:rFonts w:ascii="Calibri" w:eastAsia="Calibri" w:hAnsi="Calibri" w:cs="Times New Roman"/>
                <w:sz w:val="20"/>
              </w:rPr>
              <w:t>contemporaneamente la</w:t>
            </w:r>
            <w:r>
              <w:rPr>
                <w:rFonts w:ascii="Calibri" w:eastAsia="Calibri" w:hAnsi="Calibri" w:cs="Times New Roman"/>
                <w:sz w:val="20"/>
              </w:rPr>
              <w:t xml:space="preserve"> </w:t>
            </w:r>
            <w:proofErr w:type="spellStart"/>
            <w:r>
              <w:rPr>
                <w:rFonts w:ascii="Calibri" w:eastAsia="Calibri" w:hAnsi="Calibri" w:cs="Times New Roman"/>
                <w:sz w:val="20"/>
              </w:rPr>
              <w:t>levosulpiride</w:t>
            </w:r>
            <w:proofErr w:type="spellEnd"/>
            <w:r>
              <w:rPr>
                <w:rFonts w:ascii="Calibri" w:eastAsia="Calibri" w:hAnsi="Calibri" w:cs="Times New Roman"/>
                <w:sz w:val="20"/>
              </w:rPr>
              <w:t xml:space="preserve"> con alcol </w:t>
            </w:r>
          </w:p>
          <w:p w:rsidR="003A0F04" w:rsidRPr="00213946" w:rsidRDefault="00361FF5" w:rsidP="0059098E">
            <w:pPr>
              <w:pStyle w:val="Paragrafoelenco"/>
              <w:spacing w:after="0" w:line="240" w:lineRule="auto"/>
              <w:ind w:left="0"/>
              <w:jc w:val="both"/>
              <w:rPr>
                <w:sz w:val="20"/>
              </w:rPr>
            </w:pPr>
            <w:r>
              <w:rPr>
                <w:rFonts w:ascii="Calibri" w:eastAsia="Calibri" w:hAnsi="Calibri" w:cs="Times New Roman"/>
                <w:sz w:val="20"/>
              </w:rPr>
              <w:t>Intorpidimento, capogiro e discinesia (rischi alla guida)</w:t>
            </w:r>
          </w:p>
        </w:tc>
      </w:tr>
      <w:tr w:rsidR="00DC49CC" w:rsidRPr="00F630F3" w:rsidTr="000A7624">
        <w:trPr>
          <w:trHeight w:val="1549"/>
          <w:jc w:val="center"/>
        </w:trPr>
        <w:tc>
          <w:tcPr>
            <w:tcW w:w="2865" w:type="dxa"/>
            <w:tcBorders>
              <w:top w:val="single" w:sz="4" w:space="0" w:color="auto"/>
              <w:left w:val="single" w:sz="4" w:space="0" w:color="auto"/>
              <w:bottom w:val="single" w:sz="4" w:space="0" w:color="auto"/>
              <w:right w:val="single" w:sz="4" w:space="0" w:color="auto"/>
            </w:tcBorders>
            <w:hideMark/>
          </w:tcPr>
          <w:p w:rsidR="00DC49CC" w:rsidRPr="00213946" w:rsidRDefault="00DC49CC" w:rsidP="0059098E">
            <w:pPr>
              <w:pStyle w:val="Paragrafoelenco"/>
              <w:spacing w:after="0" w:line="240" w:lineRule="auto"/>
              <w:ind w:left="0"/>
              <w:jc w:val="both"/>
              <w:rPr>
                <w:sz w:val="20"/>
              </w:rPr>
            </w:pPr>
            <w:r w:rsidRPr="00213946">
              <w:rPr>
                <w:sz w:val="20"/>
              </w:rPr>
              <w:lastRenderedPageBreak/>
              <w:t>Rischi importanti potenziali</w:t>
            </w:r>
          </w:p>
        </w:tc>
        <w:tc>
          <w:tcPr>
            <w:tcW w:w="5989" w:type="dxa"/>
            <w:tcBorders>
              <w:top w:val="single" w:sz="4" w:space="0" w:color="auto"/>
              <w:left w:val="single" w:sz="4" w:space="0" w:color="auto"/>
              <w:bottom w:val="single" w:sz="4" w:space="0" w:color="auto"/>
              <w:right w:val="single" w:sz="4" w:space="0" w:color="auto"/>
            </w:tcBorders>
            <w:hideMark/>
          </w:tcPr>
          <w:p w:rsidR="00361FF5" w:rsidRDefault="00361FF5" w:rsidP="0059098E">
            <w:pPr>
              <w:pStyle w:val="Paragrafoelenco"/>
              <w:spacing w:after="0" w:line="240" w:lineRule="auto"/>
              <w:ind w:left="0"/>
              <w:jc w:val="both"/>
              <w:rPr>
                <w:sz w:val="20"/>
              </w:rPr>
            </w:pPr>
            <w:r>
              <w:rPr>
                <w:sz w:val="20"/>
              </w:rPr>
              <w:t>Ipersensibilità al principio attivo o ad uno qualsiasi degli eccipienti (incluso lattosio)</w:t>
            </w:r>
          </w:p>
          <w:p w:rsidR="00DC49CC" w:rsidRDefault="000739DD" w:rsidP="0059098E">
            <w:pPr>
              <w:pStyle w:val="Paragrafoelenco"/>
              <w:spacing w:after="0" w:line="240" w:lineRule="auto"/>
              <w:ind w:left="0"/>
              <w:jc w:val="both"/>
              <w:rPr>
                <w:sz w:val="20"/>
              </w:rPr>
            </w:pPr>
            <w:r>
              <w:rPr>
                <w:sz w:val="20"/>
              </w:rPr>
              <w:t>Displasia mammaria</w:t>
            </w:r>
            <w:r w:rsidR="003A0F04" w:rsidRPr="003A0F04">
              <w:rPr>
                <w:rFonts w:ascii="Calibri" w:eastAsia="Calibri" w:hAnsi="Calibri" w:cs="Times New Roman"/>
                <w:sz w:val="20"/>
              </w:rPr>
              <w:t xml:space="preserve"> in </w:t>
            </w:r>
            <w:r>
              <w:rPr>
                <w:rFonts w:ascii="Calibri" w:eastAsia="Calibri" w:hAnsi="Calibri" w:cs="Times New Roman"/>
                <w:sz w:val="20"/>
              </w:rPr>
              <w:t>pazienti</w:t>
            </w:r>
            <w:r w:rsidR="003A0F04" w:rsidRPr="003A0F04">
              <w:rPr>
                <w:rFonts w:ascii="Calibri" w:eastAsia="Calibri" w:hAnsi="Calibri" w:cs="Times New Roman"/>
                <w:sz w:val="20"/>
              </w:rPr>
              <w:t xml:space="preserve"> già portatori di una mastopatia maligna</w:t>
            </w:r>
          </w:p>
          <w:p w:rsidR="003A0F04" w:rsidRDefault="000739DD" w:rsidP="0059098E">
            <w:pPr>
              <w:pStyle w:val="Paragrafoelenco"/>
              <w:spacing w:after="0" w:line="240" w:lineRule="auto"/>
              <w:ind w:left="0"/>
              <w:jc w:val="both"/>
              <w:rPr>
                <w:sz w:val="20"/>
              </w:rPr>
            </w:pPr>
            <w:r>
              <w:rPr>
                <w:sz w:val="20"/>
              </w:rPr>
              <w:t>Eventi cerebrovascolari</w:t>
            </w:r>
          </w:p>
          <w:p w:rsidR="000739DD" w:rsidRDefault="000739DD" w:rsidP="0059098E">
            <w:pPr>
              <w:pStyle w:val="Paragrafoelenco"/>
              <w:spacing w:after="0" w:line="240" w:lineRule="auto"/>
              <w:ind w:left="0"/>
              <w:jc w:val="both"/>
              <w:rPr>
                <w:sz w:val="20"/>
              </w:rPr>
            </w:pPr>
            <w:r w:rsidRPr="003A0F04">
              <w:rPr>
                <w:rFonts w:ascii="Calibri" w:eastAsia="Calibri" w:hAnsi="Calibri" w:cs="Times New Roman"/>
                <w:sz w:val="20"/>
              </w:rPr>
              <w:t>Sindrome Neurolettica Malign</w:t>
            </w:r>
            <w:r>
              <w:rPr>
                <w:sz w:val="20"/>
              </w:rPr>
              <w:t>a</w:t>
            </w:r>
          </w:p>
          <w:p w:rsidR="000739DD" w:rsidRDefault="000739DD" w:rsidP="000739DD">
            <w:pPr>
              <w:spacing w:after="0" w:line="240" w:lineRule="auto"/>
              <w:jc w:val="both"/>
              <w:rPr>
                <w:sz w:val="20"/>
              </w:rPr>
            </w:pPr>
            <w:r w:rsidRPr="000739DD">
              <w:rPr>
                <w:sz w:val="20"/>
              </w:rPr>
              <w:t>Esacerbazione di patologie gastrointestinali quando la stimolazione della motilità gastrointestinale può essere dannosa, ad esempio in presenza di emorragie gastrointestinali, ostruzioni meccaniche o perforazioni.</w:t>
            </w:r>
          </w:p>
          <w:p w:rsidR="003A0F04" w:rsidRDefault="003A0F04" w:rsidP="000739DD">
            <w:pPr>
              <w:pStyle w:val="Paragrafoelenco"/>
              <w:spacing w:after="0" w:line="240" w:lineRule="auto"/>
              <w:ind w:left="0"/>
              <w:jc w:val="both"/>
              <w:rPr>
                <w:rFonts w:ascii="Calibri" w:eastAsia="Calibri" w:hAnsi="Calibri" w:cs="Times New Roman"/>
                <w:sz w:val="20"/>
              </w:rPr>
            </w:pPr>
            <w:r>
              <w:rPr>
                <w:sz w:val="20"/>
              </w:rPr>
              <w:t>T</w:t>
            </w:r>
            <w:r w:rsidRPr="003A0F04">
              <w:rPr>
                <w:rFonts w:ascii="Calibri" w:eastAsia="Calibri" w:hAnsi="Calibri" w:cs="Times New Roman"/>
                <w:sz w:val="20"/>
              </w:rPr>
              <w:t xml:space="preserve">romboembolismo venoso (TEV)  </w:t>
            </w:r>
          </w:p>
          <w:p w:rsidR="000739DD" w:rsidRDefault="000739DD" w:rsidP="000739DD">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Effetti indesiderati in neonati allattati al seno in relazione all’uso durante l’allattamento</w:t>
            </w:r>
          </w:p>
          <w:p w:rsidR="000739DD" w:rsidRPr="000B0D61" w:rsidRDefault="000739DD" w:rsidP="000739DD">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 xml:space="preserve">Effetti </w:t>
            </w:r>
            <w:r w:rsidRPr="003A0F04">
              <w:rPr>
                <w:rFonts w:ascii="Calibri" w:eastAsia="Calibri" w:hAnsi="Calibri" w:cs="Times New Roman"/>
                <w:sz w:val="20"/>
              </w:rPr>
              <w:t>extrapiramidali</w:t>
            </w:r>
            <w:r>
              <w:rPr>
                <w:rFonts w:ascii="Calibri" w:eastAsia="Calibri" w:hAnsi="Calibri" w:cs="Times New Roman"/>
                <w:sz w:val="20"/>
              </w:rPr>
              <w:t xml:space="preserve"> e disturbi del sonno con alte dosi</w:t>
            </w:r>
          </w:p>
        </w:tc>
      </w:tr>
      <w:tr w:rsidR="000B0D61" w:rsidRPr="00F630F3" w:rsidTr="005D06DA">
        <w:trPr>
          <w:trHeight w:val="260"/>
          <w:jc w:val="center"/>
        </w:trPr>
        <w:tc>
          <w:tcPr>
            <w:tcW w:w="2865" w:type="dxa"/>
            <w:tcBorders>
              <w:top w:val="single" w:sz="4" w:space="0" w:color="auto"/>
              <w:left w:val="single" w:sz="4" w:space="0" w:color="auto"/>
              <w:bottom w:val="nil"/>
              <w:right w:val="single" w:sz="4" w:space="0" w:color="auto"/>
            </w:tcBorders>
            <w:hideMark/>
          </w:tcPr>
          <w:p w:rsidR="000A7624" w:rsidRPr="000A7624" w:rsidRDefault="000B0D61" w:rsidP="0059098E">
            <w:pPr>
              <w:pStyle w:val="Paragrafoelenco"/>
              <w:spacing w:after="0" w:line="240" w:lineRule="auto"/>
              <w:ind w:left="0"/>
              <w:jc w:val="both"/>
              <w:rPr>
                <w:sz w:val="20"/>
              </w:rPr>
            </w:pPr>
            <w:r w:rsidRPr="000739DD">
              <w:rPr>
                <w:sz w:val="20"/>
              </w:rPr>
              <w:t>Informazioni mancanti</w:t>
            </w:r>
          </w:p>
        </w:tc>
        <w:tc>
          <w:tcPr>
            <w:tcW w:w="5989" w:type="dxa"/>
            <w:tcBorders>
              <w:top w:val="single" w:sz="4" w:space="0" w:color="auto"/>
              <w:left w:val="single" w:sz="4" w:space="0" w:color="auto"/>
              <w:bottom w:val="nil"/>
              <w:right w:val="single" w:sz="4" w:space="0" w:color="auto"/>
            </w:tcBorders>
            <w:hideMark/>
          </w:tcPr>
          <w:p w:rsidR="00D64F23" w:rsidRDefault="000A7624" w:rsidP="000739DD">
            <w:pPr>
              <w:pStyle w:val="Paragrafoelenco"/>
              <w:spacing w:after="0" w:line="240" w:lineRule="auto"/>
              <w:ind w:left="0"/>
              <w:jc w:val="both"/>
              <w:rPr>
                <w:sz w:val="20"/>
              </w:rPr>
            </w:pPr>
            <w:r>
              <w:rPr>
                <w:sz w:val="20"/>
              </w:rPr>
              <w:t>Uso nella popolazione pediatrica</w:t>
            </w:r>
          </w:p>
        </w:tc>
      </w:tr>
      <w:tr w:rsidR="000B0D61" w:rsidRPr="00F630F3" w:rsidTr="000A7624">
        <w:trPr>
          <w:trHeight w:val="13"/>
          <w:jc w:val="center"/>
        </w:trPr>
        <w:tc>
          <w:tcPr>
            <w:tcW w:w="2865" w:type="dxa"/>
            <w:tcBorders>
              <w:top w:val="nil"/>
              <w:left w:val="single" w:sz="4" w:space="0" w:color="auto"/>
              <w:bottom w:val="single" w:sz="4" w:space="0" w:color="auto"/>
              <w:right w:val="single" w:sz="4" w:space="0" w:color="auto"/>
            </w:tcBorders>
            <w:hideMark/>
          </w:tcPr>
          <w:p w:rsidR="000B0D61" w:rsidRPr="00213946" w:rsidRDefault="000B0D61" w:rsidP="0059098E">
            <w:pPr>
              <w:pStyle w:val="Paragrafoelenco"/>
              <w:spacing w:after="0" w:line="240" w:lineRule="auto"/>
              <w:ind w:left="0"/>
              <w:jc w:val="both"/>
              <w:rPr>
                <w:sz w:val="20"/>
              </w:rPr>
            </w:pPr>
          </w:p>
        </w:tc>
        <w:tc>
          <w:tcPr>
            <w:tcW w:w="5989" w:type="dxa"/>
            <w:tcBorders>
              <w:top w:val="nil"/>
              <w:left w:val="single" w:sz="4" w:space="0" w:color="auto"/>
              <w:bottom w:val="single" w:sz="4" w:space="0" w:color="auto"/>
              <w:right w:val="single" w:sz="4" w:space="0" w:color="auto"/>
            </w:tcBorders>
            <w:hideMark/>
          </w:tcPr>
          <w:p w:rsidR="000B0D61" w:rsidRDefault="000B0D61" w:rsidP="0059098E">
            <w:pPr>
              <w:pStyle w:val="Paragrafoelenco"/>
              <w:spacing w:after="0" w:line="240" w:lineRule="auto"/>
              <w:ind w:left="0"/>
              <w:jc w:val="both"/>
              <w:rPr>
                <w:sz w:val="20"/>
              </w:rPr>
            </w:pPr>
          </w:p>
        </w:tc>
      </w:tr>
    </w:tbl>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pPr>
      <w:r w:rsidRPr="00894064">
        <w:t>Azioni routinarie di farmacovigilanza e di minimizzazione del rischio sono proposte per tutte le problematiche di sicurezza.</w:t>
      </w:r>
    </w:p>
    <w:p w:rsidR="00DC49CC" w:rsidRPr="00894064" w:rsidRDefault="00DC49CC" w:rsidP="0059098E">
      <w:pPr>
        <w:pStyle w:val="Paragrafoelenco"/>
        <w:spacing w:after="0" w:line="240" w:lineRule="auto"/>
        <w:ind w:left="0"/>
        <w:jc w:val="both"/>
      </w:pPr>
      <w:r w:rsidRPr="00894064">
        <w:t>Oltre le misure previste nel Riassunto delle caratteristiche del prodotto non sono previste attività addizionali di minimizzazione del rischio</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rPr>
          <w:b/>
        </w:rPr>
      </w:pPr>
      <w:r w:rsidRPr="00894064">
        <w:rPr>
          <w:b/>
        </w:rPr>
        <w:t>Conclusioni</w:t>
      </w:r>
    </w:p>
    <w:p w:rsidR="00DC49CC" w:rsidRPr="00894064" w:rsidRDefault="00DC49CC" w:rsidP="0059098E">
      <w:pPr>
        <w:pStyle w:val="Paragrafoelenco"/>
        <w:spacing w:after="0" w:line="240" w:lineRule="auto"/>
        <w:ind w:left="0"/>
        <w:jc w:val="both"/>
      </w:pPr>
      <w:r w:rsidRPr="00894064">
        <w:t xml:space="preserve">Per la richiesta di AIC di </w:t>
      </w:r>
      <w:proofErr w:type="spellStart"/>
      <w:r w:rsidR="00E307AA">
        <w:rPr>
          <w:snapToGrid w:val="0"/>
        </w:rPr>
        <w:t>Levosulpiride</w:t>
      </w:r>
      <w:proofErr w:type="spellEnd"/>
      <w:r w:rsidR="00E307AA">
        <w:rPr>
          <w:snapToGrid w:val="0"/>
        </w:rPr>
        <w:t xml:space="preserve"> </w:t>
      </w:r>
      <w:r w:rsidR="00323123">
        <w:rPr>
          <w:snapToGrid w:val="0"/>
        </w:rPr>
        <w:t>Ipso Pharma</w:t>
      </w:r>
      <w:r w:rsidR="00DD3E4F">
        <w:rPr>
          <w:snapToGrid w:val="0"/>
        </w:rPr>
        <w:t xml:space="preserve"> </w:t>
      </w:r>
      <w:r w:rsidRPr="00894064">
        <w:t xml:space="preserve"> sono state presentate sufficienti informazioni cliniche.</w:t>
      </w:r>
    </w:p>
    <w:p w:rsidR="00DC49CC" w:rsidRPr="00894064" w:rsidRDefault="00DC49CC" w:rsidP="0059098E">
      <w:pPr>
        <w:pStyle w:val="Paragrafoelenco"/>
        <w:spacing w:after="0" w:line="240" w:lineRule="auto"/>
        <w:ind w:left="0"/>
        <w:jc w:val="both"/>
      </w:pPr>
      <w:r w:rsidRPr="00894064">
        <w:t xml:space="preserve">Il rapporto beneficio/rischio di </w:t>
      </w:r>
      <w:proofErr w:type="spellStart"/>
      <w:r w:rsidR="00E307AA">
        <w:rPr>
          <w:snapToGrid w:val="0"/>
        </w:rPr>
        <w:t>Levosulpiride</w:t>
      </w:r>
      <w:proofErr w:type="spellEnd"/>
      <w:r w:rsidR="00E307AA">
        <w:rPr>
          <w:snapToGrid w:val="0"/>
        </w:rPr>
        <w:t xml:space="preserve"> </w:t>
      </w:r>
      <w:r w:rsidR="00323123">
        <w:rPr>
          <w:snapToGrid w:val="0"/>
        </w:rPr>
        <w:t>Ipso Pharma</w:t>
      </w:r>
      <w:r w:rsidR="00DD3E4F">
        <w:rPr>
          <w:snapToGrid w:val="0"/>
        </w:rPr>
        <w:t xml:space="preserve"> </w:t>
      </w:r>
      <w:r w:rsidRPr="00894064">
        <w:t xml:space="preserve"> è considerato favorevole dal punto di vista clinico.</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numPr>
          <w:ilvl w:val="0"/>
          <w:numId w:val="7"/>
        </w:numPr>
        <w:spacing w:after="0" w:line="240" w:lineRule="auto"/>
        <w:jc w:val="both"/>
        <w:rPr>
          <w:b/>
        </w:rPr>
      </w:pPr>
      <w:r w:rsidRPr="00894064">
        <w:rPr>
          <w:b/>
        </w:rPr>
        <w:t>CONSULTAZIONE SUL FOGLIO ILLUSTRATIVO</w:t>
      </w:r>
    </w:p>
    <w:p w:rsidR="00DC49CC" w:rsidRPr="00894064" w:rsidRDefault="00DC49CC" w:rsidP="0059098E">
      <w:pPr>
        <w:spacing w:after="0" w:line="240" w:lineRule="auto"/>
        <w:jc w:val="both"/>
      </w:pPr>
      <w:r w:rsidRPr="00894064">
        <w:t xml:space="preserve">Il foglio illustrativo è stato sottoposto al test di leggibilità in accordo ai requisiti dell’art. 59(3) e 61(1) della direttiva 2001/83/EU </w:t>
      </w:r>
      <w:proofErr w:type="spellStart"/>
      <w:r w:rsidRPr="00894064">
        <w:t>s.m.i.</w:t>
      </w:r>
      <w:proofErr w:type="spellEnd"/>
      <w:r w:rsidRPr="00894064">
        <w:t xml:space="preserve"> i risultati del test hanno dimostrato che il foglio illustrativo corrisponde ai criteri imposti dalla linea guida sulla leggibilità di etichetta e foglio illustrativo dei medicinali per uso umano.</w:t>
      </w:r>
    </w:p>
    <w:p w:rsidR="00DC49CC" w:rsidRPr="00894064" w:rsidRDefault="00DC49CC" w:rsidP="0059098E">
      <w:pPr>
        <w:pStyle w:val="Paragrafoelenco"/>
        <w:spacing w:after="0" w:line="240" w:lineRule="auto"/>
        <w:ind w:left="0"/>
        <w:jc w:val="both"/>
      </w:pPr>
    </w:p>
    <w:p w:rsidR="00DC49CC" w:rsidRPr="00894064" w:rsidRDefault="00DC49CC" w:rsidP="0059098E">
      <w:pPr>
        <w:spacing w:after="0" w:line="240" w:lineRule="auto"/>
        <w:jc w:val="both"/>
        <w:rPr>
          <w:highlight w:val="yellow"/>
        </w:rPr>
      </w:pPr>
    </w:p>
    <w:p w:rsidR="00DC49CC" w:rsidRPr="00894064" w:rsidRDefault="00DC49CC" w:rsidP="0059098E">
      <w:pPr>
        <w:pStyle w:val="Paragrafoelenco"/>
        <w:numPr>
          <w:ilvl w:val="0"/>
          <w:numId w:val="7"/>
        </w:numPr>
        <w:spacing w:after="0" w:line="240" w:lineRule="auto"/>
        <w:jc w:val="both"/>
        <w:rPr>
          <w:b/>
        </w:rPr>
      </w:pPr>
      <w:r w:rsidRPr="00894064">
        <w:rPr>
          <w:b/>
        </w:rPr>
        <w:t>CONCLUSIONI, VALUTAZIONE DEL RAPPORTO BENEFICIO/RISCHIO E RACCOMANDAZIONI</w:t>
      </w:r>
    </w:p>
    <w:p w:rsidR="00DC49CC" w:rsidRPr="00894064" w:rsidRDefault="00DC49CC" w:rsidP="0059098E">
      <w:pPr>
        <w:spacing w:after="0" w:line="240" w:lineRule="auto"/>
        <w:jc w:val="both"/>
      </w:pPr>
      <w:r w:rsidRPr="00894064">
        <w:t xml:space="preserve">La qualità di </w:t>
      </w:r>
      <w:proofErr w:type="spellStart"/>
      <w:r w:rsidR="00E307AA">
        <w:rPr>
          <w:snapToGrid w:val="0"/>
        </w:rPr>
        <w:t>Levosulpiride</w:t>
      </w:r>
      <w:proofErr w:type="spellEnd"/>
      <w:r w:rsidR="00E307AA">
        <w:rPr>
          <w:snapToGrid w:val="0"/>
        </w:rPr>
        <w:t xml:space="preserve"> </w:t>
      </w:r>
      <w:r w:rsidR="00323123">
        <w:rPr>
          <w:snapToGrid w:val="0"/>
        </w:rPr>
        <w:t>Ipso Pharma</w:t>
      </w:r>
      <w:r w:rsidRPr="00894064">
        <w:t xml:space="preserve"> è accettabile e non sono state rilevate criticità da un punto di vista non clinico e clinico.</w:t>
      </w:r>
    </w:p>
    <w:p w:rsidR="00DC49CC" w:rsidRPr="00894064" w:rsidRDefault="00DC49CC" w:rsidP="0059098E">
      <w:pPr>
        <w:spacing w:after="0" w:line="240" w:lineRule="auto"/>
        <w:jc w:val="both"/>
      </w:pPr>
      <w:r>
        <w:t>Gli</w:t>
      </w:r>
      <w:r w:rsidRPr="00894064">
        <w:t xml:space="preserve"> studi di bioequivalenza e le sue conclusioni confermano che </w:t>
      </w:r>
      <w:proofErr w:type="spellStart"/>
      <w:r w:rsidR="00E307AA">
        <w:rPr>
          <w:snapToGrid w:val="0"/>
        </w:rPr>
        <w:t>Levosulpiride</w:t>
      </w:r>
      <w:proofErr w:type="spellEnd"/>
      <w:r w:rsidR="00E307AA">
        <w:rPr>
          <w:snapToGrid w:val="0"/>
        </w:rPr>
        <w:t xml:space="preserve"> </w:t>
      </w:r>
      <w:r w:rsidR="00323123">
        <w:rPr>
          <w:snapToGrid w:val="0"/>
        </w:rPr>
        <w:t>Ipso Pharma</w:t>
      </w:r>
      <w:r w:rsidRPr="00894064">
        <w:t xml:space="preserve"> e il medicinale di riferimento </w:t>
      </w:r>
      <w:proofErr w:type="spellStart"/>
      <w:r w:rsidR="00DD3E4F">
        <w:t>Levopraid</w:t>
      </w:r>
      <w:proofErr w:type="spellEnd"/>
      <w:r w:rsidRPr="00894064">
        <w:t xml:space="preserve"> sono </w:t>
      </w:r>
      <w:proofErr w:type="spellStart"/>
      <w:r w:rsidRPr="00894064">
        <w:t>bioequivalenti</w:t>
      </w:r>
      <w:proofErr w:type="spellEnd"/>
      <w:r w:rsidRPr="00894064">
        <w:t>.</w:t>
      </w:r>
    </w:p>
    <w:p w:rsidR="00DC49CC" w:rsidRPr="00894064" w:rsidRDefault="00DC49CC" w:rsidP="0059098E">
      <w:pPr>
        <w:spacing w:after="0" w:line="240" w:lineRule="auto"/>
        <w:jc w:val="both"/>
      </w:pPr>
      <w:r w:rsidRPr="00894064">
        <w:t>Il rapporto beneficio/rischio è considerato positivo.</w:t>
      </w:r>
    </w:p>
    <w:p w:rsidR="00DC49CC" w:rsidRPr="00894064" w:rsidRDefault="00DC49CC" w:rsidP="0059098E">
      <w:pPr>
        <w:spacing w:after="0" w:line="240" w:lineRule="auto"/>
        <w:jc w:val="both"/>
      </w:pPr>
      <w:r w:rsidRPr="00894064">
        <w:t xml:space="preserve">Il riassunto delle caratteristiche del prodotto, il foglio illustrativo e le etichette sono in linea con le correnti linee guida. Questi documenti possono essere consultati sul sito istituzionale di AIFA </w:t>
      </w:r>
      <w:r w:rsidRPr="00894064">
        <w:rPr>
          <w:rFonts w:cs="Calibri"/>
          <w:lang w:eastAsia="it-IT"/>
        </w:rPr>
        <w:t>(</w:t>
      </w:r>
      <w:hyperlink r:id="rId11" w:history="1">
        <w:r w:rsidRPr="00894064">
          <w:rPr>
            <w:rStyle w:val="Collegamentoipertestuale"/>
            <w:rFonts w:cs="Calibri"/>
          </w:rPr>
          <w:t>https://farmaci.agenziafarmaco.gov.it/bancadatifarmaci</w:t>
        </w:r>
      </w:hyperlink>
      <w:r w:rsidRPr="00894064">
        <w:rPr>
          <w:rFonts w:cs="Calibri"/>
          <w:lang w:eastAsia="it-IT"/>
        </w:rPr>
        <w:t>).</w:t>
      </w:r>
      <w:r w:rsidRPr="00894064">
        <w:t xml:space="preserve"> </w:t>
      </w:r>
    </w:p>
    <w:p w:rsidR="00DC49CC" w:rsidRDefault="00DC49CC" w:rsidP="0059098E">
      <w:pPr>
        <w:spacing w:after="0" w:line="240" w:lineRule="auto"/>
      </w:pPr>
    </w:p>
    <w:p w:rsidR="00DC49CC" w:rsidRDefault="00DC49CC" w:rsidP="0059098E">
      <w:pPr>
        <w:spacing w:after="0" w:line="240" w:lineRule="auto"/>
        <w:jc w:val="both"/>
        <w:rPr>
          <w:rFonts w:eastAsia="Calibri" w:cs="Calibri"/>
          <w:lang w:eastAsia="it-IT"/>
        </w:rPr>
      </w:pPr>
    </w:p>
    <w:sectPr w:rsidR="00DC49CC" w:rsidSect="00787D23">
      <w:pgSz w:w="11906" w:h="16838"/>
      <w:pgMar w:top="1361" w:right="907" w:bottom="907"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9E7" w:rsidRDefault="006A59E7" w:rsidP="00371932">
      <w:pPr>
        <w:spacing w:after="0" w:line="240" w:lineRule="auto"/>
      </w:pPr>
      <w:r>
        <w:separator/>
      </w:r>
    </w:p>
  </w:endnote>
  <w:endnote w:type="continuationSeparator" w:id="0">
    <w:p w:rsidR="006A59E7" w:rsidRDefault="006A59E7" w:rsidP="003719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Sans">
    <w:altName w:val="MS Gothic"/>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9E7" w:rsidRDefault="006A59E7" w:rsidP="00371932">
      <w:pPr>
        <w:spacing w:after="0" w:line="240" w:lineRule="auto"/>
      </w:pPr>
      <w:r>
        <w:separator/>
      </w:r>
    </w:p>
  </w:footnote>
  <w:footnote w:type="continuationSeparator" w:id="0">
    <w:p w:rsidR="006A59E7" w:rsidRDefault="006A59E7" w:rsidP="003719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BD041B"/>
    <w:multiLevelType w:val="hybridMultilevel"/>
    <w:tmpl w:val="F4FE3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BA0D46"/>
    <w:multiLevelType w:val="hybridMultilevel"/>
    <w:tmpl w:val="B5BEB1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18953601"/>
    <w:multiLevelType w:val="hybridMultilevel"/>
    <w:tmpl w:val="04163B56"/>
    <w:lvl w:ilvl="0" w:tplc="C550147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3011A1"/>
    <w:multiLevelType w:val="hybridMultilevel"/>
    <w:tmpl w:val="C0786CBA"/>
    <w:lvl w:ilvl="0" w:tplc="C516861A">
      <w:start w:val="1"/>
      <w:numFmt w:val="upperRoman"/>
      <w:lvlText w:val="%1."/>
      <w:lvlJc w:val="left"/>
      <w:pPr>
        <w:ind w:left="1080" w:hanging="720"/>
      </w:pPr>
      <w:rPr>
        <w:rFonts w:hint="default"/>
      </w:rPr>
    </w:lvl>
    <w:lvl w:ilvl="1" w:tplc="8BF2687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4440629"/>
    <w:multiLevelType w:val="hybridMultilevel"/>
    <w:tmpl w:val="59B4D474"/>
    <w:lvl w:ilvl="0" w:tplc="E66EBD3E">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27BD26E7"/>
    <w:multiLevelType w:val="hybridMultilevel"/>
    <w:tmpl w:val="6E706044"/>
    <w:lvl w:ilvl="0" w:tplc="C550147A">
      <w:start w:val="1"/>
      <w:numFmt w:val="bullet"/>
      <w:lvlText w:val=""/>
      <w:lvlJc w:val="left"/>
      <w:pPr>
        <w:ind w:left="720" w:hanging="360"/>
      </w:pPr>
      <w:rPr>
        <w:rFonts w:ascii="Symbol" w:hAnsi="Symbol" w:hint="default"/>
      </w:rPr>
    </w:lvl>
    <w:lvl w:ilvl="1" w:tplc="C550147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B0D5C37"/>
    <w:multiLevelType w:val="hybridMultilevel"/>
    <w:tmpl w:val="00CE3C90"/>
    <w:lvl w:ilvl="0" w:tplc="D592CA22">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nsid w:val="62FF2A42"/>
    <w:multiLevelType w:val="hybridMultilevel"/>
    <w:tmpl w:val="3A82FC82"/>
    <w:lvl w:ilvl="0" w:tplc="9222B050">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5C2098F"/>
    <w:multiLevelType w:val="hybridMultilevel"/>
    <w:tmpl w:val="C0FC03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6CDF72CC"/>
    <w:multiLevelType w:val="hybridMultilevel"/>
    <w:tmpl w:val="DCB47D3E"/>
    <w:lvl w:ilvl="0" w:tplc="539876DA">
      <w:start w:val="1"/>
      <w:numFmt w:val="bullet"/>
      <w:lvlText w:val=""/>
      <w:lvlJc w:val="left"/>
      <w:pPr>
        <w:ind w:left="720" w:hanging="360"/>
      </w:pPr>
      <w:rPr>
        <w:rFonts w:ascii="Symbol" w:hAnsi="Symbol" w:hint="default"/>
        <w:sz w:val="16"/>
      </w:rPr>
    </w:lvl>
    <w:lvl w:ilvl="1" w:tplc="D3AE77C2">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D5D1DE0"/>
    <w:multiLevelType w:val="hybridMultilevel"/>
    <w:tmpl w:val="A09E7F86"/>
    <w:lvl w:ilvl="0" w:tplc="C55014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0"/>
    <w:lvlOverride w:ilvl="0">
      <w:lvl w:ilvl="0">
        <w:start w:val="1"/>
        <w:numFmt w:val="bullet"/>
        <w:lvlText w:val=""/>
        <w:legacy w:legacy="1" w:legacySpace="0" w:legacyIndent="283"/>
        <w:lvlJc w:val="left"/>
        <w:rPr>
          <w:rFonts w:ascii="Symbol" w:hAnsi="Symbol" w:hint="default"/>
        </w:rPr>
      </w:lvl>
    </w:lvlOverride>
  </w:num>
  <w:num w:numId="4">
    <w:abstractNumId w:val="2"/>
  </w:num>
  <w:num w:numId="5">
    <w:abstractNumId w:val="11"/>
  </w:num>
  <w:num w:numId="6">
    <w:abstractNumId w:val="4"/>
  </w:num>
  <w:num w:numId="7">
    <w:abstractNumId w:val="9"/>
  </w:num>
  <w:num w:numId="8">
    <w:abstractNumId w:val="5"/>
  </w:num>
  <w:num w:numId="9">
    <w:abstractNumId w:val="7"/>
  </w:num>
  <w:num w:numId="10">
    <w:abstractNumId w:val="12"/>
  </w:num>
  <w:num w:numId="11">
    <w:abstractNumId w:val="10"/>
  </w:num>
  <w:num w:numId="12">
    <w:abstractNumId w:val="3"/>
  </w:num>
  <w:num w:numId="13">
    <w:abstractNumId w:val="6"/>
  </w:num>
  <w:num w:numId="14">
    <w:abstractNumId w:val="14"/>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4241AC"/>
    <w:rsid w:val="00000787"/>
    <w:rsid w:val="00001F0B"/>
    <w:rsid w:val="00013020"/>
    <w:rsid w:val="0001762A"/>
    <w:rsid w:val="00022B93"/>
    <w:rsid w:val="00030FE5"/>
    <w:rsid w:val="00037F9B"/>
    <w:rsid w:val="000425E0"/>
    <w:rsid w:val="00060A64"/>
    <w:rsid w:val="00062636"/>
    <w:rsid w:val="00071B00"/>
    <w:rsid w:val="000737C3"/>
    <w:rsid w:val="000739DD"/>
    <w:rsid w:val="00077016"/>
    <w:rsid w:val="0008763F"/>
    <w:rsid w:val="00093726"/>
    <w:rsid w:val="00097D78"/>
    <w:rsid w:val="000A2A03"/>
    <w:rsid w:val="000A7624"/>
    <w:rsid w:val="000B0D61"/>
    <w:rsid w:val="000B1DCF"/>
    <w:rsid w:val="000B6481"/>
    <w:rsid w:val="000D2313"/>
    <w:rsid w:val="000E1A3B"/>
    <w:rsid w:val="000F0E7E"/>
    <w:rsid w:val="00100409"/>
    <w:rsid w:val="00111E9E"/>
    <w:rsid w:val="0011250C"/>
    <w:rsid w:val="0012708A"/>
    <w:rsid w:val="00135415"/>
    <w:rsid w:val="0016701E"/>
    <w:rsid w:val="00180C71"/>
    <w:rsid w:val="00181F56"/>
    <w:rsid w:val="001C1A8E"/>
    <w:rsid w:val="001D08F6"/>
    <w:rsid w:val="001E7E47"/>
    <w:rsid w:val="0023183B"/>
    <w:rsid w:val="00236985"/>
    <w:rsid w:val="00237B87"/>
    <w:rsid w:val="00246D26"/>
    <w:rsid w:val="00253814"/>
    <w:rsid w:val="002748E4"/>
    <w:rsid w:val="002817B6"/>
    <w:rsid w:val="002937E3"/>
    <w:rsid w:val="00294895"/>
    <w:rsid w:val="00297189"/>
    <w:rsid w:val="002B0F72"/>
    <w:rsid w:val="002D4C36"/>
    <w:rsid w:val="002F7C1A"/>
    <w:rsid w:val="00306DD8"/>
    <w:rsid w:val="00320B87"/>
    <w:rsid w:val="0032175C"/>
    <w:rsid w:val="00323123"/>
    <w:rsid w:val="00323E49"/>
    <w:rsid w:val="00341F89"/>
    <w:rsid w:val="003440B2"/>
    <w:rsid w:val="00361FF5"/>
    <w:rsid w:val="00371932"/>
    <w:rsid w:val="003762D3"/>
    <w:rsid w:val="00380099"/>
    <w:rsid w:val="003A0F04"/>
    <w:rsid w:val="003B1B77"/>
    <w:rsid w:val="003C47A6"/>
    <w:rsid w:val="003D43F5"/>
    <w:rsid w:val="003D479A"/>
    <w:rsid w:val="003E4A98"/>
    <w:rsid w:val="004059F8"/>
    <w:rsid w:val="00406421"/>
    <w:rsid w:val="004241AC"/>
    <w:rsid w:val="00424A5A"/>
    <w:rsid w:val="004263B4"/>
    <w:rsid w:val="00445F97"/>
    <w:rsid w:val="00452364"/>
    <w:rsid w:val="00467593"/>
    <w:rsid w:val="00473C47"/>
    <w:rsid w:val="00480D26"/>
    <w:rsid w:val="00487F4D"/>
    <w:rsid w:val="00491C6F"/>
    <w:rsid w:val="004A1685"/>
    <w:rsid w:val="004B20A8"/>
    <w:rsid w:val="004B7E5B"/>
    <w:rsid w:val="004C32A6"/>
    <w:rsid w:val="004C54EE"/>
    <w:rsid w:val="004E1D51"/>
    <w:rsid w:val="004E3BD0"/>
    <w:rsid w:val="00502683"/>
    <w:rsid w:val="005079E7"/>
    <w:rsid w:val="00507E9B"/>
    <w:rsid w:val="00516411"/>
    <w:rsid w:val="00535D7D"/>
    <w:rsid w:val="005518C1"/>
    <w:rsid w:val="00561F9C"/>
    <w:rsid w:val="00566B07"/>
    <w:rsid w:val="00570E38"/>
    <w:rsid w:val="00571F56"/>
    <w:rsid w:val="00580609"/>
    <w:rsid w:val="0059098E"/>
    <w:rsid w:val="00592631"/>
    <w:rsid w:val="005928E6"/>
    <w:rsid w:val="00596F9D"/>
    <w:rsid w:val="005A2C8B"/>
    <w:rsid w:val="005A64F7"/>
    <w:rsid w:val="005B50AD"/>
    <w:rsid w:val="005D06DA"/>
    <w:rsid w:val="005E18C6"/>
    <w:rsid w:val="005F3FD7"/>
    <w:rsid w:val="0063028A"/>
    <w:rsid w:val="00634D0F"/>
    <w:rsid w:val="00665EFF"/>
    <w:rsid w:val="0067765F"/>
    <w:rsid w:val="006A59E7"/>
    <w:rsid w:val="006C122D"/>
    <w:rsid w:val="006C7E98"/>
    <w:rsid w:val="006F5F62"/>
    <w:rsid w:val="0070652E"/>
    <w:rsid w:val="00730C29"/>
    <w:rsid w:val="007441A6"/>
    <w:rsid w:val="00767A03"/>
    <w:rsid w:val="00787D23"/>
    <w:rsid w:val="00792C54"/>
    <w:rsid w:val="00794421"/>
    <w:rsid w:val="00795691"/>
    <w:rsid w:val="007B251F"/>
    <w:rsid w:val="007B6C6B"/>
    <w:rsid w:val="007D0622"/>
    <w:rsid w:val="007E6F4B"/>
    <w:rsid w:val="00826C22"/>
    <w:rsid w:val="00840E7D"/>
    <w:rsid w:val="008445DA"/>
    <w:rsid w:val="00862596"/>
    <w:rsid w:val="00874733"/>
    <w:rsid w:val="00885522"/>
    <w:rsid w:val="008E4EE7"/>
    <w:rsid w:val="00901E3F"/>
    <w:rsid w:val="00913603"/>
    <w:rsid w:val="00922AF6"/>
    <w:rsid w:val="00922F17"/>
    <w:rsid w:val="00923643"/>
    <w:rsid w:val="009338D3"/>
    <w:rsid w:val="00941522"/>
    <w:rsid w:val="009469B6"/>
    <w:rsid w:val="0096313A"/>
    <w:rsid w:val="009635D4"/>
    <w:rsid w:val="00967924"/>
    <w:rsid w:val="00971964"/>
    <w:rsid w:val="00982AA7"/>
    <w:rsid w:val="00990189"/>
    <w:rsid w:val="00991D00"/>
    <w:rsid w:val="009A2010"/>
    <w:rsid w:val="009A260F"/>
    <w:rsid w:val="009B03DB"/>
    <w:rsid w:val="009D1F15"/>
    <w:rsid w:val="009E23BD"/>
    <w:rsid w:val="009F16FA"/>
    <w:rsid w:val="00A05212"/>
    <w:rsid w:val="00A1005E"/>
    <w:rsid w:val="00A12CE2"/>
    <w:rsid w:val="00A21FA4"/>
    <w:rsid w:val="00A40FF3"/>
    <w:rsid w:val="00A715C0"/>
    <w:rsid w:val="00A71B45"/>
    <w:rsid w:val="00A77786"/>
    <w:rsid w:val="00AB19B2"/>
    <w:rsid w:val="00AB1A27"/>
    <w:rsid w:val="00AB4CB9"/>
    <w:rsid w:val="00AB54C2"/>
    <w:rsid w:val="00AB71B8"/>
    <w:rsid w:val="00AE0652"/>
    <w:rsid w:val="00AE70D7"/>
    <w:rsid w:val="00AF448E"/>
    <w:rsid w:val="00B27F42"/>
    <w:rsid w:val="00B3262E"/>
    <w:rsid w:val="00B34F9B"/>
    <w:rsid w:val="00B46BB6"/>
    <w:rsid w:val="00B5001E"/>
    <w:rsid w:val="00B62E3E"/>
    <w:rsid w:val="00B64DB3"/>
    <w:rsid w:val="00B70578"/>
    <w:rsid w:val="00B84C20"/>
    <w:rsid w:val="00B90347"/>
    <w:rsid w:val="00B9671B"/>
    <w:rsid w:val="00B974BC"/>
    <w:rsid w:val="00BA0A19"/>
    <w:rsid w:val="00BA7B16"/>
    <w:rsid w:val="00BA7D67"/>
    <w:rsid w:val="00BB4CC4"/>
    <w:rsid w:val="00BB7117"/>
    <w:rsid w:val="00BC74C2"/>
    <w:rsid w:val="00BE2C92"/>
    <w:rsid w:val="00BF4BEF"/>
    <w:rsid w:val="00C03F9F"/>
    <w:rsid w:val="00C352A1"/>
    <w:rsid w:val="00C4709D"/>
    <w:rsid w:val="00C56668"/>
    <w:rsid w:val="00C72386"/>
    <w:rsid w:val="00C73763"/>
    <w:rsid w:val="00CA03F0"/>
    <w:rsid w:val="00CA4146"/>
    <w:rsid w:val="00CB7E5E"/>
    <w:rsid w:val="00CC21D8"/>
    <w:rsid w:val="00CC37E2"/>
    <w:rsid w:val="00CC7AFF"/>
    <w:rsid w:val="00D00120"/>
    <w:rsid w:val="00D05DEB"/>
    <w:rsid w:val="00D20170"/>
    <w:rsid w:val="00D64F23"/>
    <w:rsid w:val="00D85980"/>
    <w:rsid w:val="00D85C3C"/>
    <w:rsid w:val="00DC49CC"/>
    <w:rsid w:val="00DD27A5"/>
    <w:rsid w:val="00DD3E4F"/>
    <w:rsid w:val="00DF4CE3"/>
    <w:rsid w:val="00DF5A8A"/>
    <w:rsid w:val="00E00618"/>
    <w:rsid w:val="00E1408D"/>
    <w:rsid w:val="00E211C7"/>
    <w:rsid w:val="00E307AA"/>
    <w:rsid w:val="00E417E7"/>
    <w:rsid w:val="00E43089"/>
    <w:rsid w:val="00E45EFF"/>
    <w:rsid w:val="00E465F5"/>
    <w:rsid w:val="00E65C8A"/>
    <w:rsid w:val="00E83CAE"/>
    <w:rsid w:val="00E83F8D"/>
    <w:rsid w:val="00E840A5"/>
    <w:rsid w:val="00E9150F"/>
    <w:rsid w:val="00EB17FA"/>
    <w:rsid w:val="00EB4E0E"/>
    <w:rsid w:val="00EC2F72"/>
    <w:rsid w:val="00EC56CD"/>
    <w:rsid w:val="00EC7D2C"/>
    <w:rsid w:val="00ED2C6B"/>
    <w:rsid w:val="00ED3C61"/>
    <w:rsid w:val="00EE29EF"/>
    <w:rsid w:val="00EE703A"/>
    <w:rsid w:val="00EE7817"/>
    <w:rsid w:val="00EF062E"/>
    <w:rsid w:val="00EF5475"/>
    <w:rsid w:val="00F22C10"/>
    <w:rsid w:val="00F55419"/>
    <w:rsid w:val="00F66767"/>
    <w:rsid w:val="00F73A26"/>
    <w:rsid w:val="00FA2702"/>
    <w:rsid w:val="00FB3F6A"/>
    <w:rsid w:val="00FB455A"/>
    <w:rsid w:val="00FB5AAD"/>
    <w:rsid w:val="00FB710D"/>
    <w:rsid w:val="00FE2114"/>
    <w:rsid w:val="00FE59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AB54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unhideWhenUsed/>
    <w:qFormat/>
    <w:rsid w:val="000425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99"/>
    <w:qFormat/>
    <w:rsid w:val="00452364"/>
    <w:pPr>
      <w:ind w:left="720"/>
      <w:contextualSpacing/>
    </w:pPr>
  </w:style>
  <w:style w:type="character" w:styleId="Collegamentoipertestuale">
    <w:name w:val="Hyperlink"/>
    <w:basedOn w:val="Carpredefinitoparagrafo"/>
    <w:uiPriority w:val="99"/>
    <w:unhideWhenUsed/>
    <w:rsid w:val="002748E4"/>
    <w:rPr>
      <w:color w:val="0000FF" w:themeColor="hyperlink"/>
      <w:u w:val="single"/>
    </w:rPr>
  </w:style>
  <w:style w:type="character" w:styleId="Collegamentovisitato">
    <w:name w:val="FollowedHyperlink"/>
    <w:basedOn w:val="Carpredefinitoparagrafo"/>
    <w:uiPriority w:val="99"/>
    <w:semiHidden/>
    <w:unhideWhenUsed/>
    <w:rsid w:val="002748E4"/>
    <w:rPr>
      <w:color w:val="800080" w:themeColor="followedHyperlink"/>
      <w:u w:val="single"/>
    </w:rPr>
  </w:style>
  <w:style w:type="character" w:customStyle="1" w:styleId="Titolo1Carattere">
    <w:name w:val="Titolo 1 Carattere"/>
    <w:basedOn w:val="Carpredefinitoparagrafo"/>
    <w:link w:val="Titolo1"/>
    <w:uiPriority w:val="9"/>
    <w:rsid w:val="00AB54C2"/>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AB54C2"/>
    <w:rPr>
      <w:rFonts w:ascii="Arial" w:hAnsi="Arial" w:cs="Arial" w:hint="default"/>
    </w:rPr>
  </w:style>
  <w:style w:type="paragraph" w:styleId="Didascalia">
    <w:name w:val="caption"/>
    <w:basedOn w:val="Normale"/>
    <w:next w:val="Normale"/>
    <w:qFormat/>
    <w:rsid w:val="00AB54C2"/>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3D47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37193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71932"/>
  </w:style>
  <w:style w:type="paragraph" w:styleId="Pidipagina">
    <w:name w:val="footer"/>
    <w:basedOn w:val="Normale"/>
    <w:link w:val="PidipaginaCarattere"/>
    <w:uiPriority w:val="99"/>
    <w:semiHidden/>
    <w:unhideWhenUsed/>
    <w:rsid w:val="0037193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71932"/>
  </w:style>
  <w:style w:type="character" w:customStyle="1" w:styleId="Titolo2Carattere">
    <w:name w:val="Titolo 2 Carattere"/>
    <w:basedOn w:val="Carpredefinitoparagrafo"/>
    <w:link w:val="Titolo2"/>
    <w:uiPriority w:val="9"/>
    <w:rsid w:val="000425E0"/>
    <w:rPr>
      <w:rFonts w:asciiTheme="majorHAnsi" w:eastAsiaTheme="majorEastAsia" w:hAnsiTheme="majorHAnsi" w:cstheme="majorBidi"/>
      <w:b/>
      <w:bCs/>
      <w:color w:val="4F81BD" w:themeColor="accent1"/>
      <w:sz w:val="26"/>
      <w:szCs w:val="26"/>
    </w:rPr>
  </w:style>
  <w:style w:type="paragraph" w:styleId="NormaleWeb">
    <w:name w:val="Normal (Web)"/>
    <w:basedOn w:val="Normale"/>
    <w:uiPriority w:val="99"/>
    <w:unhideWhenUsed/>
    <w:rsid w:val="00E840A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E840A5"/>
    <w:rPr>
      <w:b/>
      <w:bCs/>
    </w:rPr>
  </w:style>
  <w:style w:type="character" w:customStyle="1" w:styleId="apple-converted-space">
    <w:name w:val="apple-converted-space"/>
    <w:basedOn w:val="Carpredefinitoparagrafo"/>
    <w:rsid w:val="00E840A5"/>
  </w:style>
  <w:style w:type="character" w:styleId="Rimandocommento">
    <w:name w:val="annotation reference"/>
    <w:basedOn w:val="Carpredefinitoparagrafo"/>
    <w:uiPriority w:val="99"/>
    <w:semiHidden/>
    <w:unhideWhenUsed/>
    <w:rsid w:val="00941522"/>
    <w:rPr>
      <w:sz w:val="16"/>
      <w:szCs w:val="16"/>
    </w:rPr>
  </w:style>
  <w:style w:type="paragraph" w:styleId="Testocommento">
    <w:name w:val="annotation text"/>
    <w:basedOn w:val="Normale"/>
    <w:link w:val="TestocommentoCarattere"/>
    <w:uiPriority w:val="99"/>
    <w:semiHidden/>
    <w:unhideWhenUsed/>
    <w:rsid w:val="0094152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41522"/>
    <w:rPr>
      <w:sz w:val="20"/>
      <w:szCs w:val="20"/>
    </w:rPr>
  </w:style>
  <w:style w:type="paragraph" w:styleId="Soggettocommento">
    <w:name w:val="annotation subject"/>
    <w:basedOn w:val="Testocommento"/>
    <w:next w:val="Testocommento"/>
    <w:link w:val="SoggettocommentoCarattere"/>
    <w:uiPriority w:val="99"/>
    <w:semiHidden/>
    <w:unhideWhenUsed/>
    <w:rsid w:val="00941522"/>
    <w:rPr>
      <w:b/>
      <w:bCs/>
    </w:rPr>
  </w:style>
  <w:style w:type="character" w:customStyle="1" w:styleId="SoggettocommentoCarattere">
    <w:name w:val="Soggetto commento Carattere"/>
    <w:basedOn w:val="TestocommentoCarattere"/>
    <w:link w:val="Soggettocommento"/>
    <w:uiPriority w:val="99"/>
    <w:semiHidden/>
    <w:rsid w:val="009415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998529">
      <w:bodyDiv w:val="1"/>
      <w:marLeft w:val="0"/>
      <w:marRight w:val="0"/>
      <w:marTop w:val="0"/>
      <w:marBottom w:val="0"/>
      <w:divBdr>
        <w:top w:val="none" w:sz="0" w:space="0" w:color="auto"/>
        <w:left w:val="none" w:sz="0" w:space="0" w:color="auto"/>
        <w:bottom w:val="none" w:sz="0" w:space="0" w:color="auto"/>
        <w:right w:val="none" w:sz="0" w:space="0" w:color="auto"/>
      </w:divBdr>
    </w:div>
    <w:div w:id="303586804">
      <w:bodyDiv w:val="1"/>
      <w:marLeft w:val="0"/>
      <w:marRight w:val="0"/>
      <w:marTop w:val="0"/>
      <w:marBottom w:val="0"/>
      <w:divBdr>
        <w:top w:val="none" w:sz="0" w:space="0" w:color="auto"/>
        <w:left w:val="none" w:sz="0" w:space="0" w:color="auto"/>
        <w:bottom w:val="none" w:sz="0" w:space="0" w:color="auto"/>
        <w:right w:val="none" w:sz="0" w:space="0" w:color="auto"/>
      </w:divBdr>
    </w:div>
    <w:div w:id="380635131">
      <w:bodyDiv w:val="1"/>
      <w:marLeft w:val="0"/>
      <w:marRight w:val="0"/>
      <w:marTop w:val="0"/>
      <w:marBottom w:val="0"/>
      <w:divBdr>
        <w:top w:val="none" w:sz="0" w:space="0" w:color="auto"/>
        <w:left w:val="none" w:sz="0" w:space="0" w:color="auto"/>
        <w:bottom w:val="none" w:sz="0" w:space="0" w:color="auto"/>
        <w:right w:val="none" w:sz="0" w:space="0" w:color="auto"/>
      </w:divBdr>
    </w:div>
    <w:div w:id="404760616">
      <w:bodyDiv w:val="1"/>
      <w:marLeft w:val="0"/>
      <w:marRight w:val="0"/>
      <w:marTop w:val="0"/>
      <w:marBottom w:val="0"/>
      <w:divBdr>
        <w:top w:val="none" w:sz="0" w:space="0" w:color="auto"/>
        <w:left w:val="none" w:sz="0" w:space="0" w:color="auto"/>
        <w:bottom w:val="none" w:sz="0" w:space="0" w:color="auto"/>
        <w:right w:val="none" w:sz="0" w:space="0" w:color="auto"/>
      </w:divBdr>
    </w:div>
    <w:div w:id="492182124">
      <w:bodyDiv w:val="1"/>
      <w:marLeft w:val="0"/>
      <w:marRight w:val="0"/>
      <w:marTop w:val="0"/>
      <w:marBottom w:val="0"/>
      <w:divBdr>
        <w:top w:val="none" w:sz="0" w:space="0" w:color="auto"/>
        <w:left w:val="none" w:sz="0" w:space="0" w:color="auto"/>
        <w:bottom w:val="none" w:sz="0" w:space="0" w:color="auto"/>
        <w:right w:val="none" w:sz="0" w:space="0" w:color="auto"/>
      </w:divBdr>
    </w:div>
    <w:div w:id="600184618">
      <w:bodyDiv w:val="1"/>
      <w:marLeft w:val="0"/>
      <w:marRight w:val="0"/>
      <w:marTop w:val="0"/>
      <w:marBottom w:val="0"/>
      <w:divBdr>
        <w:top w:val="none" w:sz="0" w:space="0" w:color="auto"/>
        <w:left w:val="none" w:sz="0" w:space="0" w:color="auto"/>
        <w:bottom w:val="none" w:sz="0" w:space="0" w:color="auto"/>
        <w:right w:val="none" w:sz="0" w:space="0" w:color="auto"/>
      </w:divBdr>
    </w:div>
    <w:div w:id="1590694233">
      <w:bodyDiv w:val="1"/>
      <w:marLeft w:val="0"/>
      <w:marRight w:val="0"/>
      <w:marTop w:val="0"/>
      <w:marBottom w:val="0"/>
      <w:divBdr>
        <w:top w:val="none" w:sz="0" w:space="0" w:color="auto"/>
        <w:left w:val="none" w:sz="0" w:space="0" w:color="auto"/>
        <w:bottom w:val="none" w:sz="0" w:space="0" w:color="auto"/>
        <w:right w:val="none" w:sz="0" w:space="0" w:color="auto"/>
      </w:divBdr>
    </w:div>
    <w:div w:id="1709063969">
      <w:bodyDiv w:val="1"/>
      <w:marLeft w:val="0"/>
      <w:marRight w:val="0"/>
      <w:marTop w:val="0"/>
      <w:marBottom w:val="0"/>
      <w:divBdr>
        <w:top w:val="none" w:sz="0" w:space="0" w:color="auto"/>
        <w:left w:val="none" w:sz="0" w:space="0" w:color="auto"/>
        <w:bottom w:val="none" w:sz="0" w:space="0" w:color="auto"/>
        <w:right w:val="none" w:sz="0" w:space="0" w:color="auto"/>
      </w:divBdr>
    </w:div>
    <w:div w:id="1821654924">
      <w:bodyDiv w:val="1"/>
      <w:marLeft w:val="0"/>
      <w:marRight w:val="0"/>
      <w:marTop w:val="0"/>
      <w:marBottom w:val="0"/>
      <w:divBdr>
        <w:top w:val="none" w:sz="0" w:space="0" w:color="auto"/>
        <w:left w:val="none" w:sz="0" w:space="0" w:color="auto"/>
        <w:bottom w:val="none" w:sz="0" w:space="0" w:color="auto"/>
        <w:right w:val="none" w:sz="0" w:space="0" w:color="auto"/>
      </w:divBdr>
    </w:div>
    <w:div w:id="1823156119">
      <w:bodyDiv w:val="1"/>
      <w:marLeft w:val="0"/>
      <w:marRight w:val="0"/>
      <w:marTop w:val="0"/>
      <w:marBottom w:val="0"/>
      <w:divBdr>
        <w:top w:val="none" w:sz="0" w:space="0" w:color="auto"/>
        <w:left w:val="none" w:sz="0" w:space="0" w:color="auto"/>
        <w:bottom w:val="none" w:sz="0" w:space="0" w:color="auto"/>
        <w:right w:val="none" w:sz="0" w:space="0" w:color="auto"/>
      </w:divBdr>
    </w:div>
    <w:div w:id="21044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armaci.agenziafarmaco.gov.it/bancadatifarmaci" TargetMode="External"/><Relationship Id="rId5" Type="http://schemas.openxmlformats.org/officeDocument/2006/relationships/footnotes" Target="footnotes.xml"/><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553</TotalTime>
  <Pages>1</Pages>
  <Words>3390</Words>
  <Characters>19325</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53</cp:revision>
  <dcterms:created xsi:type="dcterms:W3CDTF">2015-08-11T14:08:00Z</dcterms:created>
  <dcterms:modified xsi:type="dcterms:W3CDTF">2016-11-08T09:24:00Z</dcterms:modified>
</cp:coreProperties>
</file>