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Default="006615E6" w:rsidP="0089406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Default="006615E6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A3DB3" w:rsidRDefault="00EE6EE2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MEDEOROS</w:t>
      </w:r>
    </w:p>
    <w:p w:rsidR="00EE6EE2" w:rsidRPr="00894064" w:rsidRDefault="00EE6EE2" w:rsidP="00894064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894064">
        <w:rPr>
          <w:rFonts w:eastAsia="Calibri" w:cs="Times New Roman"/>
          <w:snapToGrid w:val="0"/>
        </w:rPr>
        <w:t>(</w:t>
      </w:r>
      <w:r w:rsidRPr="00894064">
        <w:rPr>
          <w:rFonts w:eastAsia="Calibri" w:cs="Times New Roman"/>
        </w:rPr>
        <w:t>Risedronato sodico</w:t>
      </w:r>
      <w:r w:rsidRPr="00894064">
        <w:rPr>
          <w:rFonts w:eastAsia="Calibri" w:cs="Times New Roman"/>
          <w:snapToGrid w:val="0"/>
        </w:rPr>
        <w:t>)</w:t>
      </w:r>
    </w:p>
    <w:p w:rsidR="004241AC" w:rsidRPr="00894064" w:rsidRDefault="004241AC" w:rsidP="00894064">
      <w:pPr>
        <w:widowControl w:val="0"/>
        <w:spacing w:after="0" w:line="240" w:lineRule="auto"/>
        <w:jc w:val="center"/>
        <w:rPr>
          <w:b/>
        </w:rPr>
      </w:pPr>
    </w:p>
    <w:p w:rsidR="004241AC" w:rsidRPr="00894064" w:rsidRDefault="00EE6EE2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894064">
        <w:rPr>
          <w:b/>
        </w:rPr>
        <w:t>F</w:t>
      </w:r>
      <w:r w:rsidR="00894064" w:rsidRPr="00894064">
        <w:rPr>
          <w:b/>
        </w:rPr>
        <w:t>enix Pharma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4064" w:rsidRPr="00894064" w:rsidRDefault="00894064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894064" w:rsidRDefault="004241AC" w:rsidP="00894064">
      <w:pPr>
        <w:spacing w:after="0" w:line="240" w:lineRule="auto"/>
        <w:jc w:val="center"/>
        <w:rPr>
          <w:b/>
        </w:rPr>
      </w:pPr>
      <w:r w:rsidRPr="00894064">
        <w:rPr>
          <w:b/>
        </w:rPr>
        <w:t xml:space="preserve">Numero di AIC: </w:t>
      </w:r>
      <w:r w:rsidR="001449DA" w:rsidRPr="00894064">
        <w:rPr>
          <w:rFonts w:cs="Helvetica"/>
          <w:b/>
        </w:rPr>
        <w:t>04</w:t>
      </w:r>
      <w:r w:rsidR="00EE6EE2" w:rsidRPr="00894064">
        <w:rPr>
          <w:rFonts w:cs="Helvetica"/>
          <w:b/>
        </w:rPr>
        <w:t>0044</w:t>
      </w:r>
    </w:p>
    <w:bookmarkEnd w:id="0"/>
    <w:p w:rsidR="004241AC" w:rsidRPr="00894064" w:rsidRDefault="004241AC" w:rsidP="00894064">
      <w:pPr>
        <w:spacing w:after="0" w:line="240" w:lineRule="auto"/>
        <w:jc w:val="both"/>
        <w:rPr>
          <w:b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C076B" w:rsidRPr="00894064" w:rsidRDefault="00AC076B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A3DB3" w:rsidRPr="00894064" w:rsidRDefault="003A3DB3" w:rsidP="0089406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894064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3A3DB3" w:rsidRPr="00894064" w:rsidRDefault="003A3DB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t xml:space="preserve">Questa è la sintesi del </w:t>
      </w:r>
      <w:r w:rsidRPr="00894064">
        <w:rPr>
          <w:rFonts w:eastAsia="Calibri" w:cs="Calibri"/>
          <w:i/>
          <w:color w:val="000000"/>
          <w:lang w:eastAsia="it-IT"/>
        </w:rPr>
        <w:t>Public Assessment Report</w:t>
      </w:r>
      <w:r w:rsidRPr="00894064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E6EE2" w:rsidRPr="00894064">
        <w:rPr>
          <w:rFonts w:eastAsia="Calibri" w:cs="Calibri"/>
          <w:color w:val="000000"/>
          <w:lang w:eastAsia="it-IT"/>
        </w:rPr>
        <w:t>Medeoros</w:t>
      </w:r>
      <w:proofErr w:type="spellEnd"/>
      <w:r w:rsidRPr="00894064">
        <w:rPr>
          <w:rFonts w:eastAsia="Calibri" w:cs="Calibri"/>
          <w:color w:val="000000"/>
          <w:lang w:eastAsia="it-IT"/>
        </w:rPr>
        <w:t>.</w:t>
      </w:r>
      <w:r w:rsidR="002C3C14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E6EE2" w:rsidRPr="00894064">
        <w:rPr>
          <w:rFonts w:eastAsia="Calibri" w:cs="Calibri"/>
          <w:color w:val="000000"/>
          <w:lang w:eastAsia="it-IT"/>
        </w:rPr>
        <w:t>Medeoros</w:t>
      </w:r>
      <w:proofErr w:type="spellEnd"/>
      <w:r w:rsidR="002C3C14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247206" w:rsidRPr="00894064">
        <w:rPr>
          <w:rFonts w:eastAsia="Calibri" w:cs="Calibri"/>
          <w:color w:val="000000"/>
          <w:lang w:eastAsia="it-IT"/>
        </w:rPr>
        <w:t>e le sue condizioni di impiego</w:t>
      </w:r>
      <w:r w:rsidRPr="00894064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EE6EE2" w:rsidRPr="00894064">
        <w:rPr>
          <w:rFonts w:eastAsia="Calibri" w:cs="Calibri"/>
          <w:color w:val="000000"/>
          <w:lang w:eastAsia="it-IT"/>
        </w:rPr>
        <w:t>Medeoros</w:t>
      </w:r>
      <w:r w:rsidRPr="00894064">
        <w:rPr>
          <w:rFonts w:eastAsia="Calibri" w:cs="Calibri"/>
          <w:bCs/>
          <w:color w:val="000000"/>
          <w:lang w:eastAsia="it-IT"/>
        </w:rPr>
        <w:t>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t>Per informazioni pratiche sull'utilizzo di</w:t>
      </w:r>
      <w:r w:rsidR="002C3C1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E6EE2" w:rsidRPr="00894064">
        <w:rPr>
          <w:rFonts w:eastAsia="Calibri" w:cs="Calibri"/>
          <w:color w:val="000000"/>
          <w:lang w:eastAsia="it-IT"/>
        </w:rPr>
        <w:t>Medeoros</w:t>
      </w:r>
      <w:proofErr w:type="spellEnd"/>
      <w:r w:rsidR="00EE6EE2" w:rsidRPr="00894064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894064">
        <w:rPr>
          <w:rFonts w:eastAsia="Calibri" w:cs="Calibri"/>
          <w:color w:val="000000"/>
          <w:lang w:eastAsia="it-IT"/>
        </w:rPr>
        <w:t xml:space="preserve">il </w:t>
      </w:r>
      <w:r w:rsidRPr="00894064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EE6EE2" w:rsidRPr="00894064">
        <w:rPr>
          <w:rFonts w:eastAsia="Calibri" w:cs="Calibri"/>
          <w:b/>
          <w:bCs/>
          <w:lang w:eastAsia="it-IT"/>
        </w:rPr>
        <w:t>Medeoros</w:t>
      </w:r>
      <w:proofErr w:type="spellEnd"/>
      <w:r w:rsidR="002C3C14">
        <w:rPr>
          <w:rFonts w:eastAsia="Calibri" w:cs="Calibri"/>
          <w:b/>
          <w:bCs/>
          <w:lang w:eastAsia="it-IT"/>
        </w:rPr>
        <w:t xml:space="preserve"> </w:t>
      </w:r>
      <w:r w:rsidR="00894064" w:rsidRPr="00894064">
        <w:rPr>
          <w:rFonts w:eastAsia="Calibri" w:cs="Calibri"/>
          <w:b/>
          <w:bCs/>
          <w:lang w:eastAsia="it-IT"/>
        </w:rPr>
        <w:t>E A COSA SERVE</w:t>
      </w:r>
      <w:r w:rsidRPr="00894064">
        <w:rPr>
          <w:rFonts w:eastAsia="Calibri" w:cs="Calibri"/>
          <w:b/>
          <w:bCs/>
          <w:lang w:eastAsia="it-IT"/>
        </w:rPr>
        <w:t xml:space="preserve">? </w:t>
      </w:r>
    </w:p>
    <w:p w:rsidR="00EE6EE2" w:rsidRPr="00894064" w:rsidRDefault="00EE6EE2" w:rsidP="00894064">
      <w:pPr>
        <w:widowControl w:val="0"/>
        <w:spacing w:after="0" w:line="240" w:lineRule="auto"/>
        <w:jc w:val="both"/>
      </w:pPr>
      <w:proofErr w:type="spellStart"/>
      <w:r w:rsidRPr="00894064">
        <w:rPr>
          <w:rFonts w:eastAsia="Calibri" w:cs="Calibri"/>
          <w:bCs/>
          <w:lang w:eastAsia="it-IT"/>
        </w:rPr>
        <w:t>Medeoros</w:t>
      </w:r>
      <w:proofErr w:type="spellEnd"/>
      <w:r w:rsidR="002C3C14">
        <w:rPr>
          <w:rFonts w:eastAsia="Calibri" w:cs="Calibri"/>
          <w:bCs/>
          <w:lang w:eastAsia="it-IT"/>
        </w:rPr>
        <w:t xml:space="preserve"> </w:t>
      </w:r>
      <w:r w:rsidR="004241AC" w:rsidRPr="00894064">
        <w:rPr>
          <w:rFonts w:eastAsia="Calibri" w:cs="Calibri"/>
          <w:lang w:eastAsia="it-IT"/>
        </w:rPr>
        <w:t xml:space="preserve">è un medicinale contenente </w:t>
      </w:r>
      <w:r w:rsidR="00062636" w:rsidRPr="00894064">
        <w:rPr>
          <w:rFonts w:eastAsia="Calibri" w:cs="Calibri"/>
          <w:lang w:eastAsia="it-IT"/>
        </w:rPr>
        <w:t>i</w:t>
      </w:r>
      <w:r w:rsidR="00E83F8D" w:rsidRPr="00894064">
        <w:rPr>
          <w:rFonts w:eastAsia="Calibri" w:cs="Calibri"/>
          <w:lang w:eastAsia="it-IT"/>
        </w:rPr>
        <w:t>l</w:t>
      </w:r>
      <w:r w:rsidR="004241AC" w:rsidRPr="00894064">
        <w:rPr>
          <w:rFonts w:eastAsia="Calibri" w:cs="Calibri"/>
          <w:lang w:eastAsia="it-IT"/>
        </w:rPr>
        <w:t xml:space="preserve"> principi</w:t>
      </w:r>
      <w:r w:rsidR="00E83F8D" w:rsidRPr="00894064">
        <w:rPr>
          <w:rFonts w:eastAsia="Calibri" w:cs="Calibri"/>
          <w:lang w:eastAsia="it-IT"/>
        </w:rPr>
        <w:t>o</w:t>
      </w:r>
      <w:r w:rsidR="004241AC" w:rsidRPr="00894064">
        <w:rPr>
          <w:rFonts w:eastAsia="Calibri" w:cs="Calibri"/>
          <w:lang w:eastAsia="it-IT"/>
        </w:rPr>
        <w:t xml:space="preserve"> attiv</w:t>
      </w:r>
      <w:r w:rsidR="00E83F8D" w:rsidRPr="00894064">
        <w:rPr>
          <w:rFonts w:eastAsia="Calibri" w:cs="Calibri"/>
          <w:lang w:eastAsia="it-IT"/>
        </w:rPr>
        <w:t>o</w:t>
      </w:r>
      <w:r w:rsidR="00F7355E">
        <w:rPr>
          <w:rFonts w:eastAsia="Calibri" w:cs="Calibri"/>
          <w:lang w:eastAsia="it-IT"/>
        </w:rPr>
        <w:t xml:space="preserve"> </w:t>
      </w:r>
      <w:proofErr w:type="spellStart"/>
      <w:r w:rsidRPr="00894064">
        <w:rPr>
          <w:rFonts w:eastAsia="Calibri" w:cs="Calibri"/>
          <w:lang w:eastAsia="it-IT"/>
        </w:rPr>
        <w:t>r</w:t>
      </w:r>
      <w:r w:rsidRPr="00894064">
        <w:rPr>
          <w:rFonts w:eastAsia="Calibri" w:cs="Times New Roman"/>
        </w:rPr>
        <w:t>isedronato</w:t>
      </w:r>
      <w:proofErr w:type="spellEnd"/>
      <w:r w:rsidRPr="00894064">
        <w:rPr>
          <w:rFonts w:eastAsia="Calibri" w:cs="Times New Roman"/>
        </w:rPr>
        <w:t xml:space="preserve"> sodico</w:t>
      </w:r>
      <w:r w:rsidRPr="00894064">
        <w:rPr>
          <w:rFonts w:eastAsia="Calibri" w:cs="Calibri"/>
          <w:color w:val="000000"/>
          <w:lang w:eastAsia="it-IT"/>
        </w:rPr>
        <w:t xml:space="preserve"> ed è autorizzato come</w:t>
      </w:r>
      <w:r w:rsidR="00894064">
        <w:rPr>
          <w:rFonts w:cs="Calibri"/>
          <w:color w:val="000000"/>
          <w:lang w:eastAsia="it-IT"/>
        </w:rPr>
        <w:t xml:space="preserve"> c</w:t>
      </w:r>
      <w:r w:rsidRPr="00894064">
        <w:rPr>
          <w:rFonts w:eastAsia="Calibri" w:cs="Calibri"/>
          <w:color w:val="000000"/>
          <w:lang w:eastAsia="it-IT"/>
        </w:rPr>
        <w:t xml:space="preserve">ompresse rivestite con film contenenti </w:t>
      </w:r>
      <w:r w:rsidR="00643CED" w:rsidRPr="00894064">
        <w:rPr>
          <w:rFonts w:eastAsia="Calibri" w:cs="Calibri"/>
          <w:color w:val="000000"/>
          <w:lang w:eastAsia="it-IT"/>
        </w:rPr>
        <w:t>35</w:t>
      </w:r>
      <w:r w:rsidR="00F7355E">
        <w:rPr>
          <w:rFonts w:eastAsia="Calibri" w:cs="Calibri"/>
          <w:color w:val="000000"/>
          <w:lang w:eastAsia="it-IT"/>
        </w:rPr>
        <w:t xml:space="preserve"> </w:t>
      </w:r>
      <w:r w:rsidR="00894064">
        <w:rPr>
          <w:rFonts w:eastAsia="Calibri" w:cs="Calibri"/>
          <w:color w:val="000000"/>
          <w:lang w:eastAsia="it-IT"/>
        </w:rPr>
        <w:t>mg</w:t>
      </w:r>
      <w:r w:rsidR="00F7355E">
        <w:rPr>
          <w:rFonts w:eastAsia="Calibri" w:cs="Calibri"/>
          <w:color w:val="000000"/>
          <w:lang w:eastAsia="it-IT"/>
        </w:rPr>
        <w:t xml:space="preserve"> </w:t>
      </w:r>
      <w:r w:rsidR="00643CED" w:rsidRPr="00894064">
        <w:rPr>
          <w:rFonts w:eastAsia="Calibri" w:cs="Calibri"/>
          <w:color w:val="000000"/>
          <w:lang w:eastAsia="it-IT"/>
        </w:rPr>
        <w:t xml:space="preserve">o 75 </w:t>
      </w:r>
      <w:r w:rsidR="00894064">
        <w:rPr>
          <w:rFonts w:eastAsia="Calibri" w:cs="Calibri"/>
          <w:color w:val="000000"/>
          <w:lang w:eastAsia="it-IT"/>
        </w:rPr>
        <w:t xml:space="preserve">mg </w:t>
      </w:r>
      <w:r w:rsidRPr="00894064">
        <w:rPr>
          <w:rFonts w:eastAsia="Calibri" w:cs="Calibri"/>
          <w:color w:val="000000"/>
          <w:lang w:eastAsia="it-IT"/>
        </w:rPr>
        <w:t>di principio attivo</w:t>
      </w:r>
      <w:r w:rsidR="00D94AF7">
        <w:rPr>
          <w:rFonts w:eastAsia="Calibri" w:cs="Calibri"/>
          <w:color w:val="000000"/>
          <w:lang w:eastAsia="it-IT"/>
        </w:rPr>
        <w:t>.</w:t>
      </w:r>
    </w:p>
    <w:p w:rsidR="00F916D9" w:rsidRPr="00F7355E" w:rsidRDefault="00EE6EE2" w:rsidP="00F916D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94064">
        <w:rPr>
          <w:rFonts w:eastAsia="Calibri" w:cs="Calibri"/>
          <w:lang w:eastAsia="it-IT"/>
        </w:rPr>
        <w:t>Medeoros</w:t>
      </w:r>
      <w:proofErr w:type="spellEnd"/>
      <w:r w:rsidR="00F7355E">
        <w:rPr>
          <w:rFonts w:eastAsia="Calibri" w:cs="Calibri"/>
          <w:lang w:eastAsia="it-IT"/>
        </w:rPr>
        <w:t xml:space="preserve"> </w:t>
      </w:r>
      <w:r w:rsidR="00013020" w:rsidRPr="00894064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F7355E">
        <w:rPr>
          <w:rFonts w:eastAsia="Calibri" w:cs="Calibri"/>
          <w:lang w:eastAsia="it-IT"/>
        </w:rPr>
        <w:t>Italia</w:t>
      </w:r>
      <w:r w:rsidR="00013020" w:rsidRPr="00F7355E">
        <w:rPr>
          <w:rFonts w:eastAsia="Calibri" w:cs="Calibri"/>
          <w:lang w:eastAsia="it-IT"/>
        </w:rPr>
        <w:t xml:space="preserve">, </w:t>
      </w:r>
      <w:r w:rsidRPr="00F7355E">
        <w:rPr>
          <w:rFonts w:eastAsia="Calibri" w:cs="Calibri"/>
          <w:lang w:eastAsia="it-IT"/>
        </w:rPr>
        <w:t>Actonel</w:t>
      </w:r>
      <w:r w:rsidR="00F916D9" w:rsidRPr="00F7355E">
        <w:rPr>
          <w:rFonts w:eastAsia="Calibri" w:cs="Calibri"/>
          <w:lang w:eastAsia="it-IT"/>
        </w:rPr>
        <w:t>, autorizzato con procedura di mutuo riconoscimento con la Svezia come stato di riferimento</w:t>
      </w:r>
      <w:r w:rsidR="00F7355E" w:rsidRPr="00F7355E">
        <w:rPr>
          <w:rFonts w:eastAsia="Calibri" w:cs="Calibri"/>
          <w:lang w:eastAsia="it-IT"/>
        </w:rPr>
        <w:t xml:space="preserve"> </w:t>
      </w:r>
      <w:r w:rsidR="00F916D9" w:rsidRPr="00F7355E">
        <w:rPr>
          <w:rFonts w:eastAsia="Calibri" w:cs="Calibri"/>
          <w:color w:val="000000"/>
          <w:lang w:eastAsia="it-IT"/>
        </w:rPr>
        <w:t>(</w:t>
      </w:r>
      <w:hyperlink r:id="rId6" w:history="1">
        <w:r w:rsidR="00F916D9" w:rsidRPr="00F7355E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="00F916D9" w:rsidRPr="00F7355E">
        <w:rPr>
          <w:rFonts w:cs="Arial"/>
          <w:shd w:val="clear" w:color="auto" w:fill="FFFFFF"/>
        </w:rPr>
        <w:t>)</w:t>
      </w:r>
      <w:r w:rsidR="00F916D9" w:rsidRPr="00F7355E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F916D9" w:rsidRPr="00F7355E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916D9" w:rsidRPr="00F7355E">
        <w:rPr>
          <w:rFonts w:eastAsia="Calibri" w:cs="Calibri"/>
          <w:lang w:eastAsia="it-IT"/>
        </w:rPr>
        <w:t>)</w:t>
      </w:r>
      <w:r w:rsidR="00F7355E" w:rsidRPr="00F7355E">
        <w:rPr>
          <w:rFonts w:eastAsia="Calibri" w:cs="Calibri"/>
          <w:lang w:eastAsia="it-IT"/>
        </w:rPr>
        <w:t xml:space="preserve"> </w:t>
      </w:r>
      <w:r w:rsidR="00F916D9" w:rsidRPr="00F7355E">
        <w:rPr>
          <w:rFonts w:eastAsia="Calibri" w:cs="Calibri"/>
          <w:color w:val="000000"/>
          <w:lang w:eastAsia="it-IT"/>
        </w:rPr>
        <w:t>è possibile consultare il Riassunto delle caratteristiche del prodotto e il foglio illustrativo di Actonel.</w:t>
      </w:r>
    </w:p>
    <w:p w:rsidR="00643CED" w:rsidRPr="00F7355E" w:rsidRDefault="00643CED" w:rsidP="0089406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7355E">
        <w:rPr>
          <w:rFonts w:eastAsia="Calibri" w:cs="Calibri"/>
          <w:bCs/>
          <w:lang w:eastAsia="it-IT"/>
        </w:rPr>
        <w:t>Medeoros</w:t>
      </w:r>
      <w:proofErr w:type="spellEnd"/>
      <w:r w:rsidRPr="00F7355E">
        <w:rPr>
          <w:rFonts w:eastAsia="Calibri" w:cs="Calibri"/>
          <w:bCs/>
          <w:lang w:eastAsia="it-IT"/>
        </w:rPr>
        <w:t xml:space="preserve"> </w:t>
      </w:r>
      <w:r w:rsidRPr="00F7355E">
        <w:rPr>
          <w:rFonts w:eastAsia="Calibri" w:cs="Calibri"/>
          <w:color w:val="000000"/>
          <w:lang w:eastAsia="it-IT"/>
        </w:rPr>
        <w:t xml:space="preserve">35 </w:t>
      </w:r>
      <w:r w:rsidR="00894064" w:rsidRPr="00F7355E">
        <w:rPr>
          <w:rFonts w:eastAsia="Calibri" w:cs="Calibri"/>
          <w:color w:val="000000"/>
          <w:lang w:eastAsia="it-IT"/>
        </w:rPr>
        <w:t>mg</w:t>
      </w:r>
      <w:r w:rsidRPr="00F7355E">
        <w:rPr>
          <w:rFonts w:eastAsia="Calibri" w:cs="Calibri"/>
          <w:color w:val="000000"/>
          <w:lang w:eastAsia="it-IT"/>
        </w:rPr>
        <w:t xml:space="preserve"> è utilizzato per:</w:t>
      </w:r>
    </w:p>
    <w:p w:rsidR="00643CED" w:rsidRPr="00F7355E" w:rsidRDefault="00643CED" w:rsidP="00F7355E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eastAsia="Calibri" w:cs="Times New Roman"/>
          <w:bCs/>
        </w:rPr>
      </w:pPr>
      <w:r w:rsidRPr="00F7355E">
        <w:rPr>
          <w:rFonts w:eastAsia="Calibri" w:cs="Times New Roman"/>
        </w:rPr>
        <w:t xml:space="preserve">il trattamento dell’osteoporosi </w:t>
      </w:r>
      <w:r w:rsidRPr="00F7355E">
        <w:rPr>
          <w:rFonts w:eastAsia="Calibri" w:cs="Times New Roman"/>
          <w:bCs/>
        </w:rPr>
        <w:t>nelle donne in postmenopausa</w:t>
      </w:r>
      <w:r w:rsidR="00894064" w:rsidRPr="00F7355E">
        <w:rPr>
          <w:rFonts w:eastAsia="Calibri" w:cs="Times New Roman"/>
          <w:bCs/>
        </w:rPr>
        <w:t xml:space="preserve">, anche </w:t>
      </w:r>
      <w:r w:rsidR="00702679" w:rsidRPr="00F7355E">
        <w:rPr>
          <w:rFonts w:eastAsia="Calibri" w:cs="Times New Roman"/>
          <w:bCs/>
        </w:rPr>
        <w:t xml:space="preserve">in caso di </w:t>
      </w:r>
      <w:r w:rsidR="00894064" w:rsidRPr="00F7355E">
        <w:rPr>
          <w:rFonts w:eastAsia="Calibri" w:cs="Times New Roman"/>
          <w:bCs/>
        </w:rPr>
        <w:t>osteoporosi grave</w:t>
      </w:r>
      <w:r w:rsidR="00F7355E" w:rsidRPr="00F7355E">
        <w:rPr>
          <w:rFonts w:eastAsia="Calibri" w:cs="Times New Roman"/>
          <w:bCs/>
        </w:rPr>
        <w:t xml:space="preserve"> </w:t>
      </w:r>
      <w:r w:rsidR="00702679" w:rsidRPr="00F7355E">
        <w:t>e riduzione del rischio di fratture delle vertebre e dell’anca</w:t>
      </w:r>
      <w:r w:rsidR="00894064" w:rsidRPr="00F7355E">
        <w:rPr>
          <w:rFonts w:eastAsia="Calibri" w:cs="Times New Roman"/>
          <w:bCs/>
        </w:rPr>
        <w:t>;</w:t>
      </w:r>
    </w:p>
    <w:p w:rsidR="002430A3" w:rsidRPr="00F7355E" w:rsidRDefault="002430A3" w:rsidP="00F7355E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eastAsia="Calibri" w:cs="Times New Roman"/>
          <w:bCs/>
        </w:rPr>
      </w:pPr>
      <w:r w:rsidRPr="00F7355E">
        <w:rPr>
          <w:rFonts w:eastAsia="Calibri" w:cs="Times New Roman"/>
          <w:bCs/>
        </w:rPr>
        <w:t>il trattamento dell’osteoporosi negli uomini ad alto rischio di fratture</w:t>
      </w:r>
      <w:r w:rsidR="00894064" w:rsidRPr="00F7355E">
        <w:rPr>
          <w:rFonts w:eastAsia="Calibri" w:cs="Times New Roman"/>
          <w:bCs/>
        </w:rPr>
        <w:t>.</w:t>
      </w:r>
    </w:p>
    <w:p w:rsidR="002430A3" w:rsidRPr="00F7355E" w:rsidRDefault="002430A3" w:rsidP="00F7355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7355E">
        <w:rPr>
          <w:rFonts w:eastAsia="Calibri" w:cs="Calibri"/>
          <w:bCs/>
          <w:lang w:eastAsia="it-IT"/>
        </w:rPr>
        <w:t>Medeoros</w:t>
      </w:r>
      <w:proofErr w:type="spellEnd"/>
      <w:r w:rsidRPr="00F7355E">
        <w:rPr>
          <w:rFonts w:eastAsia="Calibri" w:cs="Calibri"/>
          <w:bCs/>
          <w:lang w:eastAsia="it-IT"/>
        </w:rPr>
        <w:t xml:space="preserve"> </w:t>
      </w:r>
      <w:r w:rsidRPr="00F7355E">
        <w:rPr>
          <w:rFonts w:eastAsia="Calibri" w:cs="Calibri"/>
          <w:color w:val="000000"/>
          <w:lang w:eastAsia="it-IT"/>
        </w:rPr>
        <w:t xml:space="preserve">75 </w:t>
      </w:r>
      <w:r w:rsidR="00894064" w:rsidRPr="00F7355E">
        <w:rPr>
          <w:rFonts w:eastAsia="Calibri" w:cs="Calibri"/>
          <w:color w:val="000000"/>
          <w:lang w:eastAsia="it-IT"/>
        </w:rPr>
        <w:t xml:space="preserve">mg </w:t>
      </w:r>
      <w:r w:rsidRPr="00F7355E">
        <w:rPr>
          <w:rFonts w:eastAsia="Calibri" w:cs="Calibri"/>
          <w:color w:val="000000"/>
          <w:lang w:eastAsia="it-IT"/>
        </w:rPr>
        <w:t>è utilizzato per:</w:t>
      </w:r>
    </w:p>
    <w:p w:rsidR="002430A3" w:rsidRPr="00F7355E" w:rsidRDefault="002430A3" w:rsidP="00F7355E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eastAsia="Calibri" w:cs="Times New Roman"/>
          <w:bCs/>
        </w:rPr>
      </w:pPr>
      <w:r w:rsidRPr="00F7355E">
        <w:rPr>
          <w:rFonts w:eastAsia="Calibri" w:cs="Times New Roman"/>
        </w:rPr>
        <w:t xml:space="preserve">il trattamento dell’osteoporosi </w:t>
      </w:r>
      <w:r w:rsidRPr="00F7355E">
        <w:rPr>
          <w:rFonts w:eastAsia="Calibri" w:cs="Times New Roman"/>
          <w:bCs/>
        </w:rPr>
        <w:t>nelle donne in postmenopausa</w:t>
      </w:r>
      <w:r w:rsidR="002969CD" w:rsidRPr="00F7355E">
        <w:rPr>
          <w:rFonts w:eastAsia="Calibri" w:cs="Times New Roman"/>
          <w:bCs/>
        </w:rPr>
        <w:t xml:space="preserve"> ad aumentato rischio di fratture</w:t>
      </w:r>
      <w:r w:rsidR="00894064" w:rsidRPr="00F7355E">
        <w:rPr>
          <w:rFonts w:eastAsia="Calibri" w:cs="Times New Roman"/>
          <w:bCs/>
        </w:rPr>
        <w:t>.</w:t>
      </w:r>
    </w:p>
    <w:p w:rsidR="00354BAE" w:rsidRPr="00F7355E" w:rsidRDefault="00354BAE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354BAE" w:rsidRPr="00F7355E" w:rsidRDefault="00354BAE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4241AC" w:rsidRPr="00F7355E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7355E">
        <w:rPr>
          <w:rFonts w:eastAsia="Calibri" w:cs="Calibri"/>
          <w:b/>
          <w:bCs/>
          <w:lang w:eastAsia="it-IT"/>
        </w:rPr>
        <w:t xml:space="preserve">2) COME E’ PRESCRITTO/USATO </w:t>
      </w:r>
      <w:r w:rsidR="00EE6EE2" w:rsidRPr="00F7355E">
        <w:rPr>
          <w:rFonts w:eastAsia="Calibri" w:cs="Calibri"/>
          <w:b/>
          <w:bCs/>
          <w:lang w:eastAsia="it-IT"/>
        </w:rPr>
        <w:t>Medeoros</w:t>
      </w:r>
      <w:r w:rsidRPr="00F7355E">
        <w:rPr>
          <w:rFonts w:eastAsia="Calibri" w:cs="Calibri"/>
          <w:b/>
          <w:bCs/>
          <w:lang w:eastAsia="it-IT"/>
        </w:rPr>
        <w:t>?</w:t>
      </w:r>
    </w:p>
    <w:p w:rsidR="0089506F" w:rsidRPr="00F7355E" w:rsidRDefault="00702679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7355E">
        <w:rPr>
          <w:rFonts w:eastAsia="Calibri" w:cs="Calibri"/>
          <w:color w:val="000000"/>
          <w:lang w:eastAsia="it-IT"/>
        </w:rPr>
        <w:t>Medeoros</w:t>
      </w:r>
      <w:proofErr w:type="spellEnd"/>
      <w:r w:rsidR="00F7355E">
        <w:rPr>
          <w:rFonts w:eastAsia="Calibri" w:cs="Calibri"/>
          <w:color w:val="000000"/>
          <w:lang w:eastAsia="it-IT"/>
        </w:rPr>
        <w:t xml:space="preserve"> </w:t>
      </w:r>
      <w:r w:rsidR="0089506F" w:rsidRPr="00F7355E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2430A3" w:rsidRPr="00F7355E" w:rsidRDefault="002430A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7355E">
        <w:rPr>
          <w:rFonts w:eastAsia="Calibri" w:cs="Calibri"/>
          <w:color w:val="000000"/>
          <w:lang w:eastAsia="it-IT"/>
        </w:rPr>
        <w:t xml:space="preserve">La dose raccomandata </w:t>
      </w:r>
      <w:r w:rsidR="00894064" w:rsidRPr="00F7355E">
        <w:rPr>
          <w:rFonts w:eastAsia="Calibri" w:cs="Calibri"/>
          <w:color w:val="000000"/>
          <w:lang w:eastAsia="it-IT"/>
        </w:rPr>
        <w:t>per le compresse da 35 mg negli</w:t>
      </w:r>
      <w:r w:rsidRPr="00F7355E">
        <w:rPr>
          <w:rFonts w:eastAsia="Calibri" w:cs="Calibri"/>
          <w:color w:val="000000"/>
          <w:lang w:eastAsia="it-IT"/>
        </w:rPr>
        <w:t xml:space="preserve"> adulti è di una compressa ogni 7 giorni.</w:t>
      </w:r>
    </w:p>
    <w:p w:rsidR="002430A3" w:rsidRPr="00894064" w:rsidRDefault="002430A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t>La compressa deve essere assunta nello stesso giorno di ogni settimana</w:t>
      </w:r>
      <w:r w:rsidR="00F916D9">
        <w:rPr>
          <w:rFonts w:eastAsia="Calibri" w:cs="Calibri"/>
          <w:color w:val="000000"/>
          <w:lang w:eastAsia="it-IT"/>
        </w:rPr>
        <w:t>.</w:t>
      </w:r>
    </w:p>
    <w:p w:rsidR="002430A3" w:rsidRDefault="002430A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lastRenderedPageBreak/>
        <w:t xml:space="preserve">La dose raccomandata </w:t>
      </w:r>
      <w:r w:rsidR="00894064">
        <w:rPr>
          <w:rFonts w:eastAsia="Calibri" w:cs="Calibri"/>
          <w:color w:val="000000"/>
          <w:lang w:eastAsia="it-IT"/>
        </w:rPr>
        <w:t>p</w:t>
      </w:r>
      <w:r w:rsidR="00894064" w:rsidRPr="00894064">
        <w:rPr>
          <w:rFonts w:eastAsia="Calibri" w:cs="Calibri"/>
          <w:color w:val="000000"/>
          <w:lang w:eastAsia="it-IT"/>
        </w:rPr>
        <w:t>er le compresse da 75 mg</w:t>
      </w:r>
      <w:r w:rsidR="00894064">
        <w:rPr>
          <w:rFonts w:eastAsia="Calibri" w:cs="Calibri"/>
          <w:color w:val="000000"/>
          <w:lang w:eastAsia="it-IT"/>
        </w:rPr>
        <w:t xml:space="preserve"> negli</w:t>
      </w:r>
      <w:r w:rsidRPr="00894064">
        <w:rPr>
          <w:rFonts w:eastAsia="Calibri" w:cs="Calibri"/>
          <w:color w:val="000000"/>
          <w:lang w:eastAsia="it-IT"/>
        </w:rPr>
        <w:t xml:space="preserve"> adulti è di una compressa per due giorni consecutivi al mese. La prima compressa deve essere assunta nello stesso giorno ogni mese, seguita dalla seconda compressa il giorno successivo</w:t>
      </w:r>
      <w:r w:rsidR="00894064">
        <w:rPr>
          <w:rFonts w:eastAsia="Calibri" w:cs="Calibri"/>
          <w:color w:val="000000"/>
          <w:lang w:eastAsia="it-IT"/>
        </w:rPr>
        <w:t>.</w:t>
      </w:r>
    </w:p>
    <w:p w:rsidR="002430A3" w:rsidRDefault="00F7355E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La compressa</w:t>
      </w:r>
      <w:r w:rsidR="00F30505" w:rsidRPr="00F30505">
        <w:rPr>
          <w:rFonts w:eastAsia="Calibri" w:cs="Calibri"/>
          <w:color w:val="000000"/>
          <w:lang w:eastAsia="it-IT"/>
        </w:rPr>
        <w:t xml:space="preserve"> </w:t>
      </w:r>
      <w:r w:rsidR="00F30505">
        <w:rPr>
          <w:rFonts w:eastAsia="Calibri" w:cs="Calibri"/>
          <w:color w:val="000000"/>
          <w:lang w:eastAsia="it-IT"/>
        </w:rPr>
        <w:t>deve essere assunt</w:t>
      </w:r>
      <w:r>
        <w:rPr>
          <w:rFonts w:eastAsia="Calibri" w:cs="Calibri"/>
          <w:color w:val="000000"/>
          <w:lang w:eastAsia="it-IT"/>
        </w:rPr>
        <w:t>a</w:t>
      </w:r>
      <w:r w:rsidR="00F30505" w:rsidRPr="00F30505">
        <w:rPr>
          <w:rFonts w:eastAsia="Calibri" w:cs="Calibri"/>
          <w:color w:val="000000"/>
          <w:lang w:eastAsia="it-IT"/>
        </w:rPr>
        <w:t xml:space="preserve"> prima della colazione: almeno 30 minuti prima</w:t>
      </w:r>
      <w:r>
        <w:rPr>
          <w:rFonts w:eastAsia="Calibri" w:cs="Calibri"/>
          <w:color w:val="000000"/>
          <w:lang w:eastAsia="it-IT"/>
        </w:rPr>
        <w:t xml:space="preserve"> </w:t>
      </w:r>
      <w:r w:rsidR="00F30505" w:rsidRPr="00F30505">
        <w:rPr>
          <w:rFonts w:eastAsia="Calibri" w:cs="Calibri"/>
          <w:color w:val="000000"/>
          <w:lang w:eastAsia="it-IT"/>
        </w:rPr>
        <w:t>del primo cibo, altro medicinale o bevanda del giorno (</w:t>
      </w:r>
      <w:r>
        <w:rPr>
          <w:rFonts w:eastAsia="Calibri" w:cs="Calibri"/>
          <w:color w:val="000000"/>
          <w:lang w:eastAsia="it-IT"/>
        </w:rPr>
        <w:t xml:space="preserve">ad </w:t>
      </w:r>
      <w:r w:rsidR="00F30505" w:rsidRPr="00F30505">
        <w:rPr>
          <w:rFonts w:eastAsia="Calibri" w:cs="Calibri"/>
          <w:color w:val="000000"/>
          <w:lang w:eastAsia="it-IT"/>
        </w:rPr>
        <w:t xml:space="preserve">eccezione </w:t>
      </w:r>
      <w:r>
        <w:rPr>
          <w:rFonts w:eastAsia="Calibri" w:cs="Calibri"/>
          <w:color w:val="000000"/>
          <w:lang w:eastAsia="it-IT"/>
        </w:rPr>
        <w:t>del</w:t>
      </w:r>
      <w:r w:rsidR="00F30505" w:rsidRPr="00F30505">
        <w:rPr>
          <w:rFonts w:eastAsia="Calibri" w:cs="Calibri"/>
          <w:color w:val="000000"/>
          <w:lang w:eastAsia="it-IT"/>
        </w:rPr>
        <w:t>l’acqua di</w:t>
      </w:r>
      <w:r>
        <w:rPr>
          <w:rFonts w:eastAsia="Calibri" w:cs="Calibri"/>
          <w:color w:val="000000"/>
          <w:lang w:eastAsia="it-IT"/>
        </w:rPr>
        <w:t xml:space="preserve"> </w:t>
      </w:r>
      <w:r w:rsidR="00F30505" w:rsidRPr="00F30505">
        <w:rPr>
          <w:rFonts w:eastAsia="Calibri" w:cs="Calibri"/>
          <w:color w:val="000000"/>
          <w:lang w:eastAsia="it-IT"/>
        </w:rPr>
        <w:t xml:space="preserve">rubinetto). </w:t>
      </w:r>
    </w:p>
    <w:p w:rsidR="00F30505" w:rsidRDefault="00F30505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F7355E" w:rsidRPr="00894064" w:rsidRDefault="00F7355E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EE6EE2" w:rsidRPr="00894064">
        <w:rPr>
          <w:rFonts w:eastAsia="Calibri" w:cs="Calibri"/>
          <w:b/>
          <w:bCs/>
          <w:color w:val="000000"/>
          <w:lang w:eastAsia="it-IT"/>
        </w:rPr>
        <w:t>Medeoros</w:t>
      </w:r>
      <w:r w:rsidRPr="0089406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506F" w:rsidRPr="00894064" w:rsidRDefault="00EE6EE2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894064">
        <w:rPr>
          <w:rFonts w:eastAsia="Calibri" w:cs="Calibri"/>
          <w:bCs/>
          <w:color w:val="000000"/>
          <w:lang w:eastAsia="it-IT"/>
        </w:rPr>
        <w:t>Medeoros</w:t>
      </w:r>
      <w:r w:rsidR="008B4301" w:rsidRPr="00894064">
        <w:rPr>
          <w:rFonts w:eastAsia="Calibri" w:cs="Calibri"/>
          <w:bCs/>
          <w:color w:val="000000"/>
          <w:lang w:eastAsia="it-IT"/>
        </w:rPr>
        <w:t>,</w:t>
      </w:r>
      <w:r w:rsidR="00AC076B" w:rsidRPr="00894064">
        <w:rPr>
          <w:rFonts w:eastAsia="Calibri" w:cs="Calibri"/>
          <w:bCs/>
          <w:color w:val="000000"/>
          <w:lang w:eastAsia="it-IT"/>
        </w:rPr>
        <w:t xml:space="preserve"> il cui codice ATC è</w:t>
      </w:r>
      <w:r w:rsidR="002C3C14">
        <w:rPr>
          <w:rFonts w:eastAsia="Calibri" w:cs="Calibri"/>
          <w:bCs/>
          <w:color w:val="000000"/>
          <w:lang w:eastAsia="it-IT"/>
        </w:rPr>
        <w:t xml:space="preserve"> </w:t>
      </w:r>
      <w:r w:rsidR="0089506F" w:rsidRPr="00894064">
        <w:rPr>
          <w:rFonts w:eastAsia="Calibri" w:cs="Times New Roman"/>
        </w:rPr>
        <w:t>M05BA07</w:t>
      </w:r>
      <w:r w:rsidR="00AC076B" w:rsidRPr="00894064">
        <w:rPr>
          <w:rFonts w:eastAsia="LiberationSerif" w:cs="LiberationSerif"/>
        </w:rPr>
        <w:t>,</w:t>
      </w:r>
      <w:r w:rsidR="00F7355E">
        <w:rPr>
          <w:rFonts w:eastAsia="LiberationSerif" w:cs="LiberationSerif"/>
        </w:rPr>
        <w:t xml:space="preserve"> </w:t>
      </w:r>
      <w:r w:rsidR="004241AC" w:rsidRPr="00894064">
        <w:rPr>
          <w:rFonts w:eastAsia="Calibri" w:cs="Calibri"/>
          <w:color w:val="000000"/>
          <w:lang w:eastAsia="it-IT"/>
        </w:rPr>
        <w:t xml:space="preserve">contiene </w:t>
      </w:r>
      <w:r w:rsidR="0089506F" w:rsidRPr="00894064">
        <w:rPr>
          <w:rFonts w:eastAsia="Calibri" w:cs="Calibri"/>
          <w:color w:val="000000"/>
          <w:lang w:eastAsia="it-IT"/>
        </w:rPr>
        <w:t xml:space="preserve">il principio attivo </w:t>
      </w:r>
      <w:proofErr w:type="spellStart"/>
      <w:r w:rsidR="00894064">
        <w:rPr>
          <w:rFonts w:eastAsia="Calibri" w:cs="Times New Roman"/>
        </w:rPr>
        <w:t>r</w:t>
      </w:r>
      <w:r w:rsidR="0089506F" w:rsidRPr="00894064">
        <w:rPr>
          <w:rFonts w:eastAsia="Calibri" w:cs="Times New Roman"/>
        </w:rPr>
        <w:t>isedronato</w:t>
      </w:r>
      <w:proofErr w:type="spellEnd"/>
      <w:r w:rsidR="0089506F" w:rsidRPr="00894064">
        <w:rPr>
          <w:rFonts w:eastAsia="Calibri" w:cs="Times New Roman"/>
        </w:rPr>
        <w:t xml:space="preserve"> sodico</w:t>
      </w:r>
      <w:r w:rsidR="00F7355E">
        <w:rPr>
          <w:rFonts w:eastAsia="Calibri" w:cs="Times New Roman"/>
        </w:rPr>
        <w:t xml:space="preserve"> </w:t>
      </w:r>
      <w:r w:rsidR="0089506F" w:rsidRPr="00894064">
        <w:rPr>
          <w:rFonts w:eastAsia="Calibri" w:cs="Times New Roman"/>
        </w:rPr>
        <w:t xml:space="preserve">appartenente ad un gruppo di medicinali denominati bisfosfonati, che vengono utilizzati per curare le malattie delle ossa. </w:t>
      </w:r>
      <w:r w:rsidR="00894064">
        <w:rPr>
          <w:rFonts w:eastAsia="Calibri" w:cs="Times New Roman"/>
        </w:rPr>
        <w:t>Il risedronato a</w:t>
      </w:r>
      <w:r w:rsidR="0089506F" w:rsidRPr="00894064">
        <w:rPr>
          <w:rFonts w:eastAsia="Calibri" w:cs="Times New Roman"/>
        </w:rPr>
        <w:t>gisce direttamente sulle ossa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rafforzandole e riducendo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quindi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il rischio di fratture.</w:t>
      </w:r>
    </w:p>
    <w:p w:rsidR="003A3DB3" w:rsidRDefault="003A3DB3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94064" w:rsidRPr="00894064" w:rsidRDefault="00894064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4) COME È STATO STUDIATO </w:t>
      </w:r>
      <w:r w:rsidR="00EE6EE2" w:rsidRPr="00894064">
        <w:rPr>
          <w:rFonts w:eastAsia="Calibri" w:cs="Calibri"/>
          <w:b/>
          <w:bCs/>
          <w:color w:val="000000"/>
          <w:lang w:eastAsia="it-IT"/>
        </w:rPr>
        <w:t>Medeoros</w:t>
      </w:r>
      <w:r w:rsidRPr="00894064">
        <w:rPr>
          <w:rFonts w:eastAsia="Calibri" w:cs="Calibri"/>
          <w:b/>
          <w:bCs/>
          <w:lang w:eastAsia="it-IT"/>
        </w:rPr>
        <w:t xml:space="preserve">? </w:t>
      </w:r>
    </w:p>
    <w:p w:rsidR="004241AC" w:rsidRPr="00894064" w:rsidRDefault="004241AC" w:rsidP="00894064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</w:rPr>
        <w:t xml:space="preserve">Poiché </w:t>
      </w:r>
      <w:proofErr w:type="spellStart"/>
      <w:r w:rsidR="00EE6EE2" w:rsidRPr="00894064">
        <w:rPr>
          <w:rFonts w:cs="Arial"/>
        </w:rPr>
        <w:t>Medeoros</w:t>
      </w:r>
      <w:proofErr w:type="spellEnd"/>
      <w:r w:rsidR="002C3C14">
        <w:rPr>
          <w:rFonts w:cs="Arial"/>
        </w:rPr>
        <w:t xml:space="preserve"> </w:t>
      </w:r>
      <w:r w:rsidR="00013020" w:rsidRPr="00894064">
        <w:rPr>
          <w:rFonts w:cs="Arial"/>
        </w:rPr>
        <w:t>è un medicinale generico</w:t>
      </w:r>
      <w:r w:rsidRPr="00894064">
        <w:rPr>
          <w:rFonts w:cs="Arial"/>
        </w:rPr>
        <w:t>, è stato sufficiente effettuare prove cliniche per determinare</w:t>
      </w:r>
      <w:r w:rsidR="00F7355E">
        <w:rPr>
          <w:rFonts w:cs="Arial"/>
        </w:rPr>
        <w:t xml:space="preserve"> </w:t>
      </w:r>
      <w:r w:rsidRPr="00894064">
        <w:rPr>
          <w:rFonts w:cs="Arial"/>
        </w:rPr>
        <w:t xml:space="preserve">la bioequivalenza rispetto </w:t>
      </w:r>
      <w:r w:rsidR="00013020" w:rsidRPr="00894064">
        <w:rPr>
          <w:rFonts w:cs="Arial"/>
        </w:rPr>
        <w:t>al</w:t>
      </w:r>
      <w:r w:rsidRPr="00894064">
        <w:rPr>
          <w:rFonts w:cs="Arial"/>
        </w:rPr>
        <w:t xml:space="preserve"> medicinal</w:t>
      </w:r>
      <w:r w:rsidR="00013020" w:rsidRPr="00894064">
        <w:rPr>
          <w:rFonts w:cs="Arial"/>
        </w:rPr>
        <w:t xml:space="preserve">e </w:t>
      </w:r>
      <w:r w:rsidRPr="00894064">
        <w:rPr>
          <w:rFonts w:cs="Arial"/>
        </w:rPr>
        <w:t xml:space="preserve">di riferimento </w:t>
      </w:r>
      <w:proofErr w:type="spellStart"/>
      <w:r w:rsidR="0089506F" w:rsidRPr="00894064">
        <w:rPr>
          <w:rFonts w:cs="Arial"/>
        </w:rPr>
        <w:t>Actonel</w:t>
      </w:r>
      <w:proofErr w:type="spellEnd"/>
      <w:r w:rsidR="00013020" w:rsidRPr="00894064">
        <w:rPr>
          <w:rFonts w:cs="Arial"/>
        </w:rPr>
        <w:t>. Due medicinali sono bioequivalenti quando producono gli stessi livelli di principio attivo nell’organismo</w:t>
      </w:r>
      <w:r w:rsidRPr="00894064">
        <w:rPr>
          <w:rFonts w:cs="Arial"/>
        </w:rPr>
        <w:t xml:space="preserve">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EE6EE2" w:rsidRPr="00894064">
        <w:rPr>
          <w:rFonts w:eastAsia="Calibri" w:cs="Calibri"/>
          <w:b/>
          <w:bCs/>
          <w:color w:val="000000"/>
          <w:lang w:eastAsia="it-IT"/>
        </w:rPr>
        <w:t>Medeoros</w:t>
      </w:r>
      <w:r w:rsidRPr="00894064">
        <w:rPr>
          <w:rFonts w:eastAsia="Calibri" w:cs="Calibri"/>
          <w:b/>
          <w:lang w:eastAsia="it-IT"/>
        </w:rPr>
        <w:t>?</w:t>
      </w:r>
    </w:p>
    <w:p w:rsidR="004241AC" w:rsidRPr="00894064" w:rsidRDefault="00EE6EE2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894064">
        <w:rPr>
          <w:rFonts w:eastAsia="Calibri" w:cs="Calibri"/>
          <w:bCs/>
          <w:color w:val="000000"/>
          <w:lang w:eastAsia="it-IT"/>
        </w:rPr>
        <w:t>Medeoros</w:t>
      </w:r>
      <w:proofErr w:type="spellEnd"/>
      <w:r w:rsidR="00F7355E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894064">
        <w:rPr>
          <w:rFonts w:eastAsia="Calibri" w:cs="Calibri"/>
          <w:lang w:eastAsia="it-IT"/>
        </w:rPr>
        <w:t xml:space="preserve">è un medicinale </w:t>
      </w:r>
      <w:r w:rsidR="00013020" w:rsidRPr="00894064">
        <w:rPr>
          <w:rFonts w:eastAsia="Calibri" w:cs="Calibri"/>
          <w:lang w:eastAsia="it-IT"/>
        </w:rPr>
        <w:t>generico ed è bioequivale</w:t>
      </w:r>
      <w:r w:rsidR="009B03DB" w:rsidRPr="00894064">
        <w:rPr>
          <w:rFonts w:eastAsia="Calibri" w:cs="Calibri"/>
          <w:lang w:eastAsia="it-IT"/>
        </w:rPr>
        <w:t>n</w:t>
      </w:r>
      <w:r w:rsidR="00013020" w:rsidRPr="00894064">
        <w:rPr>
          <w:rFonts w:eastAsia="Calibri" w:cs="Calibri"/>
          <w:lang w:eastAsia="it-IT"/>
        </w:rPr>
        <w:t>te al medicinale di riferimento</w:t>
      </w:r>
      <w:r w:rsidR="00B73E77" w:rsidRPr="00894064">
        <w:rPr>
          <w:rFonts w:eastAsia="Calibri" w:cs="Calibri"/>
          <w:lang w:eastAsia="it-IT"/>
        </w:rPr>
        <w:t xml:space="preserve">; pertanto, </w:t>
      </w:r>
      <w:r w:rsidR="00013020" w:rsidRPr="00894064">
        <w:rPr>
          <w:rFonts w:eastAsia="Calibri" w:cs="Calibri"/>
          <w:lang w:eastAsia="it-IT"/>
        </w:rPr>
        <w:t>i suoi</w:t>
      </w:r>
      <w:r w:rsidR="004241AC" w:rsidRPr="00894064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894064">
        <w:rPr>
          <w:rFonts w:eastAsia="Calibri" w:cs="Calibri"/>
          <w:lang w:eastAsia="it-IT"/>
        </w:rPr>
        <w:t>l</w:t>
      </w:r>
      <w:r w:rsidR="004241AC" w:rsidRPr="00894064">
        <w:rPr>
          <w:rFonts w:eastAsia="Calibri" w:cs="Calibri"/>
          <w:lang w:eastAsia="it-IT"/>
        </w:rPr>
        <w:t xml:space="preserve"> medicinal</w:t>
      </w:r>
      <w:r w:rsidR="00013020" w:rsidRPr="00894064">
        <w:rPr>
          <w:rFonts w:eastAsia="Calibri" w:cs="Calibri"/>
          <w:lang w:eastAsia="it-IT"/>
        </w:rPr>
        <w:t>e</w:t>
      </w:r>
      <w:r w:rsidR="004241AC" w:rsidRPr="00894064">
        <w:rPr>
          <w:rFonts w:eastAsia="Calibri" w:cs="Calibri"/>
          <w:lang w:eastAsia="it-IT"/>
        </w:rPr>
        <w:t xml:space="preserve"> di riferimento.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6) PERCHE’ </w:t>
      </w:r>
      <w:r w:rsidR="00EE6EE2" w:rsidRPr="00894064">
        <w:rPr>
          <w:rFonts w:eastAsia="Calibri" w:cs="Calibri"/>
          <w:b/>
          <w:bCs/>
          <w:color w:val="000000"/>
          <w:lang w:eastAsia="it-IT"/>
        </w:rPr>
        <w:t>Medeoros</w:t>
      </w:r>
      <w:r w:rsidRPr="00894064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>La Commissione Tecnico Scientifica (CTS</w:t>
      </w:r>
      <w:r w:rsidR="002C3C14">
        <w:rPr>
          <w:rFonts w:eastAsia="Calibri" w:cs="Calibri"/>
          <w:lang w:eastAsia="it-IT"/>
        </w:rPr>
        <w:t>)</w:t>
      </w:r>
      <w:r w:rsidR="007C41C7" w:rsidRPr="00894064">
        <w:rPr>
          <w:rFonts w:eastAsia="Calibri" w:cs="Calibri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894064">
        <w:rPr>
          <w:rFonts w:eastAsia="Calibri" w:cs="Calibri"/>
          <w:lang w:eastAsia="it-IT"/>
        </w:rPr>
        <w:t>del</w:t>
      </w:r>
      <w:r w:rsidRPr="00894064">
        <w:rPr>
          <w:rFonts w:eastAsia="Calibri" w:cs="Calibri"/>
          <w:lang w:eastAsia="it-IT"/>
        </w:rPr>
        <w:t xml:space="preserve"> medicinal</w:t>
      </w:r>
      <w:r w:rsidR="00D20170" w:rsidRPr="00894064">
        <w:rPr>
          <w:rFonts w:eastAsia="Calibri" w:cs="Calibri"/>
          <w:lang w:eastAsia="it-IT"/>
        </w:rPr>
        <w:t>e</w:t>
      </w:r>
      <w:r w:rsidRPr="00894064">
        <w:rPr>
          <w:rFonts w:eastAsia="Calibri" w:cs="Calibri"/>
          <w:lang w:eastAsia="it-IT"/>
        </w:rPr>
        <w:t xml:space="preserve"> di riferimento </w:t>
      </w:r>
      <w:r w:rsidR="0089506F" w:rsidRPr="00894064">
        <w:rPr>
          <w:rFonts w:eastAsia="Calibri" w:cs="Calibri"/>
          <w:lang w:eastAsia="it-IT"/>
        </w:rPr>
        <w:t>Actonel</w:t>
      </w:r>
      <w:r w:rsidRPr="00894064">
        <w:rPr>
          <w:rFonts w:eastAsia="Calibri" w:cs="Calibri"/>
          <w:lang w:eastAsia="it-IT"/>
        </w:rPr>
        <w:t xml:space="preserve">, i benefici di </w:t>
      </w:r>
      <w:proofErr w:type="spellStart"/>
      <w:r w:rsidR="00EE6EE2" w:rsidRPr="00894064">
        <w:rPr>
          <w:rFonts w:eastAsia="Calibri" w:cs="Calibri"/>
          <w:lang w:eastAsia="it-IT"/>
        </w:rPr>
        <w:t>Medeoros</w:t>
      </w:r>
      <w:proofErr w:type="spellEnd"/>
      <w:r w:rsidR="00F7355E">
        <w:rPr>
          <w:rFonts w:eastAsia="Calibri" w:cs="Calibri"/>
          <w:lang w:eastAsia="it-IT"/>
        </w:rPr>
        <w:t xml:space="preserve"> </w:t>
      </w:r>
      <w:r w:rsidR="008E3280" w:rsidRPr="00894064">
        <w:rPr>
          <w:rFonts w:eastAsia="Calibri" w:cs="Calibri"/>
          <w:lang w:eastAsia="it-IT"/>
        </w:rPr>
        <w:t>sono</w:t>
      </w:r>
      <w:r w:rsidRPr="00894064">
        <w:rPr>
          <w:rFonts w:eastAsia="Calibri" w:cs="Calibri"/>
          <w:lang w:eastAsia="it-IT"/>
        </w:rPr>
        <w:t xml:space="preserve"> superiori ai rischi individuati. La CTS ha, inoltre, definit</w:t>
      </w:r>
      <w:r w:rsidRPr="00042505">
        <w:rPr>
          <w:rFonts w:eastAsia="Calibri" w:cs="Calibri"/>
          <w:lang w:eastAsia="it-IT"/>
        </w:rPr>
        <w:t>o le modalità d</w:t>
      </w:r>
      <w:r w:rsidR="00B849DC" w:rsidRPr="00042505">
        <w:rPr>
          <w:rFonts w:eastAsia="Calibri" w:cs="Calibri"/>
          <w:lang w:eastAsia="it-IT"/>
        </w:rPr>
        <w:t xml:space="preserve">i prescrizione di cui al punto </w:t>
      </w:r>
      <w:r w:rsidRPr="00042505">
        <w:rPr>
          <w:rFonts w:eastAsia="Calibri" w:cs="Calibri"/>
          <w:lang w:eastAsia="it-IT"/>
        </w:rPr>
        <w:t>2) di questo Riassunto e la classe di rimborsabilità del medicinale</w:t>
      </w:r>
      <w:r w:rsidR="00F7355E" w:rsidRPr="00042505">
        <w:rPr>
          <w:rFonts w:eastAsia="Calibri" w:cs="Calibri"/>
          <w:lang w:eastAsia="it-IT"/>
        </w:rPr>
        <w:t xml:space="preserve"> </w:t>
      </w:r>
      <w:r w:rsidRPr="00042505">
        <w:rPr>
          <w:rFonts w:eastAsia="Calibri" w:cs="Calibri"/>
          <w:lang w:eastAsia="it-IT"/>
        </w:rPr>
        <w:t>(</w:t>
      </w:r>
      <w:r w:rsidR="00375A65" w:rsidRPr="00042505">
        <w:rPr>
          <w:rFonts w:eastAsia="Calibri" w:cs="Calibri"/>
          <w:lang w:eastAsia="it-IT"/>
        </w:rPr>
        <w:t>A</w:t>
      </w:r>
      <w:r w:rsidR="004E5373" w:rsidRPr="00042505">
        <w:rPr>
          <w:rFonts w:eastAsia="Calibri" w:cs="Calibri"/>
          <w:lang w:eastAsia="it-IT"/>
        </w:rPr>
        <w:t xml:space="preserve"> con nota 79; la nota definisce per quali pazienti il medicinale è rimborsato dal Servizio Sanitario Nazionale</w:t>
      </w:r>
      <w:r w:rsidRPr="00042505">
        <w:rPr>
          <w:rFonts w:eastAsia="Calibri" w:cs="Calibri"/>
          <w:lang w:eastAsia="it-IT"/>
        </w:rPr>
        <w:t>).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EE6EE2" w:rsidRPr="00894064">
        <w:rPr>
          <w:rFonts w:eastAsia="Calibri" w:cs="Calibri"/>
          <w:b/>
          <w:bCs/>
          <w:color w:val="000000"/>
          <w:lang w:eastAsia="it-IT"/>
        </w:rPr>
        <w:t>Medeoros</w:t>
      </w:r>
      <w:r w:rsidRPr="0089406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94064" w:rsidRDefault="00CB779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Il titolare </w:t>
      </w:r>
      <w:r w:rsidR="004241AC" w:rsidRPr="00894064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EE6EE2" w:rsidRPr="00894064">
        <w:rPr>
          <w:rFonts w:eastAsia="Calibri" w:cs="Calibri"/>
          <w:lang w:eastAsia="it-IT"/>
        </w:rPr>
        <w:t>Medeoros</w:t>
      </w:r>
      <w:r w:rsidR="004241AC" w:rsidRPr="00894064">
        <w:rPr>
          <w:rFonts w:eastAsia="Calibri" w:cs="Calibri"/>
          <w:lang w:eastAsia="it-IT"/>
        </w:rPr>
        <w:t>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8) ALTRE INFORMAZIONI RELATIVE A </w:t>
      </w:r>
      <w:r w:rsidR="00EE6EE2" w:rsidRPr="00894064">
        <w:rPr>
          <w:rFonts w:eastAsia="Calibri" w:cs="Calibri"/>
          <w:b/>
          <w:bCs/>
          <w:color w:val="000000"/>
          <w:lang w:eastAsia="it-IT"/>
        </w:rPr>
        <w:t>Medeoros</w:t>
      </w:r>
    </w:p>
    <w:p w:rsidR="004241AC" w:rsidRPr="00894064" w:rsidRDefault="00F630F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 201</w:t>
      </w:r>
      <w:r w:rsidR="00702679">
        <w:rPr>
          <w:rFonts w:eastAsia="Calibri" w:cs="Calibri"/>
          <w:bCs/>
          <w:iCs/>
          <w:lang w:eastAsia="it-IT"/>
        </w:rPr>
        <w:t>1</w:t>
      </w:r>
      <w:r>
        <w:rPr>
          <w:rFonts w:eastAsia="Calibri" w:cs="Calibri"/>
          <w:bCs/>
          <w:iCs/>
          <w:lang w:eastAsia="it-IT"/>
        </w:rPr>
        <w:t xml:space="preserve"> e il 201</w:t>
      </w:r>
      <w:r w:rsidR="00042505">
        <w:rPr>
          <w:rFonts w:eastAsia="Calibri" w:cs="Calibri"/>
          <w:bCs/>
          <w:iCs/>
          <w:lang w:eastAsia="it-IT"/>
        </w:rPr>
        <w:t>6</w:t>
      </w:r>
      <w:r w:rsidR="00F7355E">
        <w:rPr>
          <w:rFonts w:eastAsia="Calibri" w:cs="Calibri"/>
          <w:bCs/>
          <w:iCs/>
          <w:lang w:eastAsia="it-IT"/>
        </w:rPr>
        <w:t xml:space="preserve"> </w:t>
      </w:r>
      <w:r w:rsidR="004241AC" w:rsidRPr="00894064">
        <w:rPr>
          <w:rFonts w:eastAsia="Calibri" w:cs="Calibri"/>
          <w:bCs/>
          <w:iCs/>
          <w:lang w:eastAsia="it-IT"/>
        </w:rPr>
        <w:t xml:space="preserve">AIFA ha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</w:t>
      </w:r>
      <w:r w:rsidR="00F7355E">
        <w:rPr>
          <w:rFonts w:eastAsia="Calibri" w:cs="Calibri"/>
          <w:bCs/>
          <w:iCs/>
          <w:lang w:eastAsia="it-IT"/>
        </w:rPr>
        <w:t>diverse</w:t>
      </w:r>
      <w:r>
        <w:rPr>
          <w:rFonts w:eastAsia="Calibri" w:cs="Calibri"/>
          <w:bCs/>
          <w:iCs/>
          <w:lang w:eastAsia="it-IT"/>
        </w:rPr>
        <w:t xml:space="preserve"> confezioni </w:t>
      </w:r>
      <w:r w:rsidR="004241AC" w:rsidRPr="00894064">
        <w:rPr>
          <w:rFonts w:eastAsia="Calibri" w:cs="Calibri"/>
          <w:bCs/>
          <w:iCs/>
          <w:lang w:eastAsia="it-IT"/>
        </w:rPr>
        <w:t xml:space="preserve">di </w:t>
      </w:r>
      <w:proofErr w:type="spellStart"/>
      <w:r>
        <w:rPr>
          <w:rFonts w:eastAsia="Calibri" w:cs="Calibri"/>
          <w:bCs/>
          <w:color w:val="000000"/>
          <w:lang w:eastAsia="it-IT"/>
        </w:rPr>
        <w:t>Medeoros</w:t>
      </w:r>
      <w:proofErr w:type="spellEnd"/>
      <w:r w:rsidR="004241AC" w:rsidRPr="00894064">
        <w:rPr>
          <w:rFonts w:eastAsia="Calibri" w:cs="Calibri"/>
          <w:bCs/>
          <w:lang w:eastAsia="it-IT"/>
        </w:rPr>
        <w:t xml:space="preserve">. </w:t>
      </w:r>
    </w:p>
    <w:p w:rsidR="003A3DB3" w:rsidRPr="00894064" w:rsidRDefault="003A3DB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A3DB3" w:rsidRPr="00894064" w:rsidRDefault="003A3DB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Per maggiori informazioni riguardo il trattamento con </w:t>
      </w:r>
      <w:r w:rsidR="00EE6EE2" w:rsidRPr="00894064">
        <w:rPr>
          <w:rFonts w:eastAsia="Calibri" w:cs="Calibri"/>
          <w:bCs/>
          <w:color w:val="000000"/>
          <w:lang w:eastAsia="it-IT"/>
        </w:rPr>
        <w:t>Medeoros</w:t>
      </w:r>
      <w:r w:rsidRPr="00894064">
        <w:rPr>
          <w:rFonts w:eastAsia="Calibri" w:cs="Calibri"/>
          <w:lang w:eastAsia="it-IT"/>
        </w:rPr>
        <w:t>si può leggere il foglio illustrativo</w:t>
      </w:r>
      <w:r w:rsidR="00F7355E">
        <w:rPr>
          <w:rFonts w:eastAsia="Calibri" w:cs="Calibri"/>
          <w:lang w:eastAsia="it-IT"/>
        </w:rPr>
        <w:t xml:space="preserve"> </w:t>
      </w:r>
      <w:r w:rsidR="00686B6F" w:rsidRPr="00894064">
        <w:rPr>
          <w:rFonts w:eastAsia="Calibri" w:cs="Calibri"/>
          <w:lang w:eastAsia="it-IT"/>
        </w:rPr>
        <w:t>(</w:t>
      </w:r>
      <w:hyperlink r:id="rId8" w:history="1">
        <w:r w:rsidR="00686B6F" w:rsidRPr="0089406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86B6F" w:rsidRPr="00894064">
        <w:rPr>
          <w:rFonts w:eastAsia="Calibri" w:cs="Calibri"/>
          <w:lang w:eastAsia="it-IT"/>
        </w:rPr>
        <w:t>)</w:t>
      </w:r>
      <w:r w:rsidR="00F7355E">
        <w:rPr>
          <w:rFonts w:eastAsia="Calibri" w:cs="Calibri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 xml:space="preserve">o contattare il medico o </w:t>
      </w:r>
      <w:r w:rsidR="009B03DB" w:rsidRPr="00894064">
        <w:rPr>
          <w:rFonts w:eastAsia="Calibri" w:cs="Calibri"/>
          <w:lang w:eastAsia="it-IT"/>
        </w:rPr>
        <w:t xml:space="preserve">il </w:t>
      </w:r>
      <w:r w:rsidRPr="00894064">
        <w:rPr>
          <w:rFonts w:eastAsia="Calibri" w:cs="Calibri"/>
          <w:lang w:eastAsia="it-IT"/>
        </w:rPr>
        <w:t xml:space="preserve">farmacista. </w:t>
      </w: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Questo riassunto è stato redatto in data </w:t>
      </w:r>
      <w:r w:rsidR="00F30505">
        <w:rPr>
          <w:rFonts w:eastAsia="Calibri" w:cs="Calibri"/>
          <w:bCs/>
          <w:iCs/>
          <w:lang w:eastAsia="it-IT"/>
        </w:rPr>
        <w:t>04.11.2015</w:t>
      </w:r>
      <w:r w:rsidRPr="00894064">
        <w:rPr>
          <w:rFonts w:eastAsia="Calibri" w:cs="Calibri"/>
          <w:color w:val="FF0000"/>
          <w:lang w:eastAsia="it-IT"/>
        </w:rPr>
        <w:t>.</w:t>
      </w:r>
    </w:p>
    <w:p w:rsidR="004241AC" w:rsidRPr="00894064" w:rsidRDefault="004241AC" w:rsidP="00894064">
      <w:pPr>
        <w:spacing w:after="0" w:line="240" w:lineRule="auto"/>
        <w:jc w:val="both"/>
      </w:pPr>
    </w:p>
    <w:p w:rsidR="00337AF5" w:rsidRPr="00894064" w:rsidRDefault="00337AF5" w:rsidP="00894064">
      <w:pPr>
        <w:spacing w:after="0" w:line="240" w:lineRule="auto"/>
        <w:jc w:val="both"/>
        <w:rPr>
          <w:b/>
        </w:rPr>
      </w:pPr>
      <w:r w:rsidRPr="00894064">
        <w:rPr>
          <w:b/>
        </w:rPr>
        <w:br w:type="page"/>
      </w:r>
    </w:p>
    <w:p w:rsidR="00894064" w:rsidRDefault="00894064" w:rsidP="00894064">
      <w:pPr>
        <w:spacing w:after="0" w:line="240" w:lineRule="auto"/>
        <w:jc w:val="center"/>
        <w:rPr>
          <w:b/>
          <w:sz w:val="28"/>
        </w:rPr>
      </w:pPr>
    </w:p>
    <w:p w:rsidR="00F7355E" w:rsidRDefault="00F7355E" w:rsidP="00894064">
      <w:pPr>
        <w:spacing w:after="0" w:line="240" w:lineRule="auto"/>
        <w:jc w:val="center"/>
        <w:rPr>
          <w:b/>
          <w:sz w:val="28"/>
        </w:rPr>
      </w:pPr>
    </w:p>
    <w:p w:rsidR="003A3DB3" w:rsidRPr="00894064" w:rsidRDefault="003A3DB3" w:rsidP="00894064">
      <w:pPr>
        <w:spacing w:after="0" w:line="240" w:lineRule="auto"/>
        <w:jc w:val="center"/>
        <w:rPr>
          <w:b/>
          <w:sz w:val="28"/>
        </w:rPr>
      </w:pPr>
      <w:r w:rsidRPr="00894064">
        <w:rPr>
          <w:b/>
          <w:sz w:val="28"/>
        </w:rPr>
        <w:t xml:space="preserve">RELAZIONE PUBBLICA </w:t>
      </w:r>
      <w:proofErr w:type="spellStart"/>
      <w:r w:rsidRPr="00894064">
        <w:rPr>
          <w:b/>
          <w:sz w:val="28"/>
        </w:rPr>
        <w:t>DI</w:t>
      </w:r>
      <w:proofErr w:type="spellEnd"/>
      <w:r w:rsidRPr="00894064">
        <w:rPr>
          <w:b/>
          <w:sz w:val="28"/>
        </w:rPr>
        <w:t xml:space="preserve"> VALUTAZIONE</w:t>
      </w:r>
    </w:p>
    <w:p w:rsidR="003A3DB3" w:rsidRPr="00894064" w:rsidRDefault="003A3DB3" w:rsidP="00894064">
      <w:pPr>
        <w:spacing w:after="0" w:line="240" w:lineRule="auto"/>
        <w:jc w:val="center"/>
        <w:rPr>
          <w:b/>
          <w:sz w:val="28"/>
        </w:rPr>
      </w:pPr>
    </w:p>
    <w:p w:rsidR="003A3DB3" w:rsidRPr="00894064" w:rsidRDefault="003A3DB3" w:rsidP="00894064">
      <w:pPr>
        <w:spacing w:after="0" w:line="240" w:lineRule="auto"/>
        <w:jc w:val="both"/>
        <w:rPr>
          <w:b/>
        </w:rPr>
      </w:pPr>
    </w:p>
    <w:p w:rsidR="003A3DB3" w:rsidRPr="00894064" w:rsidRDefault="003A3DB3" w:rsidP="00894064">
      <w:pPr>
        <w:spacing w:after="0" w:line="240" w:lineRule="auto"/>
        <w:jc w:val="both"/>
        <w:rPr>
          <w:b/>
        </w:rPr>
      </w:pPr>
    </w:p>
    <w:p w:rsidR="003A3DB3" w:rsidRPr="00894064" w:rsidRDefault="003A3DB3" w:rsidP="00894064">
      <w:pPr>
        <w:spacing w:after="0" w:line="240" w:lineRule="auto"/>
        <w:jc w:val="both"/>
        <w:rPr>
          <w:b/>
        </w:rPr>
      </w:pPr>
    </w:p>
    <w:p w:rsidR="003A3DB3" w:rsidRPr="00894064" w:rsidRDefault="003A3DB3" w:rsidP="00894064">
      <w:pPr>
        <w:spacing w:after="0" w:line="240" w:lineRule="auto"/>
        <w:jc w:val="center"/>
        <w:rPr>
          <w:b/>
        </w:rPr>
      </w:pPr>
      <w:r w:rsidRPr="00894064">
        <w:rPr>
          <w:b/>
        </w:rPr>
        <w:t>INDICE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894064">
        <w:rPr>
          <w:b/>
        </w:rPr>
        <w:t>INTRODUZIONE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894064">
        <w:rPr>
          <w:b/>
        </w:rPr>
        <w:t>ASPETTI DI QUALITA’</w:t>
      </w:r>
    </w:p>
    <w:p w:rsidR="003A3DB3" w:rsidRPr="00894064" w:rsidRDefault="003A3DB3" w:rsidP="00894064">
      <w:pPr>
        <w:pStyle w:val="Paragrafoelenco"/>
        <w:spacing w:after="0" w:line="240" w:lineRule="auto"/>
        <w:jc w:val="both"/>
        <w:rPr>
          <w:b/>
        </w:rPr>
      </w:pPr>
    </w:p>
    <w:p w:rsidR="003A3DB3" w:rsidRPr="00894064" w:rsidRDefault="003A3DB3" w:rsidP="00894064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894064">
        <w:rPr>
          <w:b/>
        </w:rPr>
        <w:t>ASPETTI NON CLINICI</w:t>
      </w:r>
    </w:p>
    <w:p w:rsidR="003A3DB3" w:rsidRPr="00894064" w:rsidRDefault="003A3DB3" w:rsidP="00894064">
      <w:pPr>
        <w:pStyle w:val="Paragrafoelenco"/>
        <w:spacing w:after="0" w:line="240" w:lineRule="auto"/>
        <w:jc w:val="both"/>
        <w:rPr>
          <w:b/>
        </w:rPr>
      </w:pPr>
    </w:p>
    <w:p w:rsidR="003A3DB3" w:rsidRPr="00894064" w:rsidRDefault="003A3DB3" w:rsidP="00894064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894064">
        <w:rPr>
          <w:b/>
        </w:rPr>
        <w:t>ASPETTI CLINICI</w:t>
      </w:r>
    </w:p>
    <w:p w:rsidR="003A3DB3" w:rsidRPr="00894064" w:rsidRDefault="003A3DB3" w:rsidP="00894064">
      <w:pPr>
        <w:pStyle w:val="Paragrafoelenco"/>
        <w:spacing w:after="0" w:line="240" w:lineRule="auto"/>
        <w:jc w:val="both"/>
        <w:rPr>
          <w:b/>
        </w:rPr>
      </w:pPr>
    </w:p>
    <w:p w:rsidR="003A3DB3" w:rsidRPr="00894064" w:rsidRDefault="003A3DB3" w:rsidP="00894064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894064">
        <w:rPr>
          <w:b/>
        </w:rPr>
        <w:t>CONSULTAZIONE SUL FOGLIO ILLUSTRATIVO</w:t>
      </w:r>
    </w:p>
    <w:p w:rsidR="003A3DB3" w:rsidRPr="00894064" w:rsidRDefault="003A3DB3" w:rsidP="00894064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A3DB3" w:rsidRPr="00894064" w:rsidRDefault="003A3DB3" w:rsidP="00894064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894064">
        <w:rPr>
          <w:b/>
        </w:rPr>
        <w:t>CONCLUSIONI, VALUTAZIONE DEL RAPPORTO BENEFICIO/RISCHIO E RACCOMANDAZIONI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D85E7D" w:rsidRPr="00894064" w:rsidRDefault="00D85E7D" w:rsidP="00894064">
      <w:pPr>
        <w:spacing w:after="0" w:line="240" w:lineRule="auto"/>
        <w:jc w:val="both"/>
      </w:pPr>
    </w:p>
    <w:p w:rsidR="00D85E7D" w:rsidRDefault="00D85E7D" w:rsidP="00894064">
      <w:pPr>
        <w:spacing w:after="0" w:line="240" w:lineRule="auto"/>
        <w:jc w:val="both"/>
      </w:pPr>
    </w:p>
    <w:p w:rsidR="00894064" w:rsidRDefault="00894064" w:rsidP="00894064">
      <w:pPr>
        <w:spacing w:after="0" w:line="240" w:lineRule="auto"/>
        <w:jc w:val="both"/>
      </w:pPr>
    </w:p>
    <w:p w:rsidR="00894064" w:rsidRDefault="00894064" w:rsidP="00894064">
      <w:pPr>
        <w:spacing w:after="0" w:line="240" w:lineRule="auto"/>
        <w:jc w:val="both"/>
      </w:pPr>
    </w:p>
    <w:p w:rsidR="00894064" w:rsidRDefault="00894064" w:rsidP="00894064">
      <w:pPr>
        <w:spacing w:after="0" w:line="240" w:lineRule="auto"/>
        <w:jc w:val="both"/>
      </w:pPr>
    </w:p>
    <w:p w:rsidR="00894064" w:rsidRDefault="00894064" w:rsidP="00894064">
      <w:pPr>
        <w:spacing w:after="0" w:line="240" w:lineRule="auto"/>
        <w:jc w:val="both"/>
      </w:pPr>
    </w:p>
    <w:p w:rsidR="00894064" w:rsidRDefault="00894064" w:rsidP="00894064">
      <w:pPr>
        <w:spacing w:after="0" w:line="240" w:lineRule="auto"/>
        <w:jc w:val="both"/>
      </w:pPr>
    </w:p>
    <w:p w:rsidR="00894064" w:rsidRDefault="00894064" w:rsidP="00894064">
      <w:pPr>
        <w:spacing w:after="0" w:line="240" w:lineRule="auto"/>
        <w:jc w:val="both"/>
      </w:pPr>
    </w:p>
    <w:p w:rsidR="00894064" w:rsidRDefault="00894064" w:rsidP="00894064">
      <w:pPr>
        <w:spacing w:after="0" w:line="240" w:lineRule="auto"/>
        <w:jc w:val="both"/>
      </w:pPr>
    </w:p>
    <w:p w:rsidR="00894064" w:rsidRDefault="00894064" w:rsidP="00894064">
      <w:pPr>
        <w:spacing w:after="0" w:line="240" w:lineRule="auto"/>
        <w:jc w:val="both"/>
      </w:pPr>
    </w:p>
    <w:p w:rsidR="00894064" w:rsidRDefault="00894064" w:rsidP="00894064">
      <w:pPr>
        <w:spacing w:after="0" w:line="240" w:lineRule="auto"/>
        <w:jc w:val="both"/>
      </w:pPr>
    </w:p>
    <w:p w:rsidR="00894064" w:rsidRDefault="00894064" w:rsidP="00894064">
      <w:pPr>
        <w:spacing w:after="0" w:line="240" w:lineRule="auto"/>
        <w:jc w:val="both"/>
      </w:pPr>
    </w:p>
    <w:p w:rsidR="00894064" w:rsidRDefault="00894064" w:rsidP="00894064">
      <w:pPr>
        <w:spacing w:after="0" w:line="240" w:lineRule="auto"/>
        <w:jc w:val="both"/>
      </w:pPr>
    </w:p>
    <w:p w:rsidR="00894064" w:rsidRDefault="00894064" w:rsidP="00894064">
      <w:pPr>
        <w:spacing w:after="0" w:line="240" w:lineRule="auto"/>
        <w:jc w:val="both"/>
      </w:pPr>
    </w:p>
    <w:p w:rsidR="00894064" w:rsidRDefault="00894064" w:rsidP="00894064">
      <w:pPr>
        <w:spacing w:after="0" w:line="240" w:lineRule="auto"/>
        <w:jc w:val="both"/>
      </w:pPr>
    </w:p>
    <w:p w:rsidR="003A3DB3" w:rsidRPr="00894064" w:rsidRDefault="003A3DB3" w:rsidP="0089406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894064">
        <w:rPr>
          <w:b/>
        </w:rPr>
        <w:lastRenderedPageBreak/>
        <w:t>INTRODUZIONE</w:t>
      </w:r>
    </w:p>
    <w:p w:rsidR="003A3DB3" w:rsidRPr="00894064" w:rsidRDefault="003A3DB3" w:rsidP="00894064">
      <w:pPr>
        <w:autoSpaceDE w:val="0"/>
        <w:autoSpaceDN w:val="0"/>
        <w:adjustRightInd w:val="0"/>
        <w:spacing w:after="0" w:line="240" w:lineRule="auto"/>
        <w:jc w:val="both"/>
      </w:pPr>
      <w:r w:rsidRPr="00894064">
        <w:t xml:space="preserve">Sulla base dei dati di qualità, sicurezza ed efficacia, l’AIFA ha rilasciato a </w:t>
      </w:r>
      <w:r w:rsidR="00894064">
        <w:t>Fenix Pharma</w:t>
      </w:r>
      <w:r w:rsidRPr="00894064">
        <w:t xml:space="preserve"> l’autorizzazione all’immissione in commercio (AIC) per</w:t>
      </w:r>
      <w:r w:rsidR="00F630F3">
        <w:t xml:space="preserve"> le diverse confezioni del</w:t>
      </w:r>
      <w:r w:rsidRPr="00894064">
        <w:t xml:space="preserve"> medicinale </w:t>
      </w:r>
      <w:r w:rsidR="00EE6EE2" w:rsidRPr="00894064">
        <w:t>Medeoros</w:t>
      </w:r>
      <w:r w:rsidR="00F630F3">
        <w:rPr>
          <w:rFonts w:eastAsia="Calibri" w:cs="Calibri"/>
          <w:bCs/>
          <w:iCs/>
          <w:lang w:eastAsia="it-IT"/>
        </w:rPr>
        <w:t>tra il 2011 e il 201</w:t>
      </w:r>
      <w:r w:rsidR="00042505">
        <w:rPr>
          <w:rFonts w:eastAsia="Calibri" w:cs="Calibri"/>
          <w:bCs/>
          <w:iCs/>
          <w:lang w:eastAsia="it-IT"/>
        </w:rPr>
        <w:t>6</w:t>
      </w:r>
      <w:r w:rsidRPr="00894064">
        <w:t xml:space="preserve">.  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EE6EE2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t>Medeoros</w:t>
      </w:r>
      <w:r w:rsidR="003A3DB3" w:rsidRPr="00894064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  <w:r w:rsidRPr="00894064">
        <w:t>Questa procedura è stata presentata ai sensi dell’art. 10(1) della Direttiva 2001/83/EU s.m.i.</w:t>
      </w:r>
    </w:p>
    <w:p w:rsidR="003A3DB3" w:rsidRPr="00894064" w:rsidRDefault="003A3DB3" w:rsidP="00894064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3A3DB3" w:rsidRPr="00894064" w:rsidRDefault="00EE6EE2" w:rsidP="0089406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94064">
        <w:rPr>
          <w:rFonts w:eastAsia="Calibri" w:cs="Calibri"/>
          <w:bCs/>
          <w:color w:val="000000"/>
          <w:lang w:eastAsia="it-IT"/>
        </w:rPr>
        <w:t>Medeoros</w:t>
      </w:r>
      <w:proofErr w:type="spellEnd"/>
      <w:r w:rsidR="00F7355E">
        <w:rPr>
          <w:rFonts w:eastAsia="Calibri" w:cs="Calibri"/>
          <w:bCs/>
          <w:color w:val="000000"/>
          <w:lang w:eastAsia="it-IT"/>
        </w:rPr>
        <w:t xml:space="preserve"> </w:t>
      </w:r>
      <w:r w:rsidR="003A3DB3" w:rsidRPr="00894064">
        <w:rPr>
          <w:rFonts w:eastAsia="Calibri" w:cs="Calibri"/>
          <w:color w:val="000000"/>
          <w:lang w:eastAsia="it-IT"/>
        </w:rPr>
        <w:t xml:space="preserve">è un medicinale </w:t>
      </w:r>
      <w:r w:rsidR="008B4301" w:rsidRPr="00894064">
        <w:rPr>
          <w:rFonts w:eastAsia="Calibri" w:cs="Calibri"/>
          <w:color w:val="000000"/>
          <w:lang w:eastAsia="it-IT"/>
        </w:rPr>
        <w:t xml:space="preserve">generico </w:t>
      </w:r>
      <w:r w:rsidR="003A3DB3" w:rsidRPr="00894064">
        <w:rPr>
          <w:rFonts w:eastAsia="Calibri" w:cs="Calibri"/>
          <w:color w:val="000000"/>
          <w:lang w:eastAsia="it-IT"/>
        </w:rPr>
        <w:t xml:space="preserve">contenente il principio attivo </w:t>
      </w:r>
      <w:r w:rsidR="00417B3A" w:rsidRPr="00894064">
        <w:rPr>
          <w:rFonts w:eastAsia="Calibri" w:cs="Calibri"/>
          <w:color w:val="000000"/>
          <w:lang w:eastAsia="it-IT"/>
        </w:rPr>
        <w:t>risedronato sodico</w:t>
      </w:r>
      <w:r w:rsidR="003A3DB3" w:rsidRPr="00894064">
        <w:rPr>
          <w:rFonts w:eastAsia="Calibri" w:cs="Calibri"/>
          <w:color w:val="000000"/>
          <w:lang w:eastAsia="it-IT"/>
        </w:rPr>
        <w:t xml:space="preserve"> presente nel medicinale di riferimento </w:t>
      </w:r>
      <w:r w:rsidR="00417B3A" w:rsidRPr="00894064">
        <w:rPr>
          <w:rFonts w:eastAsia="Calibri" w:cs="Calibri"/>
          <w:color w:val="000000"/>
          <w:lang w:eastAsia="it-IT"/>
        </w:rPr>
        <w:t>Actonel</w:t>
      </w:r>
      <w:r w:rsidR="003A3DB3" w:rsidRPr="00894064">
        <w:rPr>
          <w:rFonts w:eastAsia="Calibri" w:cs="Calibri"/>
          <w:color w:val="000000"/>
          <w:lang w:eastAsia="it-IT"/>
        </w:rPr>
        <w:t>, autorizzato in Italia da più di 10 anni.</w:t>
      </w:r>
    </w:p>
    <w:p w:rsidR="003A3DB3" w:rsidRPr="007760A3" w:rsidRDefault="003A3DB3" w:rsidP="007760A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760A3" w:rsidRPr="007760A3" w:rsidRDefault="00EE6EE2" w:rsidP="007760A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760A3">
        <w:rPr>
          <w:rFonts w:eastAsia="Calibri" w:cs="Calibri"/>
          <w:color w:val="000000"/>
          <w:lang w:eastAsia="it-IT"/>
        </w:rPr>
        <w:t>Medeoros</w:t>
      </w:r>
      <w:r w:rsidR="003A3DB3" w:rsidRPr="007760A3">
        <w:rPr>
          <w:rFonts w:eastAsia="Calibri" w:cs="Calibri"/>
          <w:color w:val="000000"/>
          <w:lang w:eastAsia="it-IT"/>
        </w:rPr>
        <w:t xml:space="preserve">, il cui codice ATC è </w:t>
      </w:r>
      <w:r w:rsidR="00417B3A" w:rsidRPr="007760A3">
        <w:rPr>
          <w:rFonts w:eastAsia="Calibri" w:cs="Calibri"/>
          <w:color w:val="000000"/>
          <w:lang w:eastAsia="it-IT"/>
        </w:rPr>
        <w:t>M05BA07</w:t>
      </w:r>
      <w:r w:rsidR="00D85E7D" w:rsidRPr="007760A3">
        <w:rPr>
          <w:rFonts w:eastAsia="Calibri" w:cs="Calibri"/>
          <w:color w:val="000000"/>
          <w:lang w:eastAsia="it-IT"/>
        </w:rPr>
        <w:t>, contiene il princi</w:t>
      </w:r>
      <w:r w:rsidR="002969CD" w:rsidRPr="007760A3">
        <w:rPr>
          <w:rFonts w:eastAsia="Calibri" w:cs="Calibri"/>
          <w:color w:val="000000"/>
          <w:lang w:eastAsia="it-IT"/>
        </w:rPr>
        <w:t>pi</w:t>
      </w:r>
      <w:r w:rsidR="00D85E7D" w:rsidRPr="007760A3">
        <w:rPr>
          <w:rFonts w:eastAsia="Calibri" w:cs="Calibri"/>
          <w:color w:val="000000"/>
          <w:lang w:eastAsia="it-IT"/>
        </w:rPr>
        <w:t xml:space="preserve">o </w:t>
      </w:r>
      <w:r w:rsidR="002969CD" w:rsidRPr="007760A3">
        <w:rPr>
          <w:rFonts w:eastAsia="Calibri" w:cs="Calibri"/>
          <w:color w:val="000000"/>
          <w:lang w:eastAsia="it-IT"/>
        </w:rPr>
        <w:t xml:space="preserve">attivo </w:t>
      </w:r>
      <w:r w:rsidR="00417B3A" w:rsidRPr="007760A3">
        <w:rPr>
          <w:rFonts w:eastAsia="Calibri" w:cs="Calibri"/>
          <w:color w:val="000000"/>
          <w:lang w:eastAsia="it-IT"/>
        </w:rPr>
        <w:t>risedronato sodico</w:t>
      </w:r>
      <w:r w:rsidR="007760A3">
        <w:rPr>
          <w:rFonts w:eastAsia="Calibri" w:cs="Calibri"/>
          <w:color w:val="000000"/>
          <w:lang w:eastAsia="it-IT"/>
        </w:rPr>
        <w:t xml:space="preserve">, </w:t>
      </w:r>
      <w:r w:rsidR="007760A3" w:rsidRPr="007760A3">
        <w:rPr>
          <w:rFonts w:eastAsia="Calibri" w:cs="Calibri"/>
          <w:color w:val="000000"/>
          <w:lang w:eastAsia="it-IT"/>
        </w:rPr>
        <w:t>un piridinilbisfosfonato che si fissa all’idrossiapatite dell’osso e inibisce il riassorbimento osseo da parte degli osteoclasti. Il turnover osseo viene ridotto mentre l’attività osteoblastica e la mineralizzazione ossea vengono mantenute.</w:t>
      </w:r>
    </w:p>
    <w:p w:rsidR="007760A3" w:rsidRPr="007760A3" w:rsidRDefault="007760A3" w:rsidP="007760A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E46EF4" w:rsidRPr="007760A3" w:rsidRDefault="00E46EF4" w:rsidP="0089406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760A3">
        <w:rPr>
          <w:rFonts w:eastAsia="Calibri" w:cs="Calibri"/>
          <w:color w:val="000000"/>
          <w:lang w:eastAsia="it-IT"/>
        </w:rPr>
        <w:t xml:space="preserve">Medeoros 35 </w:t>
      </w:r>
      <w:r w:rsidR="00894064" w:rsidRPr="007760A3">
        <w:rPr>
          <w:rFonts w:eastAsia="Calibri" w:cs="Calibri"/>
          <w:color w:val="000000"/>
          <w:lang w:eastAsia="it-IT"/>
        </w:rPr>
        <w:t>mg</w:t>
      </w:r>
      <w:r w:rsidRPr="007760A3">
        <w:rPr>
          <w:rFonts w:eastAsia="Calibri" w:cs="Calibri"/>
          <w:color w:val="000000"/>
          <w:lang w:eastAsia="it-IT"/>
        </w:rPr>
        <w:t xml:space="preserve"> è utilizzato per:</w:t>
      </w:r>
    </w:p>
    <w:p w:rsidR="007760A3" w:rsidRPr="00F7355E" w:rsidRDefault="000A5A58" w:rsidP="00F7355E">
      <w:pPr>
        <w:pStyle w:val="Paragrafoelenco"/>
        <w:widowControl w:val="0"/>
        <w:numPr>
          <w:ilvl w:val="0"/>
          <w:numId w:val="9"/>
        </w:numPr>
        <w:spacing w:after="0" w:line="240" w:lineRule="auto"/>
        <w:ind w:left="142" w:hanging="142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</w:t>
      </w:r>
      <w:r w:rsidR="00F7355E">
        <w:rPr>
          <w:rFonts w:eastAsia="Calibri" w:cs="Calibri"/>
          <w:color w:val="000000"/>
          <w:lang w:eastAsia="it-IT"/>
        </w:rPr>
        <w:t>l t</w:t>
      </w:r>
      <w:r w:rsidR="007760A3" w:rsidRPr="00F7355E">
        <w:rPr>
          <w:rFonts w:eastAsia="Calibri" w:cs="Calibri"/>
          <w:color w:val="000000"/>
          <w:lang w:eastAsia="it-IT"/>
        </w:rPr>
        <w:t xml:space="preserve">rattamento dell’osteoporosi </w:t>
      </w:r>
      <w:proofErr w:type="spellStart"/>
      <w:r w:rsidR="007760A3" w:rsidRPr="00F7355E">
        <w:rPr>
          <w:rFonts w:eastAsia="Calibri" w:cs="Calibri"/>
          <w:color w:val="000000"/>
          <w:lang w:eastAsia="it-IT"/>
        </w:rPr>
        <w:t>postmenopausale</w:t>
      </w:r>
      <w:proofErr w:type="spellEnd"/>
      <w:r w:rsidR="007760A3" w:rsidRPr="00F7355E">
        <w:rPr>
          <w:rFonts w:eastAsia="Calibri" w:cs="Calibri"/>
          <w:color w:val="000000"/>
          <w:lang w:eastAsia="it-IT"/>
        </w:rPr>
        <w:t xml:space="preserve"> per ridurre il </w:t>
      </w:r>
      <w:r>
        <w:rPr>
          <w:rFonts w:eastAsia="Calibri" w:cs="Calibri"/>
          <w:color w:val="000000"/>
          <w:lang w:eastAsia="it-IT"/>
        </w:rPr>
        <w:t>rischio di fratture vertebrali; il t</w:t>
      </w:r>
      <w:r w:rsidR="007760A3" w:rsidRPr="00F7355E">
        <w:rPr>
          <w:rFonts w:eastAsia="Calibri" w:cs="Calibri"/>
          <w:color w:val="000000"/>
          <w:lang w:eastAsia="it-IT"/>
        </w:rPr>
        <w:t xml:space="preserve">rattamento dell’osteoporosi </w:t>
      </w:r>
      <w:proofErr w:type="spellStart"/>
      <w:r w:rsidR="007760A3" w:rsidRPr="00F7355E">
        <w:rPr>
          <w:rFonts w:eastAsia="Calibri" w:cs="Calibri"/>
          <w:color w:val="000000"/>
          <w:lang w:eastAsia="it-IT"/>
        </w:rPr>
        <w:t>postmenopausale</w:t>
      </w:r>
      <w:proofErr w:type="spellEnd"/>
      <w:r w:rsidR="007760A3" w:rsidRPr="00F7355E">
        <w:rPr>
          <w:rFonts w:eastAsia="Calibri" w:cs="Calibri"/>
          <w:color w:val="000000"/>
          <w:lang w:eastAsia="it-IT"/>
        </w:rPr>
        <w:t xml:space="preserve"> manifesta per ridurre i</w:t>
      </w:r>
      <w:r>
        <w:rPr>
          <w:rFonts w:eastAsia="Calibri" w:cs="Calibri"/>
          <w:color w:val="000000"/>
          <w:lang w:eastAsia="it-IT"/>
        </w:rPr>
        <w:t>l rischio di fratture dell’anca;</w:t>
      </w:r>
    </w:p>
    <w:p w:rsidR="007760A3" w:rsidRPr="00F7355E" w:rsidRDefault="000A5A58" w:rsidP="00F7355E">
      <w:pPr>
        <w:pStyle w:val="Paragrafoelenco"/>
        <w:widowControl w:val="0"/>
        <w:numPr>
          <w:ilvl w:val="0"/>
          <w:numId w:val="9"/>
        </w:numPr>
        <w:spacing w:after="0" w:line="240" w:lineRule="auto"/>
        <w:ind w:left="142" w:hanging="142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il t</w:t>
      </w:r>
      <w:r w:rsidR="007760A3" w:rsidRPr="00F7355E">
        <w:rPr>
          <w:rFonts w:eastAsia="Calibri" w:cs="Calibri"/>
          <w:color w:val="000000"/>
          <w:lang w:eastAsia="it-IT"/>
        </w:rPr>
        <w:t>rattamento dell’osteoporosi negli uomini ad alto rischio di fratture.</w:t>
      </w:r>
    </w:p>
    <w:p w:rsidR="00E46EF4" w:rsidRPr="000A5A58" w:rsidRDefault="00E46EF4" w:rsidP="000A5A5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0A5A58">
        <w:rPr>
          <w:rFonts w:eastAsia="Calibri" w:cs="Calibri"/>
          <w:color w:val="000000"/>
          <w:lang w:eastAsia="it-IT"/>
        </w:rPr>
        <w:t>Medeoros</w:t>
      </w:r>
      <w:proofErr w:type="spellEnd"/>
      <w:r w:rsidRPr="000A5A58">
        <w:rPr>
          <w:rFonts w:eastAsia="Calibri" w:cs="Calibri"/>
          <w:color w:val="000000"/>
          <w:lang w:eastAsia="it-IT"/>
        </w:rPr>
        <w:t xml:space="preserve"> 75 </w:t>
      </w:r>
      <w:r w:rsidR="00894064" w:rsidRPr="000A5A58">
        <w:rPr>
          <w:rFonts w:eastAsia="Calibri" w:cs="Calibri"/>
          <w:color w:val="000000"/>
          <w:lang w:eastAsia="it-IT"/>
        </w:rPr>
        <w:t>mg</w:t>
      </w:r>
      <w:r w:rsidRPr="000A5A58">
        <w:rPr>
          <w:rFonts w:eastAsia="Calibri" w:cs="Calibri"/>
          <w:color w:val="000000"/>
          <w:lang w:eastAsia="it-IT"/>
        </w:rPr>
        <w:t xml:space="preserve"> è utilizzato per:</w:t>
      </w:r>
    </w:p>
    <w:p w:rsidR="00E46EF4" w:rsidRPr="00F7355E" w:rsidRDefault="00E46EF4" w:rsidP="00F7355E">
      <w:pPr>
        <w:pStyle w:val="Paragrafoelenco"/>
        <w:widowControl w:val="0"/>
        <w:numPr>
          <w:ilvl w:val="0"/>
          <w:numId w:val="9"/>
        </w:numPr>
        <w:spacing w:after="0" w:line="240" w:lineRule="auto"/>
        <w:ind w:left="142" w:hanging="142"/>
        <w:jc w:val="both"/>
        <w:rPr>
          <w:rFonts w:eastAsia="Calibri" w:cs="Calibri"/>
          <w:color w:val="000000"/>
          <w:lang w:eastAsia="it-IT"/>
        </w:rPr>
      </w:pPr>
      <w:r w:rsidRPr="00F7355E">
        <w:rPr>
          <w:rFonts w:eastAsia="Calibri" w:cs="Calibri"/>
          <w:color w:val="000000"/>
          <w:lang w:eastAsia="it-IT"/>
        </w:rPr>
        <w:t xml:space="preserve">il trattamento dell’osteoporosi nelle donne in postmenopausa </w:t>
      </w:r>
      <w:r w:rsidR="002969CD" w:rsidRPr="00F7355E">
        <w:rPr>
          <w:rFonts w:eastAsia="Calibri" w:cs="Calibri"/>
          <w:color w:val="000000"/>
          <w:lang w:eastAsia="it-IT"/>
        </w:rPr>
        <w:t>ad aumentato rischio di fratture</w:t>
      </w:r>
      <w:r w:rsidR="000A5A58">
        <w:rPr>
          <w:rFonts w:eastAsia="Calibri" w:cs="Calibri"/>
          <w:color w:val="000000"/>
          <w:lang w:eastAsia="it-IT"/>
        </w:rPr>
        <w:t>.</w:t>
      </w:r>
    </w:p>
    <w:p w:rsidR="00D85E7D" w:rsidRPr="007760A3" w:rsidRDefault="00D85E7D" w:rsidP="007760A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A3DB3" w:rsidRDefault="003A3DB3" w:rsidP="00894064">
      <w:pPr>
        <w:spacing w:after="0" w:line="240" w:lineRule="auto"/>
        <w:jc w:val="both"/>
      </w:pPr>
      <w:r w:rsidRPr="00894064">
        <w:t xml:space="preserve">Poiché </w:t>
      </w:r>
      <w:r w:rsidR="00EE6EE2" w:rsidRPr="00894064">
        <w:t>Medeoros</w:t>
      </w:r>
      <w:r w:rsidRPr="00894064">
        <w:t xml:space="preserve"> contiene un principio attivo noto non sono stati forniti nuovi dati non clinici e clinici: questo approccio è accettabile poiché il medicinale di riferimento </w:t>
      </w:r>
      <w:r w:rsidR="00417B3A" w:rsidRPr="00894064">
        <w:t>Actonel</w:t>
      </w:r>
      <w:r w:rsidRPr="00894064">
        <w:t xml:space="preserve"> è autorizzato in Italia da oltre 10 anni.</w:t>
      </w:r>
    </w:p>
    <w:p w:rsidR="00F630F3" w:rsidRPr="00894064" w:rsidRDefault="00F630F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  <w:r w:rsidRPr="00894064">
        <w:t xml:space="preserve">La richiesta di AIC è supportata da uno studio di bioequivalenza che ha confrontato i profili farmacocinetici del medicinale test </w:t>
      </w:r>
      <w:proofErr w:type="spellStart"/>
      <w:r w:rsidR="00EE6EE2" w:rsidRPr="00894064">
        <w:t>Medeoros</w:t>
      </w:r>
      <w:proofErr w:type="spellEnd"/>
      <w:r w:rsidR="00F7355E">
        <w:t xml:space="preserve"> </w:t>
      </w:r>
      <w:r w:rsidRPr="00894064">
        <w:t xml:space="preserve">e quelli del medicinale di riferimento </w:t>
      </w:r>
      <w:proofErr w:type="spellStart"/>
      <w:r w:rsidR="00417B3A" w:rsidRPr="00894064">
        <w:t>Actonel</w:t>
      </w:r>
      <w:proofErr w:type="spellEnd"/>
      <w:r w:rsidRPr="00894064">
        <w:t>.</w:t>
      </w:r>
      <w:r w:rsidR="00F7355E">
        <w:t xml:space="preserve"> </w:t>
      </w:r>
      <w:r w:rsidRPr="00894064">
        <w:t>Lo studio di bioequivalenza è stato condotto in conformità alle linee guida di Buona Pratica Clinica (</w:t>
      </w:r>
      <w:r w:rsidRPr="00894064">
        <w:rPr>
          <w:i/>
        </w:rPr>
        <w:t>Good Clinical Practice</w:t>
      </w:r>
      <w:r w:rsidRPr="00894064">
        <w:t xml:space="preserve"> - GCP).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  <w:r w:rsidRPr="00894064">
        <w:t>Le officine coinvolte nella produzione sono conformi alle linee guida di Buona Pratica di Fabbricazione (</w:t>
      </w:r>
      <w:r w:rsidRPr="00894064">
        <w:rPr>
          <w:i/>
        </w:rPr>
        <w:t>Good Manufacturing Practice</w:t>
      </w:r>
      <w:r w:rsidRPr="00894064">
        <w:t xml:space="preserve"> - GMP). Le autorità regolatore competenti hanno rilasciato i certificati GMP per i siti di produzione sul territorio dell’Unione Europea.</w:t>
      </w:r>
    </w:p>
    <w:p w:rsidR="003A3DB3" w:rsidRPr="00894064" w:rsidRDefault="003A3DB3" w:rsidP="00894064">
      <w:pPr>
        <w:spacing w:after="0" w:line="240" w:lineRule="auto"/>
        <w:jc w:val="both"/>
        <w:rPr>
          <w:highlight w:val="yellow"/>
        </w:rPr>
      </w:pPr>
    </w:p>
    <w:p w:rsidR="003A3DB3" w:rsidRPr="00894064" w:rsidRDefault="003A3DB3" w:rsidP="00894064">
      <w:pPr>
        <w:spacing w:after="0" w:line="240" w:lineRule="auto"/>
        <w:jc w:val="both"/>
      </w:pPr>
      <w:r w:rsidRPr="00894064">
        <w:t>Il sistema di Farmacovigilanza descritto dal titolare dell’AIC è conforme ai requisiti previsti dalla normativa corrente. E’ stato presentato un Piano di gestione del rischio (</w:t>
      </w:r>
      <w:r w:rsidRPr="00894064">
        <w:rPr>
          <w:i/>
        </w:rPr>
        <w:t>Risk Management Plan</w:t>
      </w:r>
      <w:r w:rsidRPr="00894064">
        <w:t xml:space="preserve"> – RMP) accettabile.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  <w:r w:rsidRPr="00894064">
        <w:t xml:space="preserve">Il titolare di AIC ha presentato una adeguata giustificazione della non presentazione della Valutazione del Rischio ambientale; questo approccio è accettabile in quanto </w:t>
      </w:r>
      <w:r w:rsidR="00EE6EE2" w:rsidRPr="00894064">
        <w:t>Medeoros</w:t>
      </w:r>
      <w:r w:rsidRPr="00894064">
        <w:t xml:space="preserve"> contiene </w:t>
      </w:r>
      <w:r w:rsidR="0053000F" w:rsidRPr="00894064">
        <w:t xml:space="preserve">un </w:t>
      </w:r>
      <w:r w:rsidRPr="00894064">
        <w:t>principi</w:t>
      </w:r>
      <w:r w:rsidR="0053000F" w:rsidRPr="00894064">
        <w:t>o</w:t>
      </w:r>
      <w:r w:rsidRPr="00894064">
        <w:t xml:space="preserve"> attiv</w:t>
      </w:r>
      <w:r w:rsidR="0053000F" w:rsidRPr="00894064">
        <w:t>o</w:t>
      </w:r>
      <w:r w:rsidRPr="00894064">
        <w:t xml:space="preserve"> not</w:t>
      </w:r>
      <w:r w:rsidR="0053000F" w:rsidRPr="00894064">
        <w:t>o</w:t>
      </w:r>
      <w:r w:rsidRPr="00894064">
        <w:t xml:space="preserve"> present</w:t>
      </w:r>
      <w:r w:rsidR="0053000F" w:rsidRPr="00894064">
        <w:t>e</w:t>
      </w:r>
      <w:r w:rsidRPr="00894064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A3DB3" w:rsidRPr="00894064" w:rsidRDefault="003A3DB3" w:rsidP="00894064">
      <w:pPr>
        <w:spacing w:after="0" w:line="240" w:lineRule="auto"/>
        <w:jc w:val="both"/>
      </w:pPr>
    </w:p>
    <w:p w:rsidR="00D85E7D" w:rsidRPr="00894064" w:rsidRDefault="00D85E7D" w:rsidP="00894064">
      <w:pPr>
        <w:spacing w:after="0" w:line="240" w:lineRule="auto"/>
        <w:jc w:val="both"/>
      </w:pPr>
    </w:p>
    <w:p w:rsidR="003A3DB3" w:rsidRPr="00894064" w:rsidRDefault="003A3DB3" w:rsidP="0089406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894064">
        <w:rPr>
          <w:b/>
        </w:rPr>
        <w:t>ASPETTI DI QUALITA’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rPr>
          <w:b/>
        </w:rPr>
        <w:t xml:space="preserve">II.1 PRINCIPIO ATTIVO </w:t>
      </w:r>
      <w:r w:rsidR="002969CD" w:rsidRPr="00894064">
        <w:rPr>
          <w:b/>
        </w:rPr>
        <w:t>RISEDRONATO SODICO</w:t>
      </w:r>
    </w:p>
    <w:p w:rsidR="003A3DB3" w:rsidRDefault="003A3DB3" w:rsidP="00894064">
      <w:pPr>
        <w:autoSpaceDE w:val="0"/>
        <w:autoSpaceDN w:val="0"/>
        <w:adjustRightInd w:val="0"/>
        <w:spacing w:after="0" w:line="240" w:lineRule="auto"/>
        <w:jc w:val="both"/>
      </w:pPr>
      <w:r w:rsidRPr="00894064">
        <w:rPr>
          <w:u w:val="single"/>
        </w:rPr>
        <w:t>Nome chimico</w:t>
      </w:r>
      <w:r w:rsidRPr="00894064">
        <w:t xml:space="preserve">: </w:t>
      </w:r>
      <w:r w:rsidR="00A72D3D" w:rsidRPr="00894064">
        <w:t>Sodium hydrogen [1-hydroxy-1-phosphono-2-(pyridin-3-yl)ethyl]phosphonate hemipentahydrate</w:t>
      </w:r>
      <w:r w:rsidRPr="00894064">
        <w:t>.</w:t>
      </w:r>
    </w:p>
    <w:p w:rsidR="00F7355E" w:rsidRDefault="00F7355E" w:rsidP="00894064">
      <w:pPr>
        <w:spacing w:after="0" w:line="240" w:lineRule="auto"/>
        <w:jc w:val="both"/>
        <w:rPr>
          <w:u w:val="single"/>
        </w:rPr>
      </w:pPr>
    </w:p>
    <w:p w:rsidR="00F7355E" w:rsidRDefault="00F7355E" w:rsidP="00894064">
      <w:pPr>
        <w:spacing w:after="0" w:line="240" w:lineRule="auto"/>
        <w:jc w:val="both"/>
        <w:rPr>
          <w:u w:val="single"/>
        </w:rPr>
      </w:pPr>
    </w:p>
    <w:p w:rsidR="00F7355E" w:rsidRDefault="00F7355E" w:rsidP="00894064">
      <w:pPr>
        <w:spacing w:after="0" w:line="240" w:lineRule="auto"/>
        <w:jc w:val="both"/>
        <w:rPr>
          <w:u w:val="single"/>
        </w:rPr>
      </w:pPr>
    </w:p>
    <w:p w:rsidR="00F7355E" w:rsidRDefault="00F7355E" w:rsidP="00894064">
      <w:pPr>
        <w:spacing w:after="0" w:line="240" w:lineRule="auto"/>
        <w:jc w:val="both"/>
        <w:rPr>
          <w:u w:val="single"/>
        </w:rPr>
      </w:pPr>
    </w:p>
    <w:p w:rsidR="003A3DB3" w:rsidRPr="00894064" w:rsidRDefault="003A3DB3" w:rsidP="00894064">
      <w:pPr>
        <w:spacing w:after="0" w:line="240" w:lineRule="auto"/>
        <w:jc w:val="both"/>
        <w:rPr>
          <w:noProof/>
          <w:lang w:eastAsia="it-IT"/>
        </w:rPr>
      </w:pPr>
      <w:r w:rsidRPr="00894064">
        <w:rPr>
          <w:u w:val="single"/>
        </w:rPr>
        <w:lastRenderedPageBreak/>
        <w:t>Struttura</w:t>
      </w:r>
      <w:r w:rsidRPr="00894064">
        <w:t>:</w:t>
      </w:r>
    </w:p>
    <w:p w:rsidR="00F630F3" w:rsidRDefault="00726E3E" w:rsidP="00726E3E">
      <w:pPr>
        <w:spacing w:after="0" w:line="240" w:lineRule="auto"/>
        <w:jc w:val="center"/>
        <w:rPr>
          <w:rFonts w:cs="Arial"/>
          <w:noProof/>
          <w:lang w:eastAsia="it-IT"/>
        </w:rPr>
      </w:pPr>
      <w:r>
        <w:rPr>
          <w:rFonts w:cs="Arial"/>
          <w:noProof/>
          <w:lang w:eastAsia="it-IT"/>
        </w:rPr>
        <w:drawing>
          <wp:inline distT="0" distB="0" distL="0" distR="0">
            <wp:extent cx="1581150" cy="618086"/>
            <wp:effectExtent l="19050" t="0" r="0" b="0"/>
            <wp:docPr id="3" name="Immagine 2" descr="CF2572-B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2572-B1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618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B0C" w:rsidRPr="00894064" w:rsidRDefault="003A3DB3" w:rsidP="00894064">
      <w:pPr>
        <w:spacing w:after="0" w:line="240" w:lineRule="auto"/>
        <w:jc w:val="both"/>
      </w:pPr>
      <w:r w:rsidRPr="00894064">
        <w:rPr>
          <w:u w:val="single"/>
        </w:rPr>
        <w:t>Formula molecolare</w:t>
      </w:r>
      <w:r w:rsidRPr="00894064">
        <w:t>:</w:t>
      </w:r>
      <w:r w:rsidR="00A42B0C" w:rsidRPr="00894064">
        <w:rPr>
          <w:rStyle w:val="s1"/>
          <w:rFonts w:asciiTheme="minorHAnsi" w:hAnsiTheme="minorHAnsi"/>
        </w:rPr>
        <w:t>C</w:t>
      </w:r>
      <w:r w:rsidR="00EB47AE" w:rsidRPr="00894064">
        <w:rPr>
          <w:rStyle w:val="s1"/>
          <w:rFonts w:asciiTheme="minorHAnsi" w:hAnsiTheme="minorHAnsi"/>
          <w:vertAlign w:val="subscript"/>
        </w:rPr>
        <w:t>7</w:t>
      </w:r>
      <w:r w:rsidR="00A42B0C" w:rsidRPr="00894064">
        <w:rPr>
          <w:rStyle w:val="s1"/>
          <w:rFonts w:asciiTheme="minorHAnsi" w:hAnsiTheme="minorHAnsi"/>
        </w:rPr>
        <w:t>H</w:t>
      </w:r>
      <w:r w:rsidR="00EB47AE" w:rsidRPr="00894064">
        <w:rPr>
          <w:rStyle w:val="s1"/>
          <w:rFonts w:asciiTheme="minorHAnsi" w:hAnsiTheme="minorHAnsi"/>
          <w:vertAlign w:val="subscript"/>
        </w:rPr>
        <w:t>10</w:t>
      </w:r>
      <w:r w:rsidR="00A42B0C" w:rsidRPr="00894064">
        <w:rPr>
          <w:rStyle w:val="s1"/>
          <w:rFonts w:asciiTheme="minorHAnsi" w:hAnsiTheme="minorHAnsi"/>
        </w:rPr>
        <w:t>N</w:t>
      </w:r>
      <w:r w:rsidR="00EB47AE" w:rsidRPr="00894064">
        <w:rPr>
          <w:rStyle w:val="s1"/>
          <w:rFonts w:asciiTheme="minorHAnsi" w:hAnsiTheme="minorHAnsi"/>
        </w:rPr>
        <w:t>NaO</w:t>
      </w:r>
      <w:r w:rsidR="00EB47AE" w:rsidRPr="00894064">
        <w:rPr>
          <w:rStyle w:val="s1"/>
          <w:rFonts w:asciiTheme="minorHAnsi" w:hAnsiTheme="minorHAnsi"/>
          <w:vertAlign w:val="subscript"/>
        </w:rPr>
        <w:t>7</w:t>
      </w:r>
      <w:r w:rsidR="00EB47AE" w:rsidRPr="00894064">
        <w:rPr>
          <w:rStyle w:val="s1"/>
          <w:rFonts w:asciiTheme="minorHAnsi" w:hAnsiTheme="minorHAnsi"/>
        </w:rPr>
        <w:t>P</w:t>
      </w:r>
      <w:r w:rsidR="00EB47AE" w:rsidRPr="00894064">
        <w:rPr>
          <w:rStyle w:val="s1"/>
          <w:rFonts w:asciiTheme="minorHAnsi" w:hAnsiTheme="minorHAnsi"/>
          <w:vertAlign w:val="subscript"/>
        </w:rPr>
        <w:t>2</w:t>
      </w:r>
      <w:r w:rsidR="00EB47AE" w:rsidRPr="00894064">
        <w:t>2,5 H</w:t>
      </w:r>
      <w:r w:rsidR="00EB47AE" w:rsidRPr="00894064">
        <w:rPr>
          <w:rStyle w:val="s1"/>
          <w:rFonts w:asciiTheme="minorHAnsi" w:hAnsiTheme="minorHAnsi"/>
          <w:vertAlign w:val="subscript"/>
        </w:rPr>
        <w:t>2</w:t>
      </w:r>
      <w:r w:rsidR="00EB47AE" w:rsidRPr="00894064">
        <w:rPr>
          <w:rStyle w:val="s1"/>
          <w:rFonts w:asciiTheme="minorHAnsi" w:hAnsiTheme="minorHAnsi"/>
        </w:rPr>
        <w:t>O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rPr>
          <w:u w:val="single"/>
        </w:rPr>
        <w:t>Peso molecolare</w:t>
      </w:r>
      <w:r w:rsidRPr="00894064">
        <w:t>:</w:t>
      </w:r>
      <w:r w:rsidR="00EB47AE" w:rsidRPr="00894064">
        <w:rPr>
          <w:rStyle w:val="s1"/>
          <w:rFonts w:asciiTheme="minorHAnsi" w:hAnsiTheme="minorHAnsi"/>
        </w:rPr>
        <w:t>350</w:t>
      </w:r>
      <w:r w:rsidR="00A42B0C" w:rsidRPr="00894064">
        <w:rPr>
          <w:rStyle w:val="s1"/>
          <w:rFonts w:asciiTheme="minorHAnsi" w:hAnsiTheme="minorHAnsi"/>
        </w:rPr>
        <w:t xml:space="preserve">.1 </w:t>
      </w:r>
      <w:r w:rsidRPr="00894064">
        <w:rPr>
          <w:rStyle w:val="s1"/>
          <w:rFonts w:asciiTheme="minorHAnsi" w:hAnsiTheme="minorHAnsi"/>
        </w:rPr>
        <w:t>g/mol</w:t>
      </w:r>
    </w:p>
    <w:p w:rsidR="00A42B0C" w:rsidRPr="00894064" w:rsidRDefault="003A3DB3" w:rsidP="00894064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  <w:u w:val="single"/>
        </w:rPr>
      </w:pPr>
      <w:r w:rsidRPr="00894064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894064">
        <w:rPr>
          <w:rFonts w:asciiTheme="minorHAnsi" w:hAnsiTheme="minorHAnsi"/>
          <w:b w:val="0"/>
          <w:sz w:val="22"/>
          <w:szCs w:val="22"/>
        </w:rPr>
        <w:t xml:space="preserve">: </w:t>
      </w:r>
      <w:r w:rsidR="00A42B0C" w:rsidRPr="00894064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AF6C91">
        <w:rPr>
          <w:rStyle w:val="s1"/>
          <w:rFonts w:asciiTheme="minorHAnsi" w:hAnsiTheme="minorHAnsi"/>
          <w:b w:val="0"/>
          <w:sz w:val="22"/>
          <w:szCs w:val="22"/>
        </w:rPr>
        <w:t>329003-65-8</w:t>
      </w:r>
      <w:r w:rsidR="00A42B0C" w:rsidRPr="00894064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3A3DB3" w:rsidRPr="00894064" w:rsidRDefault="003A3DB3" w:rsidP="00894064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894064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894064">
        <w:rPr>
          <w:rFonts w:asciiTheme="minorHAnsi" w:hAnsiTheme="minorHAnsi"/>
          <w:b w:val="0"/>
          <w:sz w:val="22"/>
          <w:szCs w:val="22"/>
        </w:rPr>
        <w:t xml:space="preserve">: </w:t>
      </w:r>
      <w:r w:rsidR="00EB47AE" w:rsidRPr="00894064">
        <w:rPr>
          <w:rFonts w:asciiTheme="minorHAnsi" w:hAnsiTheme="minorHAnsi"/>
          <w:b w:val="0"/>
          <w:sz w:val="22"/>
          <w:szCs w:val="22"/>
        </w:rPr>
        <w:t>polvere cristallina bianca o quasi bianca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rPr>
          <w:u w:val="single"/>
        </w:rPr>
        <w:t>Solubilità</w:t>
      </w:r>
      <w:r w:rsidRPr="00894064">
        <w:t xml:space="preserve">: </w:t>
      </w:r>
      <w:r w:rsidR="00EB47AE" w:rsidRPr="00894064">
        <w:t>praticamente insolubil</w:t>
      </w:r>
      <w:r w:rsidR="00F7355E">
        <w:t>e</w:t>
      </w:r>
      <w:r w:rsidR="00EB47AE" w:rsidRPr="00894064">
        <w:t xml:space="preserve"> in metanolo</w:t>
      </w:r>
      <w:r w:rsidR="00F7355E">
        <w:t xml:space="preserve">, solubile </w:t>
      </w:r>
      <w:r w:rsidR="00A42B0C" w:rsidRPr="00894064">
        <w:rPr>
          <w:rStyle w:val="s1"/>
          <w:rFonts w:asciiTheme="minorHAnsi" w:hAnsiTheme="minorHAnsi"/>
        </w:rPr>
        <w:t>nelle soluzioni diluite degli idrossidi alcalini</w:t>
      </w:r>
      <w:r w:rsidR="00EB47AE" w:rsidRPr="00894064">
        <w:rPr>
          <w:rStyle w:val="s1"/>
          <w:rFonts w:asciiTheme="minorHAnsi" w:hAnsiTheme="minorHAnsi"/>
        </w:rPr>
        <w:t xml:space="preserve"> e acidi minerali</w:t>
      </w:r>
      <w:r w:rsidR="00A42B0C" w:rsidRPr="00894064">
        <w:rPr>
          <w:rStyle w:val="s1"/>
          <w:rFonts w:asciiTheme="minorHAnsi" w:hAnsiTheme="minorHAnsi"/>
        </w:rPr>
        <w:t>.</w:t>
      </w:r>
    </w:p>
    <w:p w:rsidR="00A42B0C" w:rsidRPr="00894064" w:rsidRDefault="00A42B0C" w:rsidP="00894064">
      <w:pPr>
        <w:spacing w:after="0" w:line="240" w:lineRule="auto"/>
        <w:jc w:val="both"/>
        <w:rPr>
          <w:highlight w:val="yellow"/>
        </w:rPr>
      </w:pPr>
    </w:p>
    <w:p w:rsidR="001536A3" w:rsidRPr="00894064" w:rsidRDefault="001536A3" w:rsidP="00894064">
      <w:pPr>
        <w:spacing w:after="0" w:line="240" w:lineRule="auto"/>
        <w:jc w:val="both"/>
      </w:pPr>
      <w:r w:rsidRPr="00894064">
        <w:t xml:space="preserve">Il principio attivo risedronato sodico è presente in Farmacopea Europea; il produttore ha presentato un ASMF. </w:t>
      </w:r>
    </w:p>
    <w:p w:rsidR="001536A3" w:rsidRPr="00894064" w:rsidRDefault="001536A3" w:rsidP="00894064">
      <w:pPr>
        <w:spacing w:after="0" w:line="240" w:lineRule="auto"/>
        <w:jc w:val="both"/>
      </w:pPr>
      <w:r w:rsidRPr="00894064">
        <w:t>La sintesi del principio attivo è stata adeguatamente descritta a partire da idonei materiali di partenza; sono utilizzati appropriati controlli di processo e intermedi di sintesi.</w:t>
      </w:r>
    </w:p>
    <w:p w:rsidR="001536A3" w:rsidRPr="00894064" w:rsidRDefault="001536A3" w:rsidP="00894064">
      <w:pPr>
        <w:spacing w:after="0" w:line="240" w:lineRule="auto"/>
        <w:jc w:val="both"/>
      </w:pPr>
      <w:r w:rsidRPr="00894064">
        <w:t>I materiali e i reagenti utilizzati nella sintesi sono di qualità adeguata.</w:t>
      </w:r>
    </w:p>
    <w:p w:rsidR="001536A3" w:rsidRPr="00894064" w:rsidRDefault="001536A3" w:rsidP="00894064">
      <w:pPr>
        <w:spacing w:after="0" w:line="240" w:lineRule="auto"/>
        <w:jc w:val="both"/>
      </w:pPr>
      <w:r w:rsidRPr="00894064">
        <w:t>I materiali, gli intermedi, i reagenti utilizzati nella sintesi non sono di origine umana, biologica o geneticamente modificata. Sono state fornite prove adeguate della struttura isolata nonché della stabilità della forma polimorfica utilizzata. Tutte le potenziali impurezze note sono state identificate e caratterizzate</w:t>
      </w:r>
    </w:p>
    <w:p w:rsidR="001536A3" w:rsidRPr="00894064" w:rsidRDefault="001536A3" w:rsidP="00894064">
      <w:pPr>
        <w:spacing w:after="0" w:line="240" w:lineRule="auto"/>
        <w:jc w:val="both"/>
      </w:pPr>
      <w:r w:rsidRPr="00894064">
        <w:t>Le specifiche del principio attivo sono appropriate e controllati con metodi analitici adeguatamente convalidati. Sono stati forniti certificati analitici che confermano la qualità del principio attivo.</w:t>
      </w:r>
    </w:p>
    <w:p w:rsidR="001536A3" w:rsidRPr="00894064" w:rsidRDefault="001536A3" w:rsidP="00894064">
      <w:pPr>
        <w:spacing w:after="0" w:line="240" w:lineRule="auto"/>
        <w:jc w:val="both"/>
      </w:pPr>
      <w:r w:rsidRPr="00894064">
        <w:t>Il principio attivo è confezionato in un adeguato contenitore, per il quale sono stati forniti specifiche e certificati analitici. Il confezionamento primario è</w:t>
      </w:r>
      <w:r w:rsidR="00F630F3">
        <w:t xml:space="preserve"> costituito da</w:t>
      </w:r>
      <w:r w:rsidRPr="00894064">
        <w:t xml:space="preserve"> due buste di polietilene trasparente poste all’interno di una busta di polietilene non trasparente </w:t>
      </w:r>
      <w:r w:rsidR="009F1E61">
        <w:t>(</w:t>
      </w:r>
      <w:r w:rsidRPr="00894064">
        <w:t>fustino</w:t>
      </w:r>
      <w:r w:rsidR="009F1E61">
        <w:t>)</w:t>
      </w:r>
      <w:r w:rsidRPr="00894064">
        <w:t xml:space="preserve">. Sono stati forniti adeguati studi di stabilità per il principio attivo conservato nel confezionamento proposto per il commercio. Sulla base di questi dati, è stato approvato un periodo di retest di 3 anni.  </w:t>
      </w:r>
    </w:p>
    <w:p w:rsidR="001536A3" w:rsidRPr="00894064" w:rsidRDefault="001536A3" w:rsidP="00894064">
      <w:pPr>
        <w:spacing w:after="0" w:line="240" w:lineRule="auto"/>
        <w:jc w:val="both"/>
        <w:rPr>
          <w:highlight w:val="yellow"/>
        </w:rPr>
      </w:pPr>
    </w:p>
    <w:p w:rsidR="00A42B0C" w:rsidRPr="00894064" w:rsidRDefault="00A42B0C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  <w:rPr>
          <w:b/>
        </w:rPr>
      </w:pPr>
      <w:r w:rsidRPr="00894064">
        <w:rPr>
          <w:b/>
        </w:rPr>
        <w:t>II.2 PRODOTTO FINITO</w:t>
      </w:r>
    </w:p>
    <w:p w:rsidR="003A3DB3" w:rsidRPr="00894064" w:rsidRDefault="003A3DB3" w:rsidP="00894064">
      <w:pPr>
        <w:spacing w:after="0" w:line="240" w:lineRule="auto"/>
        <w:jc w:val="both"/>
        <w:rPr>
          <w:b/>
        </w:rPr>
      </w:pPr>
      <w:r w:rsidRPr="00894064">
        <w:rPr>
          <w:b/>
        </w:rPr>
        <w:t>Descrizione e composizione</w:t>
      </w:r>
    </w:p>
    <w:p w:rsidR="00F7355E" w:rsidRDefault="00EE6EE2" w:rsidP="00894064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t>Medeoros</w:t>
      </w:r>
      <w:r w:rsidR="003A3DB3" w:rsidRPr="00894064">
        <w:rPr>
          <w:rFonts w:eastAsia="Calibri" w:cs="Calibri"/>
          <w:color w:val="000000"/>
          <w:lang w:eastAsia="it-IT"/>
        </w:rPr>
        <w:t xml:space="preserve"> è disponibile in compresse </w:t>
      </w:r>
      <w:r w:rsidR="001536A3" w:rsidRPr="00894064">
        <w:rPr>
          <w:rFonts w:eastAsia="Calibri" w:cs="Calibri"/>
          <w:color w:val="000000"/>
          <w:lang w:eastAsia="it-IT"/>
        </w:rPr>
        <w:t>rivestite con film</w:t>
      </w:r>
      <w:r w:rsidR="00F7355E">
        <w:rPr>
          <w:rFonts w:eastAsia="Calibri" w:cs="Calibri"/>
          <w:color w:val="000000"/>
          <w:lang w:eastAsia="it-IT"/>
        </w:rPr>
        <w:t xml:space="preserve"> </w:t>
      </w:r>
      <w:r w:rsidR="003A3DB3" w:rsidRPr="00894064">
        <w:rPr>
          <w:rFonts w:eastAsia="Calibri" w:cs="Calibri"/>
          <w:color w:val="000000"/>
          <w:lang w:eastAsia="it-IT"/>
        </w:rPr>
        <w:t xml:space="preserve">contenenti </w:t>
      </w:r>
      <w:r w:rsidR="001536A3" w:rsidRPr="00894064">
        <w:rPr>
          <w:rFonts w:eastAsia="Calibri" w:cs="Calibri"/>
          <w:color w:val="000000"/>
          <w:lang w:eastAsia="it-IT"/>
        </w:rPr>
        <w:t>35</w:t>
      </w:r>
      <w:r w:rsidR="003A3DB3" w:rsidRPr="00894064">
        <w:rPr>
          <w:rFonts w:eastAsia="Calibri" w:cs="Calibri"/>
          <w:color w:val="000000"/>
          <w:lang w:eastAsia="it-IT"/>
        </w:rPr>
        <w:t xml:space="preserve"> mg </w:t>
      </w:r>
      <w:r w:rsidR="00A42B0C" w:rsidRPr="00894064">
        <w:rPr>
          <w:rFonts w:eastAsia="Calibri" w:cs="Calibri"/>
          <w:color w:val="000000"/>
          <w:lang w:eastAsia="it-IT"/>
        </w:rPr>
        <w:t xml:space="preserve">e </w:t>
      </w:r>
      <w:r w:rsidR="00CF4563" w:rsidRPr="00894064">
        <w:rPr>
          <w:rFonts w:eastAsia="Calibri" w:cs="Calibri"/>
          <w:color w:val="000000"/>
          <w:lang w:eastAsia="it-IT"/>
        </w:rPr>
        <w:t>75</w:t>
      </w:r>
      <w:r w:rsidR="00A42B0C" w:rsidRPr="00894064">
        <w:rPr>
          <w:rFonts w:eastAsia="Calibri" w:cs="Calibri"/>
          <w:color w:val="000000"/>
          <w:lang w:eastAsia="it-IT"/>
        </w:rPr>
        <w:t xml:space="preserve"> mg </w:t>
      </w:r>
      <w:r w:rsidR="003A3DB3" w:rsidRPr="00894064">
        <w:rPr>
          <w:rFonts w:eastAsia="Calibri" w:cs="Calibri"/>
          <w:color w:val="000000"/>
          <w:lang w:eastAsia="it-IT"/>
        </w:rPr>
        <w:t xml:space="preserve">di </w:t>
      </w:r>
      <w:r w:rsidR="00412F8E" w:rsidRPr="00894064">
        <w:rPr>
          <w:rFonts w:eastAsia="Calibri" w:cs="Calibri"/>
          <w:color w:val="000000"/>
          <w:lang w:eastAsia="it-IT"/>
        </w:rPr>
        <w:t>risedronato sodico</w:t>
      </w:r>
      <w:r w:rsidR="003A3DB3" w:rsidRPr="00894064">
        <w:rPr>
          <w:rFonts w:eastAsia="Calibri" w:cs="Calibri"/>
          <w:color w:val="000000"/>
          <w:lang w:eastAsia="it-IT"/>
        </w:rPr>
        <w:t>.</w:t>
      </w:r>
      <w:r w:rsidR="008971A2" w:rsidRPr="00894064">
        <w:rPr>
          <w:rFonts w:eastAsia="Calibri" w:cs="Calibri"/>
          <w:color w:val="000000"/>
          <w:lang w:eastAsia="it-IT"/>
        </w:rPr>
        <w:t xml:space="preserve"> </w:t>
      </w:r>
    </w:p>
    <w:p w:rsidR="00D437B6" w:rsidRPr="00894064" w:rsidRDefault="008971A2" w:rsidP="00894064">
      <w:pPr>
        <w:spacing w:after="0" w:line="240" w:lineRule="auto"/>
        <w:jc w:val="both"/>
      </w:pPr>
      <w:r w:rsidRPr="00894064">
        <w:rPr>
          <w:rFonts w:eastAsia="Calibri" w:cs="Calibri"/>
          <w:color w:val="000000"/>
          <w:lang w:eastAsia="it-IT"/>
        </w:rPr>
        <w:t xml:space="preserve">Le compresse </w:t>
      </w:r>
      <w:r w:rsidR="00F5767E" w:rsidRPr="00894064">
        <w:t xml:space="preserve">da </w:t>
      </w:r>
      <w:r w:rsidR="00412F8E" w:rsidRPr="00894064">
        <w:t>35</w:t>
      </w:r>
      <w:r w:rsidR="00F5767E" w:rsidRPr="00894064">
        <w:t xml:space="preserve"> mg sono rotonde biconvesse, di colore</w:t>
      </w:r>
      <w:r w:rsidR="00D94AF7">
        <w:t xml:space="preserve"> arancio </w:t>
      </w:r>
      <w:r w:rsidR="00D437B6" w:rsidRPr="00894064">
        <w:t>pallido di diametro 9 mm.</w:t>
      </w:r>
    </w:p>
    <w:p w:rsidR="00F5767E" w:rsidRPr="00894064" w:rsidRDefault="00D437B6" w:rsidP="00894064">
      <w:pPr>
        <w:spacing w:after="0" w:line="240" w:lineRule="auto"/>
        <w:jc w:val="both"/>
      </w:pPr>
      <w:r w:rsidRPr="00894064">
        <w:rPr>
          <w:rFonts w:eastAsia="Calibri" w:cs="Calibri"/>
          <w:color w:val="000000"/>
          <w:lang w:eastAsia="it-IT"/>
        </w:rPr>
        <w:t xml:space="preserve">Le compresse </w:t>
      </w:r>
      <w:r w:rsidRPr="00894064">
        <w:t>da 75 mg sono rotonde biconvesse, di colore rosa pallido di 11.5 mm di diametro con impresso “75” su un lato</w:t>
      </w:r>
      <w:r w:rsidR="00F5767E" w:rsidRPr="00894064">
        <w:t>.</w:t>
      </w:r>
    </w:p>
    <w:p w:rsidR="00F5767E" w:rsidRPr="00894064" w:rsidRDefault="00F5767E" w:rsidP="00894064">
      <w:pPr>
        <w:spacing w:after="0" w:line="240" w:lineRule="auto"/>
        <w:jc w:val="both"/>
        <w:rPr>
          <w:rFonts w:cs="Arial"/>
          <w:color w:val="000000"/>
        </w:rPr>
      </w:pPr>
      <w:r w:rsidRPr="00894064">
        <w:t xml:space="preserve">Per le compresse da </w:t>
      </w:r>
      <w:r w:rsidR="00EA75FC" w:rsidRPr="00894064">
        <w:t>35</w:t>
      </w:r>
      <w:r w:rsidRPr="00894064">
        <w:t xml:space="preserve"> mg g</w:t>
      </w:r>
      <w:r w:rsidR="003A3DB3" w:rsidRPr="00894064">
        <w:t>li eccipienti sono i seguenti:</w:t>
      </w:r>
    </w:p>
    <w:p w:rsidR="009C47E4" w:rsidRPr="00894064" w:rsidRDefault="009C47E4" w:rsidP="00894064">
      <w:pPr>
        <w:spacing w:after="0" w:line="240" w:lineRule="auto"/>
        <w:jc w:val="both"/>
      </w:pPr>
      <w:r w:rsidRPr="00F630F3">
        <w:rPr>
          <w:i/>
        </w:rPr>
        <w:t>Nucleo</w:t>
      </w:r>
      <w:r w:rsidRPr="00894064">
        <w:t xml:space="preserve">: Cellulosa microcristallina, crospovidone, magnesio stearato, lattosio monoidrato, </w:t>
      </w:r>
    </w:p>
    <w:p w:rsidR="009C47E4" w:rsidRPr="00894064" w:rsidRDefault="009C47E4" w:rsidP="00894064">
      <w:pPr>
        <w:spacing w:after="0" w:line="240" w:lineRule="auto"/>
        <w:jc w:val="both"/>
      </w:pPr>
      <w:r w:rsidRPr="00F630F3">
        <w:rPr>
          <w:i/>
        </w:rPr>
        <w:t>Rivestimento</w:t>
      </w:r>
      <w:r w:rsidRPr="00894064">
        <w:t>: ferro ossido rosso, ferro ossido giallo, silice colloidale anidra, titanio diossido, macrogol 400, macrogol 8000, ipromellosa, idrossipropilcellulosa.</w:t>
      </w:r>
    </w:p>
    <w:p w:rsidR="009C47E4" w:rsidRPr="00894064" w:rsidRDefault="00F5767E" w:rsidP="00894064">
      <w:pPr>
        <w:spacing w:after="0" w:line="240" w:lineRule="auto"/>
        <w:jc w:val="both"/>
      </w:pPr>
      <w:r w:rsidRPr="00894064">
        <w:t xml:space="preserve">Per le compresse da </w:t>
      </w:r>
      <w:r w:rsidR="00EA75FC" w:rsidRPr="00894064">
        <w:t>75</w:t>
      </w:r>
      <w:r w:rsidRPr="00894064">
        <w:t xml:space="preserve"> mg gli eccipienti sono i seguenti:</w:t>
      </w:r>
    </w:p>
    <w:p w:rsidR="009C47E4" w:rsidRPr="00894064" w:rsidRDefault="009C47E4" w:rsidP="00894064">
      <w:pPr>
        <w:spacing w:after="0" w:line="240" w:lineRule="auto"/>
        <w:jc w:val="both"/>
      </w:pPr>
      <w:r w:rsidRPr="00F630F3">
        <w:rPr>
          <w:i/>
        </w:rPr>
        <w:t>Nucleo</w:t>
      </w:r>
      <w:r w:rsidRPr="00894064">
        <w:t xml:space="preserve">: Cellulosa microcristallina, crospovidone, magnesio stearato, lattosio monoidrato, </w:t>
      </w:r>
    </w:p>
    <w:p w:rsidR="009C47E4" w:rsidRPr="00894064" w:rsidRDefault="009C47E4" w:rsidP="00894064">
      <w:pPr>
        <w:spacing w:after="0" w:line="240" w:lineRule="auto"/>
        <w:jc w:val="both"/>
      </w:pPr>
      <w:r w:rsidRPr="00F630F3">
        <w:rPr>
          <w:i/>
        </w:rPr>
        <w:t>Rivestimento</w:t>
      </w:r>
      <w:r w:rsidRPr="00894064">
        <w:t>: ferro ossido rosso, silice colloidale anidra, titanio diossido, macrogol 400, macrogol 8000, ipromellosa, idrossipropilcellulosa.</w:t>
      </w:r>
    </w:p>
    <w:p w:rsidR="00D85E7D" w:rsidRPr="00894064" w:rsidRDefault="00D85E7D" w:rsidP="00894064">
      <w:pPr>
        <w:spacing w:after="0" w:line="240" w:lineRule="auto"/>
        <w:ind w:right="13"/>
        <w:jc w:val="both"/>
      </w:pPr>
      <w:r w:rsidRPr="00894064">
        <w:t xml:space="preserve">Tutti gli eccipienti sono conformi alla relativa monografia di Farmacopea Europea, ad eccezione </w:t>
      </w:r>
      <w:r w:rsidR="00675327" w:rsidRPr="00894064">
        <w:t xml:space="preserve">del </w:t>
      </w:r>
      <w:r w:rsidR="00BB1356" w:rsidRPr="00894064">
        <w:t>sistema colorante (ossido di ferro)</w:t>
      </w:r>
      <w:r w:rsidRPr="00894064">
        <w:t xml:space="preserve"> le cui specifiche sono </w:t>
      </w:r>
      <w:r w:rsidR="00F630F3">
        <w:t>state opportunamente definite dal produttore</w:t>
      </w:r>
      <w:r w:rsidRPr="00894064">
        <w:t>.</w:t>
      </w:r>
    </w:p>
    <w:p w:rsidR="00D85E7D" w:rsidRPr="00894064" w:rsidRDefault="00D85E7D" w:rsidP="00894064">
      <w:pPr>
        <w:spacing w:after="0" w:line="240" w:lineRule="auto"/>
        <w:jc w:val="both"/>
      </w:pPr>
      <w:r w:rsidRPr="00894064">
        <w:t>Il solo eccipiente di originale animale è il lattosio; è stata fornita una dichiarazione che nella sua produzione sono utilizzati animali sani della stessa qualità utilizzata per il consumo umano.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>Nessun eccipiente è ottenuto da organismi geneticamente modificati; non sono presenti eccipienti mai utilizzati nell’uomo.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  <w:rPr>
          <w:b/>
        </w:rPr>
      </w:pPr>
      <w:r w:rsidRPr="00894064">
        <w:rPr>
          <w:b/>
        </w:rPr>
        <w:t>Sviluppo farmaceutico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>Sono stati forniti dettagli dello sviluppo farmaceutico e questi sono stati ritenuti soddisfacenti.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 xml:space="preserve">Lo scopo era quello di ottenere un medicinale bioequivalente al medicinale di riferimento </w:t>
      </w:r>
      <w:r w:rsidR="00675327" w:rsidRPr="00894064">
        <w:t>Actonel</w:t>
      </w:r>
      <w:r w:rsidRPr="00894064">
        <w:t>.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lastRenderedPageBreak/>
        <w:t>Sono stati forniti dati comparativi relativi al profilo di dissoluzione e al profilo di impurezze rispetto al medicinale di riferimento. I dati sono soddisfacenti.</w:t>
      </w:r>
    </w:p>
    <w:p w:rsidR="00D85E7D" w:rsidRPr="00894064" w:rsidRDefault="00D85E7D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  <w:rPr>
          <w:b/>
        </w:rPr>
      </w:pPr>
      <w:r w:rsidRPr="00894064">
        <w:rPr>
          <w:b/>
        </w:rPr>
        <w:t xml:space="preserve">Produzione 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>Sono stati forniti una descrizione del metodo di produzione e la relativa flow-chart.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  <w:rPr>
          <w:b/>
        </w:rPr>
      </w:pPr>
      <w:r w:rsidRPr="00894064">
        <w:rPr>
          <w:b/>
        </w:rPr>
        <w:t>Specifiche del prodotto finito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3A3DB3" w:rsidRPr="00894064" w:rsidRDefault="003A3DB3" w:rsidP="00894064">
      <w:pPr>
        <w:spacing w:after="0" w:line="240" w:lineRule="auto"/>
        <w:jc w:val="both"/>
        <w:rPr>
          <w:b/>
        </w:rPr>
      </w:pPr>
    </w:p>
    <w:p w:rsidR="003A3DB3" w:rsidRPr="00894064" w:rsidRDefault="003A3DB3" w:rsidP="00894064">
      <w:pPr>
        <w:spacing w:after="0" w:line="240" w:lineRule="auto"/>
        <w:jc w:val="both"/>
        <w:rPr>
          <w:b/>
        </w:rPr>
      </w:pPr>
      <w:r w:rsidRPr="00894064">
        <w:rPr>
          <w:b/>
        </w:rPr>
        <w:t>Contenitore</w:t>
      </w:r>
    </w:p>
    <w:p w:rsidR="003A3DB3" w:rsidRPr="00894064" w:rsidRDefault="00EE6EE2" w:rsidP="0089406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894064">
        <w:t>Medeoros</w:t>
      </w:r>
      <w:r w:rsidR="003A3DB3" w:rsidRPr="00894064">
        <w:t xml:space="preserve"> è confezionato in </w:t>
      </w:r>
      <w:r w:rsidR="0016139D" w:rsidRPr="00894064">
        <w:t>blister opaco di PVC/PVDC/Alluminio</w:t>
      </w:r>
      <w:r w:rsidR="003A3DB3" w:rsidRPr="00894064">
        <w:t>. Sono state fornite specifiche e certificati analitici per tutti i componenti del confezionamento primario, che è adeguato per il medicinale.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  <w:rPr>
          <w:b/>
        </w:rPr>
      </w:pPr>
      <w:r w:rsidRPr="00894064">
        <w:rPr>
          <w:b/>
        </w:rPr>
        <w:t>Stabilità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D85E7D" w:rsidRPr="00894064">
        <w:t>3</w:t>
      </w:r>
      <w:r w:rsidRPr="00894064">
        <w:t xml:space="preserve"> anni senza nessuna condizione particolare di conservazione</w:t>
      </w:r>
      <w:r w:rsidR="00F7355E">
        <w:t>.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  <w:rPr>
          <w:b/>
        </w:rPr>
      </w:pPr>
      <w:r w:rsidRPr="00894064">
        <w:rPr>
          <w:b/>
        </w:rPr>
        <w:t>II.3 Discussione sugli aspetti di qualità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 xml:space="preserve">Tutte le criticità evidenziate nel corso della valutazione sono state risolte e la qualità di </w:t>
      </w:r>
      <w:r w:rsidR="00EE6EE2" w:rsidRPr="00894064">
        <w:t>Medeoros</w:t>
      </w:r>
      <w:r w:rsidRPr="00894064">
        <w:t xml:space="preserve"> è considerata adeguata. Non ci sono obiezioni per l’approvazione di </w:t>
      </w:r>
      <w:r w:rsidR="00EE6EE2" w:rsidRPr="00894064">
        <w:t>Medeoros</w:t>
      </w:r>
      <w:r w:rsidRPr="00894064">
        <w:t xml:space="preserve"> dal punto di vista chimico-farmaceutico.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894064">
        <w:rPr>
          <w:b/>
        </w:rPr>
        <w:t>ASPETTI NON CLINICI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 xml:space="preserve">Non sono stati condotti specifici studi non clinici, in quanto </w:t>
      </w:r>
      <w:r w:rsidR="00EE6EE2" w:rsidRPr="00894064">
        <w:t>Medeoros</w:t>
      </w:r>
      <w:r w:rsidRPr="00894064">
        <w:t xml:space="preserve"> contiene un principio attivo noto: questo approccio è accettabile poiché il medicinale di riferimento </w:t>
      </w:r>
      <w:r w:rsidR="00BB1356" w:rsidRPr="00894064">
        <w:t>Actonel</w:t>
      </w:r>
      <w:r w:rsidRPr="00894064">
        <w:t xml:space="preserve"> è autorizzato in Italia da oltre 10 anni.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>Non ci sono obiezioni per l’approvazione dal punto di vista non clinico.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894064">
        <w:rPr>
          <w:b/>
        </w:rPr>
        <w:t>ASPETTI CLINICI</w:t>
      </w:r>
    </w:p>
    <w:p w:rsidR="000A5A58" w:rsidRPr="007760A3" w:rsidRDefault="000A5A58" w:rsidP="000A5A5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7760A3">
        <w:rPr>
          <w:rFonts w:eastAsia="Calibri" w:cs="Calibri"/>
          <w:color w:val="000000"/>
          <w:lang w:eastAsia="it-IT"/>
        </w:rPr>
        <w:t>Medeoros</w:t>
      </w:r>
      <w:proofErr w:type="spellEnd"/>
      <w:r w:rsidRPr="007760A3">
        <w:rPr>
          <w:rFonts w:eastAsia="Calibri" w:cs="Calibri"/>
          <w:color w:val="000000"/>
          <w:lang w:eastAsia="it-IT"/>
        </w:rPr>
        <w:t xml:space="preserve"> 35 mg è utilizzato per:</w:t>
      </w:r>
    </w:p>
    <w:p w:rsidR="000A5A58" w:rsidRPr="00F7355E" w:rsidRDefault="000A5A58" w:rsidP="000A5A58">
      <w:pPr>
        <w:pStyle w:val="Paragrafoelenco"/>
        <w:widowControl w:val="0"/>
        <w:numPr>
          <w:ilvl w:val="0"/>
          <w:numId w:val="9"/>
        </w:numPr>
        <w:spacing w:after="0" w:line="240" w:lineRule="auto"/>
        <w:ind w:left="142" w:hanging="142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il t</w:t>
      </w:r>
      <w:r w:rsidRPr="00F7355E">
        <w:rPr>
          <w:rFonts w:eastAsia="Calibri" w:cs="Calibri"/>
          <w:color w:val="000000"/>
          <w:lang w:eastAsia="it-IT"/>
        </w:rPr>
        <w:t xml:space="preserve">rattamento dell’osteoporosi </w:t>
      </w:r>
      <w:proofErr w:type="spellStart"/>
      <w:r w:rsidRPr="00F7355E">
        <w:rPr>
          <w:rFonts w:eastAsia="Calibri" w:cs="Calibri"/>
          <w:color w:val="000000"/>
          <w:lang w:eastAsia="it-IT"/>
        </w:rPr>
        <w:t>postmenopausale</w:t>
      </w:r>
      <w:proofErr w:type="spellEnd"/>
      <w:r w:rsidRPr="00F7355E">
        <w:rPr>
          <w:rFonts w:eastAsia="Calibri" w:cs="Calibri"/>
          <w:color w:val="000000"/>
          <w:lang w:eastAsia="it-IT"/>
        </w:rPr>
        <w:t xml:space="preserve"> per ridurre il </w:t>
      </w:r>
      <w:r>
        <w:rPr>
          <w:rFonts w:eastAsia="Calibri" w:cs="Calibri"/>
          <w:color w:val="000000"/>
          <w:lang w:eastAsia="it-IT"/>
        </w:rPr>
        <w:t>rischio di fratture vertebrali; il t</w:t>
      </w:r>
      <w:r w:rsidRPr="00F7355E">
        <w:rPr>
          <w:rFonts w:eastAsia="Calibri" w:cs="Calibri"/>
          <w:color w:val="000000"/>
          <w:lang w:eastAsia="it-IT"/>
        </w:rPr>
        <w:t xml:space="preserve">rattamento dell’osteoporosi </w:t>
      </w:r>
      <w:proofErr w:type="spellStart"/>
      <w:r w:rsidRPr="00F7355E">
        <w:rPr>
          <w:rFonts w:eastAsia="Calibri" w:cs="Calibri"/>
          <w:color w:val="000000"/>
          <w:lang w:eastAsia="it-IT"/>
        </w:rPr>
        <w:t>postmenopausale</w:t>
      </w:r>
      <w:proofErr w:type="spellEnd"/>
      <w:r w:rsidRPr="00F7355E">
        <w:rPr>
          <w:rFonts w:eastAsia="Calibri" w:cs="Calibri"/>
          <w:color w:val="000000"/>
          <w:lang w:eastAsia="it-IT"/>
        </w:rPr>
        <w:t xml:space="preserve"> manifesta per ridurre i</w:t>
      </w:r>
      <w:r>
        <w:rPr>
          <w:rFonts w:eastAsia="Calibri" w:cs="Calibri"/>
          <w:color w:val="000000"/>
          <w:lang w:eastAsia="it-IT"/>
        </w:rPr>
        <w:t>l rischio di fratture dell’anca;</w:t>
      </w:r>
    </w:p>
    <w:p w:rsidR="000A5A58" w:rsidRPr="00F7355E" w:rsidRDefault="000A5A58" w:rsidP="000A5A58">
      <w:pPr>
        <w:pStyle w:val="Paragrafoelenco"/>
        <w:widowControl w:val="0"/>
        <w:numPr>
          <w:ilvl w:val="0"/>
          <w:numId w:val="9"/>
        </w:numPr>
        <w:spacing w:after="0" w:line="240" w:lineRule="auto"/>
        <w:ind w:left="142" w:hanging="142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il t</w:t>
      </w:r>
      <w:r w:rsidRPr="00F7355E">
        <w:rPr>
          <w:rFonts w:eastAsia="Calibri" w:cs="Calibri"/>
          <w:color w:val="000000"/>
          <w:lang w:eastAsia="it-IT"/>
        </w:rPr>
        <w:t>rattamento dell’osteoporosi negli uomini ad alto rischio di fratture.</w:t>
      </w:r>
    </w:p>
    <w:p w:rsidR="000A5A58" w:rsidRPr="000A5A58" w:rsidRDefault="000A5A58" w:rsidP="000A5A5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0A5A58">
        <w:rPr>
          <w:rFonts w:eastAsia="Calibri" w:cs="Calibri"/>
          <w:color w:val="000000"/>
          <w:lang w:eastAsia="it-IT"/>
        </w:rPr>
        <w:t>Medeoros</w:t>
      </w:r>
      <w:proofErr w:type="spellEnd"/>
      <w:r w:rsidRPr="000A5A58">
        <w:rPr>
          <w:rFonts w:eastAsia="Calibri" w:cs="Calibri"/>
          <w:color w:val="000000"/>
          <w:lang w:eastAsia="it-IT"/>
        </w:rPr>
        <w:t xml:space="preserve"> 75 mg è utilizzato per:</w:t>
      </w:r>
    </w:p>
    <w:p w:rsidR="000A5A58" w:rsidRPr="00F7355E" w:rsidRDefault="000A5A58" w:rsidP="000A5A58">
      <w:pPr>
        <w:pStyle w:val="Paragrafoelenco"/>
        <w:widowControl w:val="0"/>
        <w:numPr>
          <w:ilvl w:val="0"/>
          <w:numId w:val="9"/>
        </w:numPr>
        <w:spacing w:after="0" w:line="240" w:lineRule="auto"/>
        <w:ind w:left="142" w:hanging="142"/>
        <w:jc w:val="both"/>
        <w:rPr>
          <w:rFonts w:eastAsia="Calibri" w:cs="Calibri"/>
          <w:color w:val="000000"/>
          <w:lang w:eastAsia="it-IT"/>
        </w:rPr>
      </w:pPr>
      <w:r w:rsidRPr="00F7355E">
        <w:rPr>
          <w:rFonts w:eastAsia="Calibri" w:cs="Calibri"/>
          <w:color w:val="000000"/>
          <w:lang w:eastAsia="it-IT"/>
        </w:rPr>
        <w:t xml:space="preserve">il trattamento dell’osteoporosi nelle donne in </w:t>
      </w:r>
      <w:proofErr w:type="spellStart"/>
      <w:r w:rsidRPr="00F7355E">
        <w:rPr>
          <w:rFonts w:eastAsia="Calibri" w:cs="Calibri"/>
          <w:color w:val="000000"/>
          <w:lang w:eastAsia="it-IT"/>
        </w:rPr>
        <w:t>postmenopausa</w:t>
      </w:r>
      <w:proofErr w:type="spellEnd"/>
      <w:r w:rsidRPr="00F7355E">
        <w:rPr>
          <w:rFonts w:eastAsia="Calibri" w:cs="Calibri"/>
          <w:color w:val="000000"/>
          <w:lang w:eastAsia="it-IT"/>
        </w:rPr>
        <w:t xml:space="preserve"> ad aumentato rischio di fratture</w:t>
      </w:r>
      <w:r>
        <w:rPr>
          <w:rFonts w:eastAsia="Calibri" w:cs="Calibri"/>
          <w:color w:val="000000"/>
          <w:lang w:eastAsia="it-IT"/>
        </w:rPr>
        <w:t>.</w:t>
      </w:r>
    </w:p>
    <w:p w:rsidR="007760A3" w:rsidRDefault="007760A3" w:rsidP="00894064">
      <w:pPr>
        <w:spacing w:after="0" w:line="240" w:lineRule="auto"/>
        <w:jc w:val="both"/>
        <w:rPr>
          <w:highlight w:val="yellow"/>
        </w:rPr>
      </w:pPr>
    </w:p>
    <w:p w:rsidR="000A5A58" w:rsidRPr="002B6D26" w:rsidRDefault="000A5A58" w:rsidP="000A5A58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3A3DB3" w:rsidRPr="00894064" w:rsidRDefault="003A3DB3" w:rsidP="0089406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894064">
        <w:t>Le informazioni sulla posologia e sulle modalità di somministrazione sono riportate nel Riassunto delle Caratteristiche del Prodotto pubblicato sul sito dell’Agenzia Italiana del Farmaco - AIFA /</w:t>
      </w:r>
      <w:r w:rsidRPr="00894064">
        <w:rPr>
          <w:rFonts w:eastAsia="Calibri" w:cs="Calibri"/>
          <w:lang w:eastAsia="it-IT"/>
        </w:rPr>
        <w:t>(</w:t>
      </w:r>
      <w:hyperlink r:id="rId10" w:history="1">
        <w:r w:rsidRPr="00894064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894064">
        <w:rPr>
          <w:rFonts w:eastAsia="Calibri" w:cs="Calibri"/>
          <w:lang w:eastAsia="it-IT"/>
        </w:rPr>
        <w:t>).</w:t>
      </w:r>
    </w:p>
    <w:p w:rsidR="00950A7E" w:rsidRPr="00894064" w:rsidRDefault="00950A7E" w:rsidP="0089406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3A3DB3" w:rsidRPr="00894064" w:rsidRDefault="003A3DB3" w:rsidP="00894064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894064">
        <w:rPr>
          <w:rFonts w:eastAsia="Calibri" w:cs="Calibri"/>
          <w:b/>
          <w:lang w:eastAsia="it-IT"/>
        </w:rPr>
        <w:t>Tossicologia</w:t>
      </w:r>
    </w:p>
    <w:p w:rsidR="003A3DB3" w:rsidRPr="00894064" w:rsidRDefault="003A3DB3" w:rsidP="0089406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La tossicologia </w:t>
      </w:r>
      <w:r w:rsidR="00E46EF4" w:rsidRPr="00894064">
        <w:rPr>
          <w:rFonts w:eastAsia="Calibri" w:cs="Calibri"/>
          <w:lang w:eastAsia="it-IT"/>
        </w:rPr>
        <w:t>del risedronato sodico</w:t>
      </w:r>
      <w:r w:rsidRPr="00894064">
        <w:rPr>
          <w:rFonts w:eastAsia="Calibri" w:cs="Calibri"/>
          <w:lang w:eastAsia="it-IT"/>
        </w:rPr>
        <w:t>è ben conosciuta; non è stato necessario presentare ulteriori dati.</w:t>
      </w:r>
    </w:p>
    <w:p w:rsidR="003A3DB3" w:rsidRDefault="003A3DB3" w:rsidP="0089406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0A5A58" w:rsidRPr="00894064" w:rsidRDefault="000A5A58" w:rsidP="0089406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3A3DB3" w:rsidRPr="00894064" w:rsidRDefault="003A3DB3" w:rsidP="00894064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894064">
        <w:rPr>
          <w:rFonts w:eastAsia="Times New Roman" w:cs="Times New Roman"/>
          <w:b/>
        </w:rPr>
        <w:lastRenderedPageBreak/>
        <w:t>Farmacologia clinica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rPr>
          <w:rFonts w:eastAsia="Calibri" w:cs="Calibri"/>
          <w:lang w:eastAsia="it-IT"/>
        </w:rPr>
        <w:t xml:space="preserve">La farmacologia clinica di </w:t>
      </w:r>
      <w:proofErr w:type="spellStart"/>
      <w:r w:rsidR="00E46EF4" w:rsidRPr="00894064">
        <w:rPr>
          <w:rFonts w:eastAsia="Calibri" w:cs="Calibri"/>
          <w:lang w:eastAsia="it-IT"/>
        </w:rPr>
        <w:t>risedronato</w:t>
      </w:r>
      <w:proofErr w:type="spellEnd"/>
      <w:r w:rsidR="00E46EF4" w:rsidRPr="00894064">
        <w:rPr>
          <w:rFonts w:eastAsia="Calibri" w:cs="Calibri"/>
          <w:lang w:eastAsia="it-IT"/>
        </w:rPr>
        <w:t xml:space="preserve"> sodico</w:t>
      </w:r>
      <w:r w:rsidR="000A5A58">
        <w:rPr>
          <w:rFonts w:eastAsia="Calibri" w:cs="Calibri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>è ben conosciuta.</w:t>
      </w:r>
      <w:r w:rsidRPr="00894064">
        <w:t xml:space="preserve"> Con l’eccezione dello studio di bioequivalenza, non sono stati condotti nuovi studi clinici di farmacodinamica e farmacocinetica, in quanto </w:t>
      </w:r>
      <w:r w:rsidR="00EE6EE2" w:rsidRPr="00894064">
        <w:t>Medeoros</w:t>
      </w:r>
      <w:r w:rsidRPr="00894064">
        <w:t xml:space="preserve"> contiene un principio attivo noto e presente nel medicinale </w:t>
      </w:r>
      <w:r w:rsidR="00E46EF4" w:rsidRPr="00894064">
        <w:t>Actonel</w:t>
      </w:r>
      <w:r w:rsidRPr="00894064">
        <w:t xml:space="preserve"> autorizzato in Italia da più di 10 anni.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spacing w:after="0" w:line="240" w:lineRule="auto"/>
        <w:jc w:val="both"/>
        <w:rPr>
          <w:b/>
        </w:rPr>
      </w:pPr>
      <w:r w:rsidRPr="00894064">
        <w:rPr>
          <w:b/>
        </w:rPr>
        <w:t>Studio di bioequivalenza</w:t>
      </w:r>
    </w:p>
    <w:p w:rsidR="003A3DB3" w:rsidRPr="00B95795" w:rsidRDefault="003A3DB3" w:rsidP="00894064">
      <w:pPr>
        <w:spacing w:after="0" w:line="240" w:lineRule="auto"/>
        <w:jc w:val="both"/>
      </w:pPr>
      <w:r w:rsidRPr="00B95795">
        <w:t xml:space="preserve">La richiesta di AIC è supportata da uno studio di bioequivalenza che ha confrontato i profili farmacocinetici di </w:t>
      </w:r>
      <w:r w:rsidR="00EE6EE2" w:rsidRPr="00B95795">
        <w:t>Medeoros</w:t>
      </w:r>
      <w:r w:rsidRPr="00B95795">
        <w:t xml:space="preserve"> e quelli del medicinale di riferimento </w:t>
      </w:r>
      <w:r w:rsidR="00D67AD0" w:rsidRPr="00B95795">
        <w:t>Actonel</w:t>
      </w:r>
      <w:r w:rsidR="00F630F3" w:rsidRPr="00B95795">
        <w:t xml:space="preserve"> nel dosaggio da 35 mg</w:t>
      </w:r>
      <w:r w:rsidR="00D67AD0" w:rsidRPr="00B95795">
        <w:t>.</w:t>
      </w:r>
    </w:p>
    <w:p w:rsidR="00B95795" w:rsidRPr="00B95795" w:rsidRDefault="00F630F3" w:rsidP="00894064">
      <w:pPr>
        <w:spacing w:after="0" w:line="240" w:lineRule="auto"/>
        <w:jc w:val="both"/>
      </w:pPr>
      <w:r w:rsidRPr="00B95795">
        <w:t xml:space="preserve">Per il dosaggio da 75 mg, la cui domanda di AIC è stata presentata </w:t>
      </w:r>
      <w:r w:rsidR="000A5A58">
        <w:t>successivamente al</w:t>
      </w:r>
      <w:r w:rsidRPr="00B95795">
        <w:t xml:space="preserve">l’autorizzazione del dosaggio da 35 mg, è stato possibile concedere l’esenzione dallo studio di bioequivalenza poiché </w:t>
      </w:r>
      <w:r w:rsidR="00B95795" w:rsidRPr="00B95795">
        <w:rPr>
          <w:color w:val="000000"/>
        </w:rPr>
        <w:t>vengono rispettati tutti i requisiti della linea guida in materia</w:t>
      </w:r>
      <w:r w:rsidR="00B95795">
        <w:rPr>
          <w:color w:val="000000"/>
        </w:rPr>
        <w:t>.</w:t>
      </w:r>
    </w:p>
    <w:p w:rsidR="003A3DB3" w:rsidRPr="00B95795" w:rsidRDefault="003A3DB3" w:rsidP="00894064">
      <w:pPr>
        <w:pStyle w:val="Paragrafoelenco"/>
        <w:spacing w:after="0" w:line="240" w:lineRule="auto"/>
        <w:ind w:left="0"/>
        <w:jc w:val="both"/>
      </w:pPr>
      <w:r w:rsidRPr="00B95795">
        <w:t>Lo studio era caratterizzato da un appropriato disegno ed è stato condotto in accordo ai principi GCP. Sono stati forniti certificati analitici per medicinale test e medicinale di riferimento.</w:t>
      </w:r>
    </w:p>
    <w:p w:rsidR="003A3DB3" w:rsidRPr="00894064" w:rsidRDefault="003A3DB3" w:rsidP="00894064">
      <w:pPr>
        <w:spacing w:after="0" w:line="240" w:lineRule="auto"/>
        <w:jc w:val="both"/>
        <w:rPr>
          <w:rFonts w:cs="Arial"/>
        </w:rPr>
      </w:pPr>
      <w:r w:rsidRPr="00B95795">
        <w:t>Lo studio di bioequivalenza è uno studio comparativo</w:t>
      </w:r>
      <w:r w:rsidRPr="00894064">
        <w:t>, controllato, randomizzato, a dose singola, 2-</w:t>
      </w:r>
      <w:r w:rsidR="00D67AD0" w:rsidRPr="00894064">
        <w:t>periodi, crossover condotto in 102</w:t>
      </w:r>
      <w:r w:rsidRPr="00894064">
        <w:t xml:space="preserve"> volontari sani con somministrazione a digiuno. </w:t>
      </w:r>
      <w:r w:rsidRPr="00894064">
        <w:rPr>
          <w:rFonts w:cs="Arial"/>
        </w:rPr>
        <w:t xml:space="preserve">Dopo una notte di digiuno, il medicinale è stato somministrato con acqua. </w:t>
      </w:r>
      <w:r w:rsidRPr="00894064">
        <w:t xml:space="preserve">Un soddisfacente periodo di wash-out di </w:t>
      </w:r>
      <w:r w:rsidR="00D67AD0" w:rsidRPr="00894064">
        <w:rPr>
          <w:rFonts w:cs="Arial"/>
        </w:rPr>
        <w:t>28</w:t>
      </w:r>
      <w:r w:rsidRPr="00894064">
        <w:rPr>
          <w:rFonts w:cs="Arial"/>
        </w:rPr>
        <w:t xml:space="preserve"> giorni è stato previsto tra le somministrazioni in ogni gruppo.</w:t>
      </w: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894064">
        <w:rPr>
          <w:rFonts w:cs="Arial"/>
        </w:rPr>
        <w:t xml:space="preserve">Campioni di sangue sono stati prelevati al tempo zero (pre-dose) e a specificati tempi fino a </w:t>
      </w:r>
      <w:r w:rsidR="00D67AD0" w:rsidRPr="00894064">
        <w:rPr>
          <w:rFonts w:cs="Arial"/>
        </w:rPr>
        <w:t>18</w:t>
      </w:r>
      <w:r w:rsidRPr="00894064">
        <w:rPr>
          <w:rFonts w:cs="Arial"/>
        </w:rPr>
        <w:t xml:space="preserve"> ore dopo la somministrazione. I livelli plasmatici dei due principi attivi sono stati determinati mediante un metodo analitico HPLC-MS-MS opportunamente convalidato.</w:t>
      </w: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894064">
        <w:rPr>
          <w:rFonts w:cs="Arial"/>
        </w:rPr>
        <w:t>Le variabili farmacocinetiche definite per i due studi sono state: C</w:t>
      </w:r>
      <w:r w:rsidRPr="00894064">
        <w:rPr>
          <w:rFonts w:cs="Arial"/>
          <w:vertAlign w:val="subscript"/>
        </w:rPr>
        <w:t>max</w:t>
      </w:r>
      <w:r w:rsidRPr="00894064">
        <w:rPr>
          <w:rFonts w:cs="Arial"/>
        </w:rPr>
        <w:t>, AUC</w:t>
      </w:r>
      <w:r w:rsidRPr="00894064">
        <w:rPr>
          <w:rFonts w:cs="Arial"/>
          <w:vertAlign w:val="subscript"/>
        </w:rPr>
        <w:t>0-t</w:t>
      </w:r>
      <w:r w:rsidRPr="00894064">
        <w:rPr>
          <w:rFonts w:cs="Arial"/>
        </w:rPr>
        <w:t>,, AUC</w:t>
      </w:r>
      <w:r w:rsidRPr="00894064">
        <w:rPr>
          <w:rFonts w:cs="Arial"/>
          <w:vertAlign w:val="subscript"/>
        </w:rPr>
        <w:t>0-</w:t>
      </w:r>
      <w:r w:rsidRPr="00894064">
        <w:rPr>
          <w:rFonts w:cs="Arial"/>
          <w:vertAlign w:val="subscript"/>
          <w:lang w:val="en-GB"/>
        </w:rPr>
        <w:sym w:font="Symbol" w:char="00A5"/>
      </w:r>
      <w:r w:rsidRPr="00894064">
        <w:rPr>
          <w:rFonts w:cs="Arial"/>
        </w:rPr>
        <w:t>, t</w:t>
      </w:r>
      <w:r w:rsidRPr="00894064">
        <w:rPr>
          <w:rFonts w:cs="Arial"/>
          <w:vertAlign w:val="subscript"/>
        </w:rPr>
        <w:t>max</w:t>
      </w:r>
      <w:r w:rsidRPr="00894064">
        <w:rPr>
          <w:rFonts w:cs="Arial"/>
        </w:rPr>
        <w:t>, t½ e AUC estrapolata. La bioequivalenza tra medicinale test e medicinale di riferimento è dimostrata se gli intervalli di confidenza al 90% per la trasformata logaritmica di</w:t>
      </w:r>
      <w:bookmarkStart w:id="1" w:name="_GoBack"/>
      <w:bookmarkEnd w:id="1"/>
      <w:r w:rsidRPr="00894064">
        <w:rPr>
          <w:rFonts w:cs="Arial"/>
        </w:rPr>
        <w:t xml:space="preserve"> C</w:t>
      </w:r>
      <w:r w:rsidRPr="00894064">
        <w:rPr>
          <w:rFonts w:cs="Arial"/>
          <w:vertAlign w:val="subscript"/>
        </w:rPr>
        <w:t>max</w:t>
      </w:r>
      <w:r w:rsidRPr="00894064">
        <w:rPr>
          <w:rFonts w:cs="Arial"/>
        </w:rPr>
        <w:t>e AUC</w:t>
      </w:r>
      <w:r w:rsidRPr="00894064">
        <w:rPr>
          <w:rFonts w:cs="Arial"/>
          <w:vertAlign w:val="subscript"/>
        </w:rPr>
        <w:t>0-t</w:t>
      </w:r>
      <w:r w:rsidRPr="00894064">
        <w:rPr>
          <w:rFonts w:cs="Arial"/>
        </w:rPr>
        <w:t>,, cadon</w:t>
      </w:r>
      <w:r w:rsidR="00720780" w:rsidRPr="00894064">
        <w:rPr>
          <w:rFonts w:cs="Arial"/>
        </w:rPr>
        <w:t>o nel range di accettabilità.</w:t>
      </w: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</w:pP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894064">
        <w:rPr>
          <w:u w:val="single"/>
        </w:rPr>
        <w:t>Risultati</w:t>
      </w:r>
    </w:p>
    <w:p w:rsidR="003A3DB3" w:rsidRPr="00894064" w:rsidRDefault="00D67AD0" w:rsidP="00894064">
      <w:pPr>
        <w:spacing w:after="0" w:line="240" w:lineRule="auto"/>
        <w:jc w:val="both"/>
      </w:pPr>
      <w:r w:rsidRPr="00894064">
        <w:rPr>
          <w:rFonts w:cs="Arial"/>
        </w:rPr>
        <w:t>102</w:t>
      </w:r>
      <w:r w:rsidR="003A3DB3" w:rsidRPr="00894064">
        <w:rPr>
          <w:rFonts w:cs="Arial"/>
        </w:rPr>
        <w:t xml:space="preserve"> volontari sani sono stati arruolati negli studi</w:t>
      </w:r>
      <w:r w:rsidRPr="00894064">
        <w:t xml:space="preserve">, 99 </w:t>
      </w:r>
      <w:r w:rsidR="00F842C8" w:rsidRPr="00894064">
        <w:t>volontari sani hanno completato la fase clinica e</w:t>
      </w:r>
      <w:r w:rsidRPr="00894064">
        <w:t xml:space="preserve">96 </w:t>
      </w:r>
      <w:r w:rsidR="003A3DB3" w:rsidRPr="00894064">
        <w:t>sono stati analizzati.</w:t>
      </w: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  <w:rPr>
          <w:rFonts w:cs="Arial"/>
          <w:b/>
          <w:i/>
        </w:rPr>
      </w:pPr>
    </w:p>
    <w:p w:rsidR="003A3DB3" w:rsidRPr="00894064" w:rsidRDefault="003A3DB3" w:rsidP="00894064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94064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3A3DB3" w:rsidRPr="00894064" w:rsidRDefault="00027AD2" w:rsidP="00894064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94064">
        <w:rPr>
          <w:rFonts w:asciiTheme="minorHAnsi" w:hAnsiTheme="minorHAnsi" w:cs="Arial"/>
          <w:b w:val="0"/>
          <w:sz w:val="22"/>
          <w:szCs w:val="22"/>
          <w:lang w:val="it-IT"/>
        </w:rPr>
        <w:t>Durante lo studio n</w:t>
      </w:r>
      <w:r w:rsidR="003A3DB3" w:rsidRPr="00894064">
        <w:rPr>
          <w:rFonts w:asciiTheme="minorHAnsi" w:hAnsiTheme="minorHAnsi" w:cs="Arial"/>
          <w:b w:val="0"/>
          <w:sz w:val="22"/>
          <w:szCs w:val="22"/>
          <w:lang w:val="it-IT"/>
        </w:rPr>
        <w:t>on sono stati rilevati eventi avversi gravi.</w:t>
      </w:r>
    </w:p>
    <w:p w:rsidR="003A3DB3" w:rsidRPr="00894064" w:rsidRDefault="003A3DB3" w:rsidP="00894064">
      <w:pPr>
        <w:spacing w:after="0" w:line="240" w:lineRule="auto"/>
        <w:jc w:val="both"/>
      </w:pPr>
    </w:p>
    <w:p w:rsidR="003A3DB3" w:rsidRPr="00894064" w:rsidRDefault="003A3DB3" w:rsidP="00894064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94064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894064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3A3DB3" w:rsidRPr="00894064" w:rsidRDefault="003A3DB3" w:rsidP="00894064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94064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F5767E" w:rsidRPr="00894064" w:rsidRDefault="00F5767E" w:rsidP="00894064">
      <w:pPr>
        <w:spacing w:after="0" w:line="240" w:lineRule="auto"/>
        <w:jc w:val="both"/>
        <w:rPr>
          <w:rFonts w:cs="Arial"/>
        </w:rPr>
      </w:pPr>
    </w:p>
    <w:tbl>
      <w:tblPr>
        <w:tblW w:w="35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4A0"/>
      </w:tblPr>
      <w:tblGrid>
        <w:gridCol w:w="1223"/>
        <w:gridCol w:w="1304"/>
        <w:gridCol w:w="1559"/>
        <w:gridCol w:w="1559"/>
        <w:gridCol w:w="1417"/>
      </w:tblGrid>
      <w:tr w:rsidR="00F5767E" w:rsidRPr="00894064" w:rsidTr="00F5767E">
        <w:trPr>
          <w:trHeight w:hRule="exact" w:val="340"/>
          <w:jc w:val="center"/>
        </w:trPr>
        <w:tc>
          <w:tcPr>
            <w:tcW w:w="7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630F3" w:rsidRDefault="00D67AD0" w:rsidP="00F630F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630F3">
              <w:rPr>
                <w:rFonts w:cs="Arial"/>
                <w:b/>
                <w:bCs/>
                <w:sz w:val="20"/>
              </w:rPr>
              <w:t>Risedronato sodico</w:t>
            </w:r>
          </w:p>
        </w:tc>
      </w:tr>
      <w:tr w:rsidR="00F5767E" w:rsidRPr="00894064" w:rsidTr="00F5767E">
        <w:trPr>
          <w:trHeight w:hRule="exact" w:val="34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630F3" w:rsidRDefault="00F5767E" w:rsidP="00F630F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630F3">
              <w:rPr>
                <w:b/>
                <w:sz w:val="20"/>
              </w:rPr>
              <w:t>Parametro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630F3" w:rsidRDefault="00F5767E" w:rsidP="00F630F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630F3">
              <w:rPr>
                <w:b/>
                <w:sz w:val="20"/>
              </w:rPr>
              <w:t>Test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630F3" w:rsidRDefault="00F5767E" w:rsidP="00F630F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630F3">
              <w:rPr>
                <w:b/>
                <w:sz w:val="20"/>
              </w:rPr>
              <w:t>Reference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630F3" w:rsidRDefault="00F5767E" w:rsidP="00F630F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630F3">
              <w:rPr>
                <w:b/>
                <w:sz w:val="20"/>
              </w:rPr>
              <w:t>T/R Ratio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630F3" w:rsidRDefault="00F5767E" w:rsidP="00F630F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630F3">
              <w:rPr>
                <w:b/>
                <w:sz w:val="20"/>
              </w:rPr>
              <w:t>90% C.I.</w:t>
            </w:r>
          </w:p>
        </w:tc>
      </w:tr>
      <w:tr w:rsidR="00D67AD0" w:rsidRPr="00894064" w:rsidTr="00641BAD">
        <w:trPr>
          <w:trHeight w:hRule="exact" w:val="34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AD0" w:rsidRPr="00F630F3" w:rsidRDefault="00D67AD0" w:rsidP="00F630F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630F3">
              <w:rPr>
                <w:b/>
                <w:sz w:val="20"/>
              </w:rPr>
              <w:t>AUC0-t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AD0" w:rsidRPr="00F630F3" w:rsidRDefault="00D67AD0" w:rsidP="00F630F3">
            <w:pPr>
              <w:pStyle w:val="Didascalia"/>
              <w:keepNext/>
              <w:spacing w:before="0" w:after="0"/>
              <w:jc w:val="center"/>
              <w:outlineLvl w:val="0"/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</w:pPr>
            <w:r w:rsidRPr="00F630F3"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  <w:t>18114.6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AD0" w:rsidRPr="00F630F3" w:rsidRDefault="00D67AD0" w:rsidP="00F630F3">
            <w:pPr>
              <w:pStyle w:val="Didascalia"/>
              <w:keepNext/>
              <w:spacing w:before="0" w:after="0"/>
              <w:jc w:val="center"/>
              <w:outlineLvl w:val="0"/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</w:pPr>
            <w:r w:rsidRPr="00F630F3"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  <w:t>19097.6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AD0" w:rsidRPr="00F630F3" w:rsidRDefault="00D67AD0" w:rsidP="00F630F3">
            <w:pPr>
              <w:pStyle w:val="Didascalia"/>
              <w:keepNext/>
              <w:spacing w:before="0" w:after="0"/>
              <w:jc w:val="center"/>
              <w:outlineLvl w:val="0"/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</w:pPr>
            <w:r w:rsidRPr="00F630F3"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  <w:t>0.95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AD0" w:rsidRPr="00F630F3" w:rsidRDefault="00D67AD0" w:rsidP="00F630F3">
            <w:pPr>
              <w:pStyle w:val="Didascalia"/>
              <w:keepNext/>
              <w:spacing w:before="0" w:after="0"/>
              <w:jc w:val="center"/>
              <w:outlineLvl w:val="0"/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</w:pPr>
            <w:r w:rsidRPr="00F630F3"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  <w:t>84.15-107.14</w:t>
            </w:r>
          </w:p>
        </w:tc>
      </w:tr>
      <w:tr w:rsidR="00D67AD0" w:rsidRPr="00894064" w:rsidTr="008E1DA5">
        <w:trPr>
          <w:trHeight w:hRule="exact" w:val="34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AD0" w:rsidRPr="00F630F3" w:rsidRDefault="00D67AD0" w:rsidP="00F630F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630F3">
              <w:rPr>
                <w:b/>
                <w:sz w:val="20"/>
              </w:rPr>
              <w:t>Cmax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AD0" w:rsidRPr="00F630F3" w:rsidRDefault="00D67AD0" w:rsidP="00F630F3">
            <w:pPr>
              <w:pStyle w:val="Didascalia"/>
              <w:keepNext/>
              <w:spacing w:before="0" w:after="0"/>
              <w:jc w:val="center"/>
              <w:outlineLvl w:val="0"/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</w:pPr>
            <w:r w:rsidRPr="00F630F3"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  <w:t>6663.88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AD0" w:rsidRPr="00F630F3" w:rsidRDefault="00D67AD0" w:rsidP="00F630F3">
            <w:pPr>
              <w:pStyle w:val="Didascalia"/>
              <w:keepNext/>
              <w:spacing w:before="0" w:after="0"/>
              <w:jc w:val="center"/>
              <w:outlineLvl w:val="0"/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</w:pPr>
            <w:r w:rsidRPr="00F630F3"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  <w:t>7031.00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AD0" w:rsidRPr="00F630F3" w:rsidRDefault="00D67AD0" w:rsidP="00F630F3">
            <w:pPr>
              <w:pStyle w:val="Didascalia"/>
              <w:keepNext/>
              <w:spacing w:before="0" w:after="0"/>
              <w:jc w:val="center"/>
              <w:outlineLvl w:val="0"/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</w:pPr>
            <w:r w:rsidRPr="00F630F3"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  <w:t>0.948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AD0" w:rsidRPr="00F630F3" w:rsidRDefault="00D67AD0" w:rsidP="00F630F3">
            <w:pPr>
              <w:pStyle w:val="Didascalia"/>
              <w:keepNext/>
              <w:spacing w:before="0" w:after="0"/>
              <w:jc w:val="center"/>
              <w:outlineLvl w:val="0"/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</w:pPr>
            <w:r w:rsidRPr="00F630F3">
              <w:rPr>
                <w:rFonts w:asciiTheme="minorHAnsi" w:hAnsiTheme="minorHAnsi" w:cs="Arial"/>
                <w:b w:val="0"/>
                <w:sz w:val="20"/>
                <w:szCs w:val="22"/>
                <w:lang w:val="it-IT"/>
              </w:rPr>
              <w:t>83.81-107.33</w:t>
            </w:r>
          </w:p>
        </w:tc>
      </w:tr>
    </w:tbl>
    <w:p w:rsidR="00950A7E" w:rsidRPr="00894064" w:rsidRDefault="00950A7E" w:rsidP="00894064">
      <w:pPr>
        <w:spacing w:after="0" w:line="240" w:lineRule="auto"/>
        <w:jc w:val="both"/>
        <w:rPr>
          <w:rFonts w:cs="Arial"/>
          <w:lang w:val="en-GB"/>
        </w:rPr>
      </w:pPr>
    </w:p>
    <w:p w:rsidR="003A3DB3" w:rsidRPr="00894064" w:rsidRDefault="003A3DB3" w:rsidP="00894064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  <w:i/>
        </w:rPr>
        <w:t>Conclusioni sulla bioequivalenza</w:t>
      </w:r>
      <w:r w:rsidRPr="00894064">
        <w:rPr>
          <w:rFonts w:cs="Arial"/>
        </w:rPr>
        <w:t>.</w:t>
      </w:r>
    </w:p>
    <w:p w:rsidR="003A3DB3" w:rsidRPr="00894064" w:rsidRDefault="003A3DB3" w:rsidP="00894064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</w:rPr>
        <w:t>I risultati degli studi di bioequivalenza mostrano che gli intervalli di confidenza dei parametri farmacocinetici studiati cadono nel range di accettabilità in accordo con le linee guida correnti.</w:t>
      </w:r>
    </w:p>
    <w:p w:rsidR="00F630F3" w:rsidRPr="00894064" w:rsidRDefault="00F630F3" w:rsidP="00894064">
      <w:pPr>
        <w:spacing w:after="0" w:line="240" w:lineRule="auto"/>
        <w:jc w:val="both"/>
        <w:rPr>
          <w:rFonts w:cs="Arial"/>
        </w:rPr>
      </w:pPr>
    </w:p>
    <w:p w:rsidR="003A3DB3" w:rsidRPr="00894064" w:rsidRDefault="003A3DB3" w:rsidP="00894064">
      <w:pPr>
        <w:spacing w:after="0" w:line="240" w:lineRule="auto"/>
        <w:jc w:val="both"/>
        <w:rPr>
          <w:rFonts w:cs="Arial"/>
          <w:b/>
        </w:rPr>
      </w:pPr>
      <w:r w:rsidRPr="00894064">
        <w:rPr>
          <w:rFonts w:cs="Arial"/>
          <w:b/>
        </w:rPr>
        <w:t>Efficacia e sicurezza clinica</w:t>
      </w:r>
    </w:p>
    <w:p w:rsidR="003A3DB3" w:rsidRPr="00894064" w:rsidRDefault="003A3DB3" w:rsidP="00894064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EE6EE2" w:rsidRPr="00894064">
        <w:rPr>
          <w:rFonts w:cs="Arial"/>
        </w:rPr>
        <w:t>Medeoros</w:t>
      </w:r>
      <w:r w:rsidRPr="00894064">
        <w:rPr>
          <w:rFonts w:cs="Arial"/>
        </w:rPr>
        <w:t xml:space="preserve"> è ben conosciuto. </w:t>
      </w: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</w:pP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  <w:rPr>
          <w:b/>
        </w:rPr>
      </w:pPr>
      <w:r w:rsidRPr="00894064">
        <w:rPr>
          <w:b/>
        </w:rPr>
        <w:t>Piano di Valutazione del Rischio (</w:t>
      </w:r>
      <w:r w:rsidRPr="00894064">
        <w:rPr>
          <w:b/>
          <w:i/>
        </w:rPr>
        <w:t>Risk Management Plan</w:t>
      </w:r>
      <w:r w:rsidRPr="00894064">
        <w:rPr>
          <w:b/>
        </w:rPr>
        <w:t xml:space="preserve"> - RMP)</w:t>
      </w: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</w:pPr>
      <w:r w:rsidRPr="00894064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EE6EE2" w:rsidRPr="00894064">
        <w:t>Medeoros</w:t>
      </w:r>
      <w:r w:rsidRPr="00894064">
        <w:t>.</w:t>
      </w:r>
    </w:p>
    <w:p w:rsidR="003B4191" w:rsidRPr="00894064" w:rsidRDefault="003B4191" w:rsidP="00894064">
      <w:pPr>
        <w:pStyle w:val="Paragrafoelenco"/>
        <w:spacing w:after="0" w:line="240" w:lineRule="auto"/>
        <w:ind w:left="0"/>
        <w:jc w:val="both"/>
      </w:pPr>
      <w:r w:rsidRPr="00894064">
        <w:lastRenderedPageBreak/>
        <w:t>Il riassunto delle problematiche di sicurezza è riportato nella tabella seguente.</w:t>
      </w:r>
    </w:p>
    <w:p w:rsidR="003B4191" w:rsidRPr="00894064" w:rsidRDefault="003B4191" w:rsidP="00894064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930" w:type="dxa"/>
        <w:jc w:val="center"/>
        <w:tblLook w:val="04A0"/>
      </w:tblPr>
      <w:tblGrid>
        <w:gridCol w:w="2890"/>
        <w:gridCol w:w="6040"/>
      </w:tblGrid>
      <w:tr w:rsidR="003B4191" w:rsidRPr="00F630F3" w:rsidTr="003B419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F630F3" w:rsidRDefault="003B4191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BD" w:rsidRPr="00F630F3" w:rsidRDefault="00B20A32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Osteonecrosi della mascella e della mandibola</w:t>
            </w:r>
          </w:p>
          <w:p w:rsidR="00B20A32" w:rsidRPr="00F630F3" w:rsidRDefault="00B20A32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Uso in pazienti con grave compromissione della funzionalità renale (clearance della creatinina &lt; 30 ml/min)</w:t>
            </w:r>
          </w:p>
          <w:p w:rsidR="00B20A32" w:rsidRPr="00F630F3" w:rsidRDefault="00B20A32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Uso in pazienti con ipocalcemia</w:t>
            </w:r>
          </w:p>
          <w:p w:rsidR="00B20A32" w:rsidRPr="00F630F3" w:rsidRDefault="00B20A32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Reazioni gastrointestinali (esofagite, gastrite, ulcera esofagea e ulcera gastroduodenale)</w:t>
            </w:r>
          </w:p>
          <w:p w:rsidR="00B20A32" w:rsidRPr="00F630F3" w:rsidRDefault="00B20A32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Reazione di fase acuta</w:t>
            </w:r>
          </w:p>
          <w:p w:rsidR="00B20A32" w:rsidRPr="00F630F3" w:rsidRDefault="00B20A32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Fratture atipiche del femore</w:t>
            </w:r>
          </w:p>
          <w:p w:rsidR="00B20A32" w:rsidRPr="00F630F3" w:rsidRDefault="00B20A32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Reazione di ipersensibilità</w:t>
            </w:r>
          </w:p>
          <w:p w:rsidR="00B20A32" w:rsidRPr="00F630F3" w:rsidRDefault="00B20A32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Reazioni di Steven-Jhonson, Necrolisi Epidermica Tossica, Vasculite Leucocitoclastica</w:t>
            </w:r>
          </w:p>
        </w:tc>
      </w:tr>
      <w:tr w:rsidR="003B4191" w:rsidRPr="00F630F3" w:rsidTr="003B419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F630F3" w:rsidRDefault="003B4191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F630F3" w:rsidRDefault="00B20A32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Eventi avversi oculari (irite, uveite)</w:t>
            </w:r>
          </w:p>
          <w:p w:rsidR="00B20A32" w:rsidRPr="00F630F3" w:rsidRDefault="00B20A32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Gravi patologie epatiche</w:t>
            </w:r>
          </w:p>
        </w:tc>
      </w:tr>
      <w:tr w:rsidR="003B4191" w:rsidRPr="00F630F3" w:rsidTr="003B419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F630F3" w:rsidRDefault="003B4191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 xml:space="preserve">Informazioni mancanti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F630F3" w:rsidRDefault="00B20A32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Uso in gravidanza e in allattamento</w:t>
            </w:r>
          </w:p>
          <w:p w:rsidR="00B20A32" w:rsidRPr="00F630F3" w:rsidRDefault="00B20A32" w:rsidP="000A5A58">
            <w:pPr>
              <w:pStyle w:val="Paragrafoelenco"/>
              <w:ind w:left="0"/>
              <w:jc w:val="both"/>
              <w:rPr>
                <w:sz w:val="20"/>
              </w:rPr>
            </w:pPr>
            <w:r w:rsidRPr="00F630F3">
              <w:rPr>
                <w:sz w:val="20"/>
              </w:rPr>
              <w:t>Uso nei bambini e negli adolescenti e adolescenti al di sotto di 18 anni</w:t>
            </w:r>
          </w:p>
        </w:tc>
      </w:tr>
    </w:tbl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</w:pP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</w:pPr>
      <w:r w:rsidRPr="00894064">
        <w:t>Azioni routinarie di farmacovigilanza e di minimizzazione del rischio sono proposte per tutte le problematiche di sicurezza.</w:t>
      </w: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</w:pPr>
      <w:r w:rsidRPr="00894064">
        <w:t>Oltre le misure previste nel Riassunto delle caratteristiche del prodotto non sono previste attività addizionali di minimizzazione del rischio</w:t>
      </w: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</w:pP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  <w:rPr>
          <w:b/>
        </w:rPr>
      </w:pPr>
      <w:r w:rsidRPr="00894064">
        <w:rPr>
          <w:b/>
        </w:rPr>
        <w:t>Conclusioni</w:t>
      </w: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</w:pPr>
      <w:r w:rsidRPr="00894064">
        <w:t xml:space="preserve">Per la richiesta di AIC di </w:t>
      </w:r>
      <w:r w:rsidR="00EE6EE2" w:rsidRPr="00894064">
        <w:t>Medeoros</w:t>
      </w:r>
      <w:r w:rsidRPr="00894064">
        <w:t xml:space="preserve"> sono state presentate sufficienti informazioni cliniche.</w:t>
      </w: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</w:pPr>
      <w:r w:rsidRPr="00894064">
        <w:t xml:space="preserve">Il rapporto beneficio/rischio di </w:t>
      </w:r>
      <w:r w:rsidR="00EE6EE2" w:rsidRPr="00894064">
        <w:t>Medeoros</w:t>
      </w:r>
      <w:r w:rsidRPr="00894064">
        <w:t xml:space="preserve"> è considerato favorevole dal punto di vista clinico.</w:t>
      </w: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</w:pP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</w:pPr>
    </w:p>
    <w:p w:rsidR="003A3DB3" w:rsidRPr="00894064" w:rsidRDefault="003A3DB3" w:rsidP="0089406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894064">
        <w:rPr>
          <w:b/>
        </w:rPr>
        <w:t>CONSULTAZIONE SUL FOGLIO ILLUSTRATIVO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3A3DB3" w:rsidRPr="00894064" w:rsidRDefault="003A3DB3" w:rsidP="00894064">
      <w:pPr>
        <w:pStyle w:val="Paragrafoelenco"/>
        <w:spacing w:after="0" w:line="240" w:lineRule="auto"/>
        <w:ind w:left="0"/>
        <w:jc w:val="both"/>
      </w:pPr>
    </w:p>
    <w:p w:rsidR="003A3DB3" w:rsidRPr="00894064" w:rsidRDefault="003A3DB3" w:rsidP="00894064">
      <w:pPr>
        <w:spacing w:after="0" w:line="240" w:lineRule="auto"/>
        <w:jc w:val="both"/>
        <w:rPr>
          <w:highlight w:val="yellow"/>
        </w:rPr>
      </w:pPr>
    </w:p>
    <w:p w:rsidR="003A3DB3" w:rsidRPr="00894064" w:rsidRDefault="003A3DB3" w:rsidP="0089406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894064">
        <w:rPr>
          <w:b/>
        </w:rPr>
        <w:t>CONCLUSIONI, VALUTAZIONE DEL RAPPORTO BENEFICIO/RISCHIO E RACCOMANDAZIONI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 xml:space="preserve">La qualità di </w:t>
      </w:r>
      <w:r w:rsidR="00EE6EE2" w:rsidRPr="00894064">
        <w:t>Medeoros</w:t>
      </w:r>
      <w:r w:rsidRPr="00894064">
        <w:t xml:space="preserve"> è accettabile e non sono state rilevate criticità da un punto di vista non clinico e clinico.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 xml:space="preserve">Lo studio di bioequivalenza e le sue conclusioni confermano che </w:t>
      </w:r>
      <w:r w:rsidR="00EE6EE2" w:rsidRPr="00894064">
        <w:t>Medeoros</w:t>
      </w:r>
      <w:r w:rsidRPr="00894064">
        <w:t xml:space="preserve"> e il medicinale di riferimento </w:t>
      </w:r>
      <w:r w:rsidR="002969CD" w:rsidRPr="00894064">
        <w:t>Actonel</w:t>
      </w:r>
      <w:r w:rsidRPr="00894064">
        <w:t xml:space="preserve"> sono bioequivalenti.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>Il rapporto beneficio/rischio è considerato positivo.</w:t>
      </w:r>
    </w:p>
    <w:p w:rsidR="003A3DB3" w:rsidRPr="00894064" w:rsidRDefault="003A3DB3" w:rsidP="00894064">
      <w:pPr>
        <w:spacing w:after="0" w:line="240" w:lineRule="auto"/>
        <w:jc w:val="both"/>
      </w:pPr>
      <w:r w:rsidRPr="00894064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894064">
        <w:rPr>
          <w:rFonts w:eastAsia="Calibri" w:cs="Calibri"/>
          <w:lang w:eastAsia="it-IT"/>
        </w:rPr>
        <w:t>(</w:t>
      </w:r>
      <w:hyperlink r:id="rId11" w:history="1">
        <w:r w:rsidRPr="00894064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894064">
        <w:rPr>
          <w:rFonts w:eastAsia="Calibri" w:cs="Calibri"/>
          <w:lang w:eastAsia="it-IT"/>
        </w:rPr>
        <w:t>).</w:t>
      </w:r>
    </w:p>
    <w:sectPr w:rsidR="003A3DB3" w:rsidRPr="00894064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690C"/>
    <w:multiLevelType w:val="hybridMultilevel"/>
    <w:tmpl w:val="03704C8C"/>
    <w:lvl w:ilvl="0" w:tplc="729660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92A00"/>
    <w:multiLevelType w:val="hybridMultilevel"/>
    <w:tmpl w:val="D9B0C088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8660D08"/>
    <w:multiLevelType w:val="hybridMultilevel"/>
    <w:tmpl w:val="7B20E44A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3290F"/>
    <w:multiLevelType w:val="hybridMultilevel"/>
    <w:tmpl w:val="CE5AE9EE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0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283"/>
  <w:characterSpacingControl w:val="doNotCompress"/>
  <w:compat/>
  <w:rsids>
    <w:rsidRoot w:val="004241AC"/>
    <w:rsid w:val="000013CC"/>
    <w:rsid w:val="00013020"/>
    <w:rsid w:val="0002375F"/>
    <w:rsid w:val="00027AD2"/>
    <w:rsid w:val="00042505"/>
    <w:rsid w:val="00051F8C"/>
    <w:rsid w:val="00057A00"/>
    <w:rsid w:val="00062636"/>
    <w:rsid w:val="00077016"/>
    <w:rsid w:val="000A5A58"/>
    <w:rsid w:val="000B1FBB"/>
    <w:rsid w:val="00111E9E"/>
    <w:rsid w:val="00117E75"/>
    <w:rsid w:val="001449DA"/>
    <w:rsid w:val="00146906"/>
    <w:rsid w:val="001536A3"/>
    <w:rsid w:val="0016139D"/>
    <w:rsid w:val="001752AC"/>
    <w:rsid w:val="001F543F"/>
    <w:rsid w:val="002430A3"/>
    <w:rsid w:val="0024701B"/>
    <w:rsid w:val="00247206"/>
    <w:rsid w:val="002969CD"/>
    <w:rsid w:val="002C3C14"/>
    <w:rsid w:val="003265E4"/>
    <w:rsid w:val="00337AF5"/>
    <w:rsid w:val="00354BAE"/>
    <w:rsid w:val="00375A65"/>
    <w:rsid w:val="003A3DB3"/>
    <w:rsid w:val="003A53D7"/>
    <w:rsid w:val="003B4191"/>
    <w:rsid w:val="00412F8E"/>
    <w:rsid w:val="00417B3A"/>
    <w:rsid w:val="004241AC"/>
    <w:rsid w:val="004358FE"/>
    <w:rsid w:val="004827BB"/>
    <w:rsid w:val="004B20A8"/>
    <w:rsid w:val="004D3353"/>
    <w:rsid w:val="004E5373"/>
    <w:rsid w:val="0053000F"/>
    <w:rsid w:val="00534062"/>
    <w:rsid w:val="005A6F5A"/>
    <w:rsid w:val="005C6F07"/>
    <w:rsid w:val="005F15BA"/>
    <w:rsid w:val="005F3439"/>
    <w:rsid w:val="00643CED"/>
    <w:rsid w:val="006535BD"/>
    <w:rsid w:val="006615E6"/>
    <w:rsid w:val="006737C4"/>
    <w:rsid w:val="00675327"/>
    <w:rsid w:val="00686B6F"/>
    <w:rsid w:val="006B75F0"/>
    <w:rsid w:val="00702679"/>
    <w:rsid w:val="00720780"/>
    <w:rsid w:val="00726E3E"/>
    <w:rsid w:val="007760A3"/>
    <w:rsid w:val="00793BA0"/>
    <w:rsid w:val="007C41C7"/>
    <w:rsid w:val="007D7D00"/>
    <w:rsid w:val="00823DF7"/>
    <w:rsid w:val="008415C7"/>
    <w:rsid w:val="0084387F"/>
    <w:rsid w:val="00887127"/>
    <w:rsid w:val="00890259"/>
    <w:rsid w:val="00894064"/>
    <w:rsid w:val="0089506F"/>
    <w:rsid w:val="008971A2"/>
    <w:rsid w:val="008B4301"/>
    <w:rsid w:val="008E3280"/>
    <w:rsid w:val="008F117C"/>
    <w:rsid w:val="0092393F"/>
    <w:rsid w:val="00925EA0"/>
    <w:rsid w:val="00950A7E"/>
    <w:rsid w:val="00971337"/>
    <w:rsid w:val="009A260F"/>
    <w:rsid w:val="009B03DB"/>
    <w:rsid w:val="009B48B2"/>
    <w:rsid w:val="009C47E4"/>
    <w:rsid w:val="009F1E61"/>
    <w:rsid w:val="00A05212"/>
    <w:rsid w:val="00A1005E"/>
    <w:rsid w:val="00A12887"/>
    <w:rsid w:val="00A146BC"/>
    <w:rsid w:val="00A35B2D"/>
    <w:rsid w:val="00A40FF3"/>
    <w:rsid w:val="00A42B0C"/>
    <w:rsid w:val="00A60670"/>
    <w:rsid w:val="00A72D3D"/>
    <w:rsid w:val="00A95BD3"/>
    <w:rsid w:val="00AB40A1"/>
    <w:rsid w:val="00AC076B"/>
    <w:rsid w:val="00AF6C91"/>
    <w:rsid w:val="00B20A32"/>
    <w:rsid w:val="00B45F4F"/>
    <w:rsid w:val="00B551AA"/>
    <w:rsid w:val="00B63A1F"/>
    <w:rsid w:val="00B73E77"/>
    <w:rsid w:val="00B7524A"/>
    <w:rsid w:val="00B80E70"/>
    <w:rsid w:val="00B849DC"/>
    <w:rsid w:val="00B95795"/>
    <w:rsid w:val="00BB1356"/>
    <w:rsid w:val="00BC74C2"/>
    <w:rsid w:val="00BD24FA"/>
    <w:rsid w:val="00BD269C"/>
    <w:rsid w:val="00BD69AF"/>
    <w:rsid w:val="00C107B9"/>
    <w:rsid w:val="00C3751A"/>
    <w:rsid w:val="00C41506"/>
    <w:rsid w:val="00C45804"/>
    <w:rsid w:val="00C55BFD"/>
    <w:rsid w:val="00C970DF"/>
    <w:rsid w:val="00CB779C"/>
    <w:rsid w:val="00CC7AFF"/>
    <w:rsid w:val="00CF13FB"/>
    <w:rsid w:val="00CF3428"/>
    <w:rsid w:val="00CF4563"/>
    <w:rsid w:val="00D05E22"/>
    <w:rsid w:val="00D20170"/>
    <w:rsid w:val="00D437B6"/>
    <w:rsid w:val="00D67AD0"/>
    <w:rsid w:val="00D85E7D"/>
    <w:rsid w:val="00D94AF7"/>
    <w:rsid w:val="00DD17CC"/>
    <w:rsid w:val="00DF1A43"/>
    <w:rsid w:val="00E1054C"/>
    <w:rsid w:val="00E43089"/>
    <w:rsid w:val="00E46EF4"/>
    <w:rsid w:val="00E83F8D"/>
    <w:rsid w:val="00EA75FC"/>
    <w:rsid w:val="00EB47AE"/>
    <w:rsid w:val="00EE6EE2"/>
    <w:rsid w:val="00EF062E"/>
    <w:rsid w:val="00F30505"/>
    <w:rsid w:val="00F5767E"/>
    <w:rsid w:val="00F630F3"/>
    <w:rsid w:val="00F66767"/>
    <w:rsid w:val="00F7355E"/>
    <w:rsid w:val="00F842C8"/>
    <w:rsid w:val="00F916D9"/>
    <w:rsid w:val="00FA2702"/>
    <w:rsid w:val="00FD1558"/>
    <w:rsid w:val="00FD5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3005</Words>
  <Characters>17133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8</cp:revision>
  <dcterms:created xsi:type="dcterms:W3CDTF">2015-11-20T14:28:00Z</dcterms:created>
  <dcterms:modified xsi:type="dcterms:W3CDTF">2016-06-30T14:42:00Z</dcterms:modified>
</cp:coreProperties>
</file>