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C059D0" w:rsidRDefault="009B5240" w:rsidP="00C059D0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2015" cy="1489075"/>
            <wp:effectExtent l="1905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015" cy="148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Pr="00C059D0" w:rsidRDefault="004241AC" w:rsidP="00C059D0">
      <w:pPr>
        <w:spacing w:after="0" w:line="240" w:lineRule="auto"/>
        <w:jc w:val="both"/>
        <w:rPr>
          <w:b/>
        </w:rPr>
      </w:pPr>
    </w:p>
    <w:p w:rsidR="00294C54" w:rsidRPr="00C059D0" w:rsidRDefault="00756B9F" w:rsidP="00C059D0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C059D0">
        <w:rPr>
          <w:b/>
          <w:sz w:val="28"/>
        </w:rPr>
        <w:t xml:space="preserve"> Riassunto della </w:t>
      </w:r>
      <w:r w:rsidR="00294C54" w:rsidRPr="00C059D0">
        <w:rPr>
          <w:b/>
          <w:sz w:val="28"/>
        </w:rPr>
        <w:t>Relazione Pubblica di Valutazione</w:t>
      </w: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840F1" w:rsidRPr="00C059D0" w:rsidRDefault="007840F1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3209" w:rsidRPr="00C059D0" w:rsidRDefault="00833209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C059D0" w:rsidRDefault="00756B9F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proofErr w:type="spellStart"/>
      <w:r w:rsidRPr="00C059D0">
        <w:rPr>
          <w:b/>
          <w:sz w:val="32"/>
        </w:rPr>
        <w:t>Nootropil</w:t>
      </w:r>
      <w:proofErr w:type="spellEnd"/>
    </w:p>
    <w:p w:rsidR="007840F1" w:rsidRPr="00C059D0" w:rsidRDefault="007840F1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C059D0" w:rsidRDefault="004241AC" w:rsidP="00C059D0">
      <w:pPr>
        <w:widowControl w:val="0"/>
        <w:spacing w:after="0" w:line="240" w:lineRule="auto"/>
        <w:jc w:val="center"/>
        <w:rPr>
          <w:snapToGrid w:val="0"/>
        </w:rPr>
      </w:pPr>
      <w:r w:rsidRPr="00C059D0">
        <w:rPr>
          <w:snapToGrid w:val="0"/>
        </w:rPr>
        <w:t>(</w:t>
      </w:r>
      <w:proofErr w:type="spellStart"/>
      <w:r w:rsidR="00406470" w:rsidRPr="00C059D0">
        <w:t>Piracetam</w:t>
      </w:r>
      <w:proofErr w:type="spellEnd"/>
      <w:r w:rsidRPr="00C059D0">
        <w:rPr>
          <w:snapToGrid w:val="0"/>
        </w:rPr>
        <w:t>)</w:t>
      </w: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840F1" w:rsidRPr="00C059D0" w:rsidRDefault="007840F1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F0BD7" w:rsidRPr="000E5C87" w:rsidRDefault="00756B9F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0E5C87">
        <w:rPr>
          <w:b/>
          <w:sz w:val="24"/>
          <w:szCs w:val="24"/>
        </w:rPr>
        <w:t>UCB Pharma</w:t>
      </w:r>
    </w:p>
    <w:p w:rsidR="00047C53" w:rsidRDefault="00047C53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E5C87" w:rsidRPr="00C059D0" w:rsidRDefault="000E5C87" w:rsidP="00C059D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C059D0" w:rsidRDefault="004241AC" w:rsidP="00C059D0">
      <w:pPr>
        <w:spacing w:after="0" w:line="240" w:lineRule="auto"/>
        <w:jc w:val="center"/>
        <w:rPr>
          <w:b/>
        </w:rPr>
      </w:pPr>
      <w:r w:rsidRPr="00C059D0">
        <w:rPr>
          <w:b/>
        </w:rPr>
        <w:t xml:space="preserve">Numero di AIC: </w:t>
      </w:r>
      <w:r w:rsidR="004E3915" w:rsidRPr="00C059D0">
        <w:rPr>
          <w:rFonts w:cs="Helvetica"/>
          <w:b/>
        </w:rPr>
        <w:t>0</w:t>
      </w:r>
      <w:r w:rsidR="00756B9F" w:rsidRPr="00C059D0">
        <w:rPr>
          <w:rFonts w:cs="Helvetica"/>
          <w:b/>
        </w:rPr>
        <w:t>22921</w:t>
      </w:r>
    </w:p>
    <w:p w:rsidR="004241AC" w:rsidRPr="00C059D0" w:rsidRDefault="004241AC" w:rsidP="00C059D0">
      <w:pPr>
        <w:spacing w:after="0" w:line="240" w:lineRule="auto"/>
        <w:jc w:val="both"/>
        <w:rPr>
          <w:b/>
        </w:rPr>
      </w:pPr>
      <w:bookmarkStart w:id="1" w:name="_GoBack"/>
      <w:bookmarkEnd w:id="0"/>
      <w:bookmarkEnd w:id="1"/>
    </w:p>
    <w:p w:rsidR="007840F1" w:rsidRPr="00C059D0" w:rsidRDefault="007840F1" w:rsidP="00C059D0">
      <w:pPr>
        <w:spacing w:after="0" w:line="240" w:lineRule="auto"/>
        <w:jc w:val="both"/>
        <w:rPr>
          <w:b/>
        </w:rPr>
      </w:pPr>
    </w:p>
    <w:p w:rsidR="007840F1" w:rsidRPr="00C059D0" w:rsidRDefault="007840F1" w:rsidP="00C059D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</w:rPr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C059D0">
        <w:rPr>
          <w:rFonts w:cs="Calibri"/>
          <w:color w:val="000000"/>
          <w:lang w:eastAsia="it-IT"/>
        </w:rPr>
        <w:t xml:space="preserve">Questa è la sintesi del </w:t>
      </w:r>
      <w:r w:rsidRPr="00C059D0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C059D0">
        <w:rPr>
          <w:rFonts w:cs="Calibri"/>
          <w:i/>
          <w:color w:val="000000"/>
          <w:lang w:eastAsia="it-IT"/>
        </w:rPr>
        <w:t>Assessment</w:t>
      </w:r>
      <w:proofErr w:type="spellEnd"/>
      <w:r w:rsidRPr="00C059D0">
        <w:rPr>
          <w:rFonts w:cs="Calibri"/>
          <w:i/>
          <w:color w:val="000000"/>
          <w:lang w:eastAsia="it-IT"/>
        </w:rPr>
        <w:t xml:space="preserve"> Report</w:t>
      </w:r>
      <w:r w:rsidRPr="00C059D0">
        <w:rPr>
          <w:rFonts w:cs="Calibri"/>
          <w:color w:val="000000"/>
          <w:lang w:eastAsia="it-IT"/>
        </w:rPr>
        <w:t xml:space="preserve"> (PAR) per </w:t>
      </w:r>
      <w:proofErr w:type="spellStart"/>
      <w:r w:rsidR="00756B9F" w:rsidRPr="00C059D0">
        <w:rPr>
          <w:rFonts w:cs="Calibri"/>
          <w:color w:val="000000"/>
          <w:lang w:eastAsia="it-IT"/>
        </w:rPr>
        <w:t>Nootropil</w:t>
      </w:r>
      <w:proofErr w:type="spellEnd"/>
      <w:r w:rsidRPr="00C059D0">
        <w:rPr>
          <w:rFonts w:cs="Calibri"/>
          <w:color w:val="000000"/>
          <w:lang w:eastAsia="it-IT"/>
        </w:rPr>
        <w:t>.</w:t>
      </w:r>
      <w:r w:rsidRPr="00C059D0">
        <w:rPr>
          <w:rFonts w:cs="Calibri"/>
          <w:bCs/>
          <w:color w:val="000000"/>
          <w:lang w:eastAsia="it-IT"/>
        </w:rPr>
        <w:t xml:space="preserve"> </w:t>
      </w:r>
      <w:r w:rsidRPr="00C059D0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756B9F" w:rsidRPr="00C059D0">
        <w:rPr>
          <w:rFonts w:cs="Calibri"/>
          <w:color w:val="000000"/>
          <w:lang w:eastAsia="it-IT"/>
        </w:rPr>
        <w:t>Nootropil</w:t>
      </w:r>
      <w:proofErr w:type="spellEnd"/>
      <w:r w:rsidR="00062636" w:rsidRPr="00C059D0">
        <w:rPr>
          <w:rFonts w:cs="Calibri"/>
          <w:color w:val="000000"/>
          <w:lang w:eastAsia="it-IT"/>
        </w:rPr>
        <w:t xml:space="preserve"> </w:t>
      </w:r>
      <w:r w:rsidRPr="00C059D0">
        <w:rPr>
          <w:rFonts w:cs="Calibri"/>
          <w:color w:val="000000"/>
          <w:lang w:eastAsia="it-IT"/>
        </w:rPr>
        <w:t xml:space="preserve">è stato valutato </w:t>
      </w:r>
      <w:r w:rsidR="00897CAF" w:rsidRPr="00C059D0">
        <w:rPr>
          <w:rFonts w:cs="Calibri"/>
          <w:color w:val="000000"/>
          <w:lang w:eastAsia="it-IT"/>
        </w:rPr>
        <w:t xml:space="preserve">dalla </w:t>
      </w:r>
      <w:r w:rsidR="00764B96" w:rsidRPr="00C059D0">
        <w:rPr>
          <w:rFonts w:cs="Calibri"/>
          <w:color w:val="000000"/>
          <w:lang w:eastAsia="it-IT"/>
        </w:rPr>
        <w:t xml:space="preserve"> Commissione Unica del farmaco (CUF) </w:t>
      </w:r>
      <w:r w:rsidR="00FB1334" w:rsidRPr="00C059D0">
        <w:rPr>
          <w:rFonts w:cs="Calibri"/>
          <w:color w:val="000000"/>
          <w:lang w:eastAsia="it-IT"/>
        </w:rPr>
        <w:t>e le sue condizioni di impiego</w:t>
      </w:r>
      <w:r w:rsidRPr="00C059D0">
        <w:rPr>
          <w:rFonts w:cs="Calibri"/>
          <w:color w:val="000000"/>
          <w:lang w:eastAsia="it-IT"/>
        </w:rPr>
        <w:t>. Non intende fornire consigli pratici su come utilizzare</w:t>
      </w:r>
      <w:r w:rsidR="0024379D" w:rsidRPr="00C059D0">
        <w:rPr>
          <w:rFonts w:cs="Calibri"/>
          <w:color w:val="000000"/>
          <w:lang w:eastAsia="it-IT"/>
        </w:rPr>
        <w:t xml:space="preserve"> </w:t>
      </w:r>
      <w:proofErr w:type="spellStart"/>
      <w:r w:rsidR="00756B9F" w:rsidRPr="00C059D0">
        <w:rPr>
          <w:rFonts w:cs="Calibri"/>
          <w:color w:val="000000"/>
          <w:lang w:eastAsia="it-IT"/>
        </w:rPr>
        <w:t>Nootropil</w:t>
      </w:r>
      <w:proofErr w:type="spellEnd"/>
      <w:r w:rsidRPr="00C059D0">
        <w:rPr>
          <w:rFonts w:cs="Calibri"/>
          <w:bCs/>
          <w:color w:val="000000"/>
          <w:lang w:eastAsia="it-IT"/>
        </w:rPr>
        <w:t>.</w:t>
      </w: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C059D0">
        <w:rPr>
          <w:rFonts w:cs="Calibri"/>
          <w:color w:val="000000"/>
          <w:lang w:eastAsia="it-IT"/>
        </w:rPr>
        <w:t>Per informazioni pratiche sull'utilizzo di</w:t>
      </w:r>
      <w:r w:rsidRPr="00C059D0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="00756B9F" w:rsidRPr="00C059D0">
        <w:rPr>
          <w:rFonts w:cs="Calibri"/>
          <w:color w:val="000000"/>
          <w:lang w:eastAsia="it-IT"/>
        </w:rPr>
        <w:t>Nootropil</w:t>
      </w:r>
      <w:proofErr w:type="spellEnd"/>
      <w:r w:rsidR="00062636" w:rsidRPr="00C059D0">
        <w:rPr>
          <w:rFonts w:cs="Calibri"/>
          <w:color w:val="000000"/>
          <w:lang w:eastAsia="it-IT"/>
        </w:rPr>
        <w:t xml:space="preserve"> </w:t>
      </w:r>
      <w:r w:rsidRPr="00C059D0">
        <w:rPr>
          <w:rFonts w:cs="Calibri"/>
          <w:color w:val="000000"/>
          <w:lang w:eastAsia="it-IT"/>
        </w:rPr>
        <w:t>i pazienti devono consultare il foglio illustrativo o contattare il loro medico</w:t>
      </w:r>
      <w:r w:rsidR="00FB1334" w:rsidRPr="00C059D0">
        <w:rPr>
          <w:rFonts w:cs="Calibri"/>
          <w:color w:val="000000"/>
          <w:lang w:eastAsia="it-IT"/>
        </w:rPr>
        <w:t xml:space="preserve"> o il farmacista</w:t>
      </w:r>
      <w:r w:rsidRPr="00C059D0">
        <w:rPr>
          <w:rFonts w:cs="Calibri"/>
          <w:color w:val="000000"/>
          <w:lang w:eastAsia="it-IT"/>
        </w:rPr>
        <w:t xml:space="preserve">. </w:t>
      </w: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C059D0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756B9F" w:rsidRPr="00C059D0">
        <w:rPr>
          <w:rFonts w:cs="Calibri"/>
          <w:b/>
          <w:color w:val="000000"/>
          <w:lang w:eastAsia="it-IT"/>
        </w:rPr>
        <w:t>Nootropil</w:t>
      </w:r>
      <w:proofErr w:type="spellEnd"/>
      <w:r w:rsidR="0024379D" w:rsidRPr="00C059D0">
        <w:rPr>
          <w:rFonts w:cs="Calibri"/>
          <w:b/>
          <w:bCs/>
          <w:color w:val="000000"/>
          <w:lang w:eastAsia="it-IT"/>
        </w:rPr>
        <w:t xml:space="preserve"> </w:t>
      </w:r>
      <w:r w:rsidR="00691B5A" w:rsidRPr="00C059D0">
        <w:rPr>
          <w:rFonts w:cs="Calibri"/>
          <w:b/>
          <w:bCs/>
          <w:color w:val="000000"/>
          <w:lang w:eastAsia="it-IT"/>
        </w:rPr>
        <w:t>E A COSA SERVE</w:t>
      </w:r>
      <w:r w:rsidRPr="00C059D0">
        <w:rPr>
          <w:rFonts w:cs="Calibri"/>
          <w:b/>
          <w:bCs/>
          <w:color w:val="000000"/>
          <w:lang w:eastAsia="it-IT"/>
        </w:rPr>
        <w:t xml:space="preserve">? </w:t>
      </w:r>
    </w:p>
    <w:p w:rsidR="00406470" w:rsidRPr="00C059D0" w:rsidRDefault="00756B9F" w:rsidP="00C059D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C059D0">
        <w:rPr>
          <w:rFonts w:cs="Calibri"/>
          <w:color w:val="000000"/>
          <w:lang w:eastAsia="it-IT"/>
        </w:rPr>
        <w:t>Nootropil</w:t>
      </w:r>
      <w:proofErr w:type="spellEnd"/>
      <w:r w:rsidR="00406470" w:rsidRPr="00C059D0">
        <w:rPr>
          <w:rFonts w:cs="Calibri"/>
          <w:color w:val="000000"/>
          <w:lang w:eastAsia="it-IT"/>
        </w:rPr>
        <w:t xml:space="preserve"> è un medicinale contenente il principio attivo </w:t>
      </w:r>
      <w:proofErr w:type="spellStart"/>
      <w:r w:rsidR="00406470" w:rsidRPr="00C059D0">
        <w:rPr>
          <w:rFonts w:cs="Arial"/>
        </w:rPr>
        <w:t>piracetam</w:t>
      </w:r>
      <w:proofErr w:type="spellEnd"/>
      <w:r w:rsidR="00406470" w:rsidRPr="00C059D0">
        <w:rPr>
          <w:rFonts w:cs="Calibri"/>
          <w:color w:val="000000"/>
          <w:lang w:eastAsia="it-IT"/>
        </w:rPr>
        <w:t xml:space="preserve"> ed è autorizzato</w:t>
      </w:r>
      <w:r w:rsidR="0072704F" w:rsidRPr="00C059D0">
        <w:rPr>
          <w:rFonts w:cs="Calibri"/>
          <w:color w:val="000000"/>
          <w:lang w:eastAsia="it-IT"/>
        </w:rPr>
        <w:t xml:space="preserve"> come</w:t>
      </w:r>
      <w:r w:rsidR="00406470" w:rsidRPr="00C059D0">
        <w:rPr>
          <w:rFonts w:cs="Calibri"/>
          <w:color w:val="000000"/>
          <w:lang w:eastAsia="it-IT"/>
        </w:rPr>
        <w:t xml:space="preserve"> </w:t>
      </w:r>
      <w:r w:rsidRPr="00C059D0">
        <w:rPr>
          <w:rFonts w:cs="Calibri"/>
          <w:color w:val="000000"/>
          <w:lang w:eastAsia="it-IT"/>
        </w:rPr>
        <w:t>compresse rivestite</w:t>
      </w:r>
      <w:r w:rsidR="00E21570">
        <w:rPr>
          <w:rFonts w:cs="Calibri"/>
          <w:color w:val="000000"/>
          <w:lang w:eastAsia="it-IT"/>
        </w:rPr>
        <w:t xml:space="preserve"> con film</w:t>
      </w:r>
      <w:r w:rsidR="0072704F" w:rsidRPr="00C059D0">
        <w:rPr>
          <w:rFonts w:cs="Calibri"/>
          <w:color w:val="000000"/>
          <w:lang w:eastAsia="it-IT"/>
        </w:rPr>
        <w:t xml:space="preserve"> contenenti 1200 mg di princi</w:t>
      </w:r>
      <w:r w:rsidR="00E21570">
        <w:rPr>
          <w:rFonts w:cs="Calibri"/>
          <w:color w:val="000000"/>
          <w:lang w:eastAsia="it-IT"/>
        </w:rPr>
        <w:t>pi</w:t>
      </w:r>
      <w:r w:rsidR="0072704F" w:rsidRPr="00C059D0">
        <w:rPr>
          <w:rFonts w:cs="Calibri"/>
          <w:color w:val="000000"/>
          <w:lang w:eastAsia="it-IT"/>
        </w:rPr>
        <w:t>o attivo e come</w:t>
      </w:r>
      <w:r w:rsidRPr="00C059D0">
        <w:rPr>
          <w:rFonts w:cs="Calibri"/>
          <w:color w:val="000000"/>
          <w:lang w:eastAsia="it-IT"/>
        </w:rPr>
        <w:t xml:space="preserve"> </w:t>
      </w:r>
      <w:r w:rsidR="00764B96" w:rsidRPr="00C059D0">
        <w:rPr>
          <w:rFonts w:cs="Calibri"/>
          <w:color w:val="000000"/>
          <w:lang w:eastAsia="it-IT"/>
        </w:rPr>
        <w:t>soluzione orale</w:t>
      </w:r>
      <w:r w:rsidR="0072704F" w:rsidRPr="00C059D0">
        <w:rPr>
          <w:rFonts w:cs="Calibri"/>
          <w:color w:val="000000"/>
          <w:lang w:eastAsia="it-IT"/>
        </w:rPr>
        <w:t xml:space="preserve"> e iniettabile per uso endovenoso</w:t>
      </w:r>
      <w:r w:rsidR="00764B96" w:rsidRPr="00C059D0">
        <w:rPr>
          <w:rFonts w:cs="Calibri"/>
          <w:color w:val="000000"/>
          <w:lang w:eastAsia="it-IT"/>
        </w:rPr>
        <w:t xml:space="preserve"> e soluzione per infusione contenenti</w:t>
      </w:r>
      <w:r w:rsidR="0072704F" w:rsidRPr="00C059D0">
        <w:rPr>
          <w:rFonts w:cs="Calibri"/>
          <w:color w:val="000000"/>
          <w:lang w:eastAsia="it-IT"/>
        </w:rPr>
        <w:t xml:space="preserve"> il principio attivo</w:t>
      </w:r>
      <w:r w:rsidR="00764B96" w:rsidRPr="00C059D0">
        <w:rPr>
          <w:rFonts w:cs="Calibri"/>
          <w:color w:val="000000"/>
          <w:lang w:eastAsia="it-IT"/>
        </w:rPr>
        <w:t xml:space="preserve"> rispettivamente</w:t>
      </w:r>
      <w:r w:rsidR="0072704F" w:rsidRPr="00C059D0">
        <w:rPr>
          <w:rFonts w:cs="Calibri"/>
          <w:color w:val="000000"/>
          <w:lang w:eastAsia="it-IT"/>
        </w:rPr>
        <w:t xml:space="preserve"> alla concentrazione di</w:t>
      </w:r>
      <w:r w:rsidR="00764B96" w:rsidRPr="00C059D0">
        <w:rPr>
          <w:rFonts w:cs="Calibri"/>
          <w:color w:val="000000"/>
          <w:lang w:eastAsia="it-IT"/>
        </w:rPr>
        <w:t xml:space="preserve"> </w:t>
      </w:r>
      <w:r w:rsidRPr="00C059D0">
        <w:rPr>
          <w:rFonts w:cs="Calibri"/>
          <w:color w:val="000000"/>
          <w:lang w:eastAsia="it-IT"/>
        </w:rPr>
        <w:t xml:space="preserve"> </w:t>
      </w:r>
      <w:r w:rsidR="00764B96" w:rsidRPr="00C059D0">
        <w:rPr>
          <w:rFonts w:cs="Calibri"/>
          <w:color w:val="000000"/>
          <w:lang w:eastAsia="it-IT"/>
        </w:rPr>
        <w:t>3</w:t>
      </w:r>
      <w:r w:rsidR="0072704F" w:rsidRPr="00C059D0">
        <w:rPr>
          <w:rFonts w:cs="Calibri"/>
          <w:color w:val="000000"/>
          <w:lang w:eastAsia="it-IT"/>
        </w:rPr>
        <w:t xml:space="preserve"> </w:t>
      </w:r>
      <w:r w:rsidR="00764B96" w:rsidRPr="00C059D0">
        <w:rPr>
          <w:rFonts w:cs="Calibri"/>
          <w:color w:val="000000"/>
          <w:lang w:eastAsia="it-IT"/>
        </w:rPr>
        <w:t>g</w:t>
      </w:r>
      <w:r w:rsidR="0072704F" w:rsidRPr="00C059D0">
        <w:rPr>
          <w:rFonts w:cs="Calibri"/>
          <w:color w:val="000000"/>
          <w:lang w:eastAsia="it-IT"/>
        </w:rPr>
        <w:t>/15 ml e</w:t>
      </w:r>
      <w:r w:rsidR="00764B96" w:rsidRPr="00C059D0">
        <w:rPr>
          <w:rFonts w:cs="Calibri"/>
          <w:color w:val="000000"/>
          <w:lang w:eastAsia="it-IT"/>
        </w:rPr>
        <w:t xml:space="preserve"> </w:t>
      </w:r>
      <w:r w:rsidRPr="00C059D0">
        <w:rPr>
          <w:rFonts w:cs="Calibri"/>
          <w:color w:val="000000"/>
          <w:lang w:eastAsia="it-IT"/>
        </w:rPr>
        <w:t>12</w:t>
      </w:r>
      <w:r w:rsidR="0072704F" w:rsidRPr="00C059D0">
        <w:rPr>
          <w:rFonts w:cs="Calibri"/>
          <w:color w:val="000000"/>
          <w:lang w:eastAsia="it-IT"/>
        </w:rPr>
        <w:t xml:space="preserve"> </w:t>
      </w:r>
      <w:r w:rsidRPr="00C059D0">
        <w:rPr>
          <w:rFonts w:cs="Calibri"/>
          <w:color w:val="000000"/>
          <w:lang w:eastAsia="it-IT"/>
        </w:rPr>
        <w:t>g</w:t>
      </w:r>
      <w:r w:rsidR="00F01AAD" w:rsidRPr="00C059D0">
        <w:rPr>
          <w:rFonts w:cs="Calibri"/>
          <w:color w:val="000000"/>
          <w:lang w:eastAsia="it-IT"/>
        </w:rPr>
        <w:t>/60 ml.</w:t>
      </w:r>
    </w:p>
    <w:p w:rsidR="00406470" w:rsidRPr="00C059D0" w:rsidRDefault="00756B9F" w:rsidP="00C059D0">
      <w:pPr>
        <w:autoSpaceDE w:val="0"/>
        <w:autoSpaceDN w:val="0"/>
        <w:adjustRightInd w:val="0"/>
        <w:spacing w:after="0" w:line="240" w:lineRule="auto"/>
        <w:jc w:val="both"/>
        <w:rPr>
          <w:rFonts w:eastAsia="LiberationSans"/>
        </w:rPr>
      </w:pPr>
      <w:proofErr w:type="spellStart"/>
      <w:r w:rsidRPr="00C059D0">
        <w:rPr>
          <w:rFonts w:cs="Calibri"/>
          <w:color w:val="000000"/>
          <w:lang w:eastAsia="it-IT"/>
        </w:rPr>
        <w:t>Nootropil</w:t>
      </w:r>
      <w:proofErr w:type="spellEnd"/>
      <w:r w:rsidRPr="00C059D0">
        <w:rPr>
          <w:rFonts w:cs="Calibri"/>
          <w:color w:val="000000"/>
          <w:lang w:eastAsia="it-IT"/>
        </w:rPr>
        <w:t xml:space="preserve"> </w:t>
      </w:r>
      <w:r w:rsidR="00406470" w:rsidRPr="00C059D0">
        <w:rPr>
          <w:rFonts w:cs="Calibri"/>
          <w:color w:val="000000"/>
          <w:lang w:eastAsia="it-IT"/>
        </w:rPr>
        <w:t xml:space="preserve"> si usa</w:t>
      </w:r>
      <w:r w:rsidR="00257AF6" w:rsidRPr="00C059D0">
        <w:rPr>
          <w:rFonts w:cs="Calibri"/>
          <w:color w:val="000000"/>
          <w:lang w:eastAsia="it-IT"/>
        </w:rPr>
        <w:t xml:space="preserve"> negli adulti</w:t>
      </w:r>
      <w:r w:rsidR="007840F1" w:rsidRPr="00C059D0">
        <w:rPr>
          <w:rFonts w:cs="Calibri"/>
          <w:color w:val="000000"/>
          <w:lang w:eastAsia="it-IT"/>
        </w:rPr>
        <w:t>, da solo o insieme ad altri farmaci,</w:t>
      </w:r>
      <w:r w:rsidR="00406470" w:rsidRPr="00C059D0">
        <w:rPr>
          <w:rFonts w:cs="Calibri"/>
          <w:color w:val="000000"/>
          <w:lang w:eastAsia="it-IT"/>
        </w:rPr>
        <w:t xml:space="preserve"> </w:t>
      </w:r>
      <w:r w:rsidR="0014600B" w:rsidRPr="00C059D0">
        <w:rPr>
          <w:rFonts w:cs="Calibri"/>
          <w:color w:val="000000"/>
          <w:lang w:eastAsia="it-IT"/>
        </w:rPr>
        <w:t>nel trattamen</w:t>
      </w:r>
      <w:r w:rsidR="007840F1" w:rsidRPr="00C059D0">
        <w:rPr>
          <w:rFonts w:cs="Calibri"/>
          <w:color w:val="000000"/>
          <w:lang w:eastAsia="it-IT"/>
        </w:rPr>
        <w:t xml:space="preserve">to del </w:t>
      </w:r>
      <w:proofErr w:type="spellStart"/>
      <w:r w:rsidR="007840F1" w:rsidRPr="00C059D0">
        <w:rPr>
          <w:rFonts w:cs="Calibri"/>
          <w:color w:val="000000"/>
          <w:lang w:eastAsia="it-IT"/>
        </w:rPr>
        <w:t>mioclono</w:t>
      </w:r>
      <w:proofErr w:type="spellEnd"/>
      <w:r w:rsidR="007840F1" w:rsidRPr="00C059D0">
        <w:rPr>
          <w:rFonts w:cs="Calibri"/>
          <w:color w:val="000000"/>
          <w:lang w:eastAsia="it-IT"/>
        </w:rPr>
        <w:t xml:space="preserve"> corticale che è </w:t>
      </w:r>
      <w:r w:rsidR="0014600B" w:rsidRPr="00C059D0">
        <w:rPr>
          <w:rFonts w:cs="Calibri"/>
          <w:color w:val="000000"/>
          <w:lang w:eastAsia="it-IT"/>
        </w:rPr>
        <w:t>una condizione in cui i muscoli, soprattutto delle braccia e delle gambe, iniziano a contrarsi a scatto e in modo incontrollabile.</w:t>
      </w:r>
    </w:p>
    <w:p w:rsidR="00107A21" w:rsidRPr="00C059D0" w:rsidRDefault="00107A2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7840F1" w:rsidRPr="00C059D0" w:rsidRDefault="007840F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C059D0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56B9F" w:rsidRPr="00C059D0">
        <w:rPr>
          <w:rFonts w:cs="Calibri"/>
          <w:b/>
          <w:color w:val="000000"/>
          <w:lang w:eastAsia="it-IT"/>
        </w:rPr>
        <w:t>Nootropil</w:t>
      </w:r>
      <w:proofErr w:type="spellEnd"/>
      <w:r w:rsidR="00756B9F" w:rsidRPr="00C059D0">
        <w:rPr>
          <w:rFonts w:cs="Calibri"/>
          <w:b/>
          <w:color w:val="000000"/>
          <w:lang w:eastAsia="it-IT"/>
        </w:rPr>
        <w:t xml:space="preserve"> </w:t>
      </w:r>
      <w:r w:rsidRPr="00C059D0">
        <w:rPr>
          <w:rFonts w:cs="Calibri"/>
          <w:b/>
          <w:bCs/>
          <w:color w:val="000000"/>
          <w:lang w:eastAsia="it-IT"/>
        </w:rPr>
        <w:t>?</w:t>
      </w:r>
    </w:p>
    <w:p w:rsidR="00372296" w:rsidRDefault="00764B96" w:rsidP="00372296">
      <w:pPr>
        <w:tabs>
          <w:tab w:val="left" w:pos="4536"/>
        </w:tabs>
        <w:spacing w:after="0" w:line="240" w:lineRule="auto"/>
        <w:jc w:val="both"/>
        <w:rPr>
          <w:iCs/>
        </w:rPr>
      </w:pPr>
      <w:proofErr w:type="spellStart"/>
      <w:r w:rsidRPr="00C059D0">
        <w:rPr>
          <w:rFonts w:cs="Calibri"/>
          <w:color w:val="000000"/>
          <w:lang w:eastAsia="it-IT"/>
        </w:rPr>
        <w:t>Nootropil</w:t>
      </w:r>
      <w:proofErr w:type="spellEnd"/>
      <w:r w:rsidRPr="00C059D0">
        <w:rPr>
          <w:rFonts w:cs="Calibri"/>
          <w:color w:val="000000"/>
          <w:lang w:eastAsia="it-IT"/>
        </w:rPr>
        <w:t xml:space="preserve"> in compresse e soluzione orale</w:t>
      </w:r>
      <w:r w:rsidR="00F01AAD" w:rsidRPr="00C059D0">
        <w:rPr>
          <w:rFonts w:cs="Calibri"/>
          <w:color w:val="000000"/>
          <w:lang w:eastAsia="it-IT"/>
        </w:rPr>
        <w:t xml:space="preserve"> e iniettabile per uso endovenoso</w:t>
      </w:r>
      <w:r w:rsidRPr="00C059D0">
        <w:rPr>
          <w:rFonts w:cs="Calibri"/>
          <w:color w:val="000000"/>
          <w:lang w:eastAsia="it-IT"/>
        </w:rPr>
        <w:t xml:space="preserve"> </w:t>
      </w:r>
      <w:r w:rsidR="00666CCE" w:rsidRPr="00C059D0">
        <w:rPr>
          <w:iCs/>
        </w:rPr>
        <w:t xml:space="preserve"> </w:t>
      </w:r>
      <w:r w:rsidR="00047C53" w:rsidRPr="00C059D0">
        <w:rPr>
          <w:iCs/>
        </w:rPr>
        <w:t xml:space="preserve">può essere ottenuto solo dietro prescrizione da parte </w:t>
      </w:r>
      <w:r w:rsidRPr="00C059D0">
        <w:rPr>
          <w:iCs/>
        </w:rPr>
        <w:t xml:space="preserve">del medico (ricetta ripetibile), la soluzione per infusione </w:t>
      </w:r>
      <w:r w:rsidR="00F01AAD" w:rsidRPr="00C059D0">
        <w:rPr>
          <w:rFonts w:cs="Calibri"/>
          <w:color w:val="000000"/>
          <w:lang w:eastAsia="it-IT"/>
        </w:rPr>
        <w:t>è per uso esclusivo negli ospedali e nelle strutture ad essi assimilate, come le case di cura</w:t>
      </w:r>
      <w:r w:rsidR="00F01AAD" w:rsidRPr="00C059D0">
        <w:rPr>
          <w:iCs/>
        </w:rPr>
        <w:t>.</w:t>
      </w:r>
      <w:r w:rsidR="00F37595">
        <w:rPr>
          <w:iCs/>
        </w:rPr>
        <w:t xml:space="preserve"> </w:t>
      </w:r>
    </w:p>
    <w:p w:rsidR="00372296" w:rsidRDefault="009B4A9E" w:rsidP="00372296">
      <w:pPr>
        <w:tabs>
          <w:tab w:val="left" w:pos="4536"/>
        </w:tabs>
        <w:spacing w:after="0" w:line="240" w:lineRule="auto"/>
        <w:jc w:val="both"/>
        <w:rPr>
          <w:iCs/>
        </w:rPr>
      </w:pPr>
      <w:r w:rsidRPr="00C059D0">
        <w:rPr>
          <w:iCs/>
        </w:rPr>
        <w:t>La dose</w:t>
      </w:r>
      <w:r w:rsidR="007840F1" w:rsidRPr="00C059D0">
        <w:rPr>
          <w:iCs/>
        </w:rPr>
        <w:t xml:space="preserve"> giornaliera</w:t>
      </w:r>
      <w:r w:rsidRPr="00C059D0">
        <w:rPr>
          <w:iCs/>
        </w:rPr>
        <w:t xml:space="preserve"> iniziale raccomandata</w:t>
      </w:r>
      <w:r w:rsidR="00C059D0" w:rsidRPr="00C059D0">
        <w:rPr>
          <w:iCs/>
        </w:rPr>
        <w:t xml:space="preserve"> per la terapia orale</w:t>
      </w:r>
      <w:r w:rsidRPr="00C059D0">
        <w:rPr>
          <w:iCs/>
        </w:rPr>
        <w:t xml:space="preserve"> è di 7,2 g, suddivisa in due o tre somministrazioni</w:t>
      </w:r>
      <w:r w:rsidR="007840F1" w:rsidRPr="00C059D0">
        <w:rPr>
          <w:iCs/>
        </w:rPr>
        <w:t xml:space="preserve">. Il medico potrà aumentare la dose, in relazione alle condizioni del paziente, </w:t>
      </w:r>
      <w:r w:rsidRPr="00C059D0">
        <w:rPr>
          <w:iCs/>
        </w:rPr>
        <w:t>di 4,8 g ogni tre o quattro giorni fino ad un massimo di 24 g</w:t>
      </w:r>
      <w:r w:rsidR="007840F1" w:rsidRPr="00C059D0">
        <w:rPr>
          <w:iCs/>
        </w:rPr>
        <w:t xml:space="preserve"> al giorno</w:t>
      </w:r>
      <w:r w:rsidRPr="00C059D0">
        <w:rPr>
          <w:iCs/>
        </w:rPr>
        <w:t>.</w:t>
      </w:r>
    </w:p>
    <w:p w:rsidR="00372296" w:rsidRDefault="00C059D0" w:rsidP="00372296">
      <w:pPr>
        <w:tabs>
          <w:tab w:val="left" w:pos="4536"/>
        </w:tabs>
        <w:spacing w:after="0" w:line="240" w:lineRule="auto"/>
        <w:jc w:val="both"/>
      </w:pPr>
      <w:r w:rsidRPr="00C059D0">
        <w:t>Quando la somministrazione parenterale si rende necessaria</w:t>
      </w:r>
      <w:r w:rsidR="00234FF7">
        <w:t>,</w:t>
      </w:r>
      <w:r w:rsidRPr="00C059D0">
        <w:t xml:space="preserve"> ad esempio in caso di difficoltà di deglutizione o stato di incoscienza del paziente, può essere utilizzata, </w:t>
      </w:r>
      <w:r>
        <w:t xml:space="preserve">unicamente </w:t>
      </w:r>
      <w:r w:rsidRPr="00C059D0">
        <w:t xml:space="preserve">da personale sanitario, la soluzione </w:t>
      </w:r>
      <w:r w:rsidRPr="00C059D0">
        <w:lastRenderedPageBreak/>
        <w:t>iniettabile per via endovenosa o la soluzione per infusione alla stessa dose giornaliera raccomandata per la terapia orale.</w:t>
      </w:r>
    </w:p>
    <w:p w:rsidR="00372296" w:rsidRDefault="007840F1" w:rsidP="00372296">
      <w:pPr>
        <w:tabs>
          <w:tab w:val="left" w:pos="4536"/>
        </w:tabs>
        <w:spacing w:after="0" w:line="240" w:lineRule="auto"/>
        <w:jc w:val="both"/>
        <w:rPr>
          <w:iCs/>
        </w:rPr>
      </w:pPr>
      <w:r w:rsidRPr="00C059D0">
        <w:rPr>
          <w:iCs/>
        </w:rPr>
        <w:t>Queste dosi possono essere diminuite per i pazienti con problemi renali.</w:t>
      </w:r>
    </w:p>
    <w:p w:rsidR="00372296" w:rsidRDefault="007840F1" w:rsidP="00372296">
      <w:pPr>
        <w:tabs>
          <w:tab w:val="left" w:pos="4536"/>
        </w:tabs>
        <w:spacing w:after="0" w:line="240" w:lineRule="auto"/>
        <w:jc w:val="both"/>
        <w:rPr>
          <w:iCs/>
        </w:rPr>
      </w:pPr>
      <w:r w:rsidRPr="00C059D0">
        <w:rPr>
          <w:iCs/>
        </w:rPr>
        <w:t xml:space="preserve">Questo medicinale non è raccomandato nella popolazione pediatrica in quanto non sono disponibili dati </w:t>
      </w:r>
      <w:r w:rsidRPr="00372296">
        <w:rPr>
          <w:iCs/>
        </w:rPr>
        <w:t>sull’uso in questa fascia di età.</w:t>
      </w:r>
    </w:p>
    <w:p w:rsidR="00372296" w:rsidRDefault="00F01AAD" w:rsidP="00372296">
      <w:pPr>
        <w:tabs>
          <w:tab w:val="left" w:pos="4536"/>
        </w:tabs>
        <w:spacing w:after="0" w:line="240" w:lineRule="auto"/>
        <w:jc w:val="both"/>
        <w:rPr>
          <w:iCs/>
        </w:rPr>
      </w:pPr>
      <w:r w:rsidRPr="00372296">
        <w:t>Le compresse devono essere inghiottite con del liquido</w:t>
      </w:r>
      <w:r w:rsidR="00F37595" w:rsidRPr="00372296">
        <w:t xml:space="preserve"> e</w:t>
      </w:r>
      <w:r w:rsidRPr="00372296">
        <w:t xml:space="preserve"> la soluzione orale</w:t>
      </w:r>
      <w:r w:rsidR="00C059D0" w:rsidRPr="00372296">
        <w:t xml:space="preserve"> contenuta nella fiala può essere assunta direttamente. </w:t>
      </w:r>
      <w:r w:rsidR="00F37595" w:rsidRPr="00372296">
        <w:t>La somministrazione può avvenire indipendentemente dai pasti.</w:t>
      </w:r>
    </w:p>
    <w:p w:rsidR="00372296" w:rsidRPr="00372296" w:rsidRDefault="00372296" w:rsidP="00372296">
      <w:pPr>
        <w:tabs>
          <w:tab w:val="left" w:pos="4536"/>
        </w:tabs>
        <w:spacing w:after="0" w:line="240" w:lineRule="auto"/>
        <w:jc w:val="both"/>
      </w:pPr>
      <w:r w:rsidRPr="00372296">
        <w:t>La soluzione iniettabile in fiale deve essere somministrata per via endovenosa tramite iniezione della durata di diversi minuti.</w:t>
      </w:r>
      <w:r>
        <w:t xml:space="preserve"> </w:t>
      </w:r>
      <w:r w:rsidRPr="00372296">
        <w:t>La soluzione per infusione deve essere somministrata in continuo, alla dose giornaliera raccomandata, nell’arco di un periodo di 24 ore.</w:t>
      </w:r>
    </w:p>
    <w:p w:rsidR="007840F1" w:rsidRPr="00372296" w:rsidRDefault="007840F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7840F1" w:rsidRPr="00372296" w:rsidRDefault="007840F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C059D0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56B9F" w:rsidRPr="00C059D0">
        <w:rPr>
          <w:rFonts w:cs="Calibri"/>
          <w:b/>
          <w:color w:val="000000"/>
          <w:lang w:eastAsia="it-IT"/>
        </w:rPr>
        <w:t>Nootropil</w:t>
      </w:r>
      <w:proofErr w:type="spellEnd"/>
      <w:r w:rsidR="00756B9F" w:rsidRPr="00C059D0">
        <w:rPr>
          <w:rFonts w:cs="Calibri"/>
          <w:b/>
          <w:color w:val="000000"/>
          <w:lang w:eastAsia="it-IT"/>
        </w:rPr>
        <w:t xml:space="preserve"> </w:t>
      </w:r>
      <w:r w:rsidRPr="00C059D0">
        <w:rPr>
          <w:rFonts w:cs="Calibri"/>
          <w:b/>
          <w:bCs/>
          <w:color w:val="000000"/>
          <w:lang w:eastAsia="it-IT"/>
        </w:rPr>
        <w:t xml:space="preserve">? </w:t>
      </w:r>
    </w:p>
    <w:p w:rsidR="009B4A9E" w:rsidRPr="00C059D0" w:rsidRDefault="00756B9F" w:rsidP="00C059D0">
      <w:pPr>
        <w:suppressAutoHyphens/>
        <w:spacing w:after="0" w:line="240" w:lineRule="auto"/>
        <w:jc w:val="both"/>
        <w:rPr>
          <w:rFonts w:cs="Arial"/>
          <w:noProof/>
        </w:rPr>
      </w:pPr>
      <w:proofErr w:type="spellStart"/>
      <w:r w:rsidRPr="00C059D0">
        <w:rPr>
          <w:rFonts w:cs="Calibri"/>
          <w:color w:val="000000"/>
          <w:lang w:eastAsia="it-IT"/>
        </w:rPr>
        <w:t>Nootropil</w:t>
      </w:r>
      <w:proofErr w:type="spellEnd"/>
      <w:r w:rsidRPr="00C059D0">
        <w:rPr>
          <w:rFonts w:cs="Calibri"/>
          <w:color w:val="000000"/>
          <w:lang w:eastAsia="it-IT"/>
        </w:rPr>
        <w:t xml:space="preserve"> </w:t>
      </w:r>
      <w:r w:rsidR="007840F1" w:rsidRPr="00C059D0">
        <w:rPr>
          <w:rFonts w:cs="Calibri"/>
          <w:color w:val="000000"/>
          <w:lang w:eastAsia="it-IT"/>
        </w:rPr>
        <w:t>,</w:t>
      </w:r>
      <w:r w:rsidR="007840F1" w:rsidRPr="00C059D0">
        <w:rPr>
          <w:rFonts w:cs="Calibri"/>
        </w:rPr>
        <w:t xml:space="preserve"> il cui codice ATC è </w:t>
      </w:r>
      <w:r w:rsidR="007840F1" w:rsidRPr="00C059D0">
        <w:rPr>
          <w:szCs w:val="24"/>
        </w:rPr>
        <w:t>N06BX03</w:t>
      </w:r>
      <w:r w:rsidR="007840F1" w:rsidRPr="00C059D0">
        <w:rPr>
          <w:rFonts w:cs="Calibri"/>
        </w:rPr>
        <w:t xml:space="preserve">, contiene il principio attivo </w:t>
      </w:r>
      <w:proofErr w:type="spellStart"/>
      <w:r w:rsidR="00764B96" w:rsidRPr="00C059D0">
        <w:rPr>
          <w:rFonts w:cs="Calibri"/>
        </w:rPr>
        <w:t>piracetam</w:t>
      </w:r>
      <w:proofErr w:type="spellEnd"/>
      <w:r w:rsidR="00764B96" w:rsidRPr="00C059D0">
        <w:rPr>
          <w:rFonts w:cs="Calibri"/>
        </w:rPr>
        <w:t xml:space="preserve"> </w:t>
      </w:r>
      <w:r w:rsidR="007840F1" w:rsidRPr="00C059D0">
        <w:rPr>
          <w:rFonts w:cs="Calibri"/>
        </w:rPr>
        <w:t>che</w:t>
      </w:r>
      <w:r w:rsidR="009B4A9E" w:rsidRPr="00C059D0">
        <w:t xml:space="preserve"> appartiene ad un gruppo di farmaci noti come farmaci psicostimolanti e </w:t>
      </w:r>
      <w:proofErr w:type="spellStart"/>
      <w:r w:rsidR="009B4A9E" w:rsidRPr="00C059D0">
        <w:t>nootropi</w:t>
      </w:r>
      <w:proofErr w:type="spellEnd"/>
      <w:r w:rsidR="009B4A9E" w:rsidRPr="00C059D0">
        <w:t>, che agiscono migliorando l'apporto di ossigeno al cervello o stimolando il sistema nervoso</w:t>
      </w:r>
      <w:r w:rsidR="007840F1" w:rsidRPr="00C059D0">
        <w:t>, migliorando anche il funzionamento dei muscoli.</w:t>
      </w:r>
    </w:p>
    <w:p w:rsidR="007840F1" w:rsidRPr="00C059D0" w:rsidRDefault="007840F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7840F1" w:rsidRPr="00C059D0" w:rsidRDefault="007840F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eastAsia="it-IT"/>
        </w:rPr>
      </w:pPr>
      <w:r w:rsidRPr="00C059D0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756B9F" w:rsidRPr="00C059D0">
        <w:rPr>
          <w:rFonts w:cs="Calibri"/>
          <w:b/>
          <w:color w:val="000000"/>
          <w:lang w:eastAsia="it-IT"/>
        </w:rPr>
        <w:t>Nootropil</w:t>
      </w:r>
      <w:proofErr w:type="spellEnd"/>
      <w:r w:rsidR="00756B9F" w:rsidRPr="00C059D0">
        <w:rPr>
          <w:rFonts w:cs="Calibri"/>
          <w:b/>
          <w:color w:val="000000"/>
          <w:lang w:eastAsia="it-IT"/>
        </w:rPr>
        <w:t xml:space="preserve"> </w:t>
      </w:r>
      <w:r w:rsidRPr="00C059D0">
        <w:rPr>
          <w:rFonts w:cs="Calibri"/>
          <w:b/>
          <w:bCs/>
          <w:lang w:eastAsia="it-IT"/>
        </w:rPr>
        <w:t xml:space="preserve">? </w:t>
      </w:r>
    </w:p>
    <w:p w:rsidR="00483D83" w:rsidRPr="00C059D0" w:rsidRDefault="00483D83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C059D0">
        <w:rPr>
          <w:rFonts w:cs="Arial"/>
        </w:rPr>
        <w:t xml:space="preserve">Diversi studi hanno </w:t>
      </w:r>
      <w:r w:rsidR="00C059D0" w:rsidRPr="00C059D0">
        <w:rPr>
          <w:rFonts w:cs="Arial"/>
        </w:rPr>
        <w:t xml:space="preserve">confermato </w:t>
      </w:r>
      <w:r w:rsidRPr="00C059D0">
        <w:rPr>
          <w:rFonts w:cs="Arial"/>
        </w:rPr>
        <w:t xml:space="preserve">il meccanismo di azione del </w:t>
      </w:r>
      <w:proofErr w:type="spellStart"/>
      <w:r w:rsidRPr="00C059D0">
        <w:rPr>
          <w:rFonts w:cs="Arial"/>
        </w:rPr>
        <w:t>piracetam</w:t>
      </w:r>
      <w:proofErr w:type="spellEnd"/>
      <w:r w:rsidRPr="00C059D0">
        <w:rPr>
          <w:rFonts w:cs="Arial"/>
        </w:rPr>
        <w:t xml:space="preserve">: esso </w:t>
      </w:r>
      <w:r w:rsidRPr="00C059D0">
        <w:rPr>
          <w:rFonts w:cs="Calibri"/>
          <w:color w:val="000000"/>
          <w:lang w:eastAsia="it-IT"/>
        </w:rPr>
        <w:t xml:space="preserve">si lega a </w:t>
      </w:r>
      <w:r w:rsidR="00C059D0" w:rsidRPr="00C059D0">
        <w:rPr>
          <w:rFonts w:cs="Calibri"/>
          <w:color w:val="000000"/>
          <w:lang w:eastAsia="it-IT"/>
        </w:rPr>
        <w:t xml:space="preserve">strutture </w:t>
      </w:r>
      <w:r w:rsidRPr="00C059D0">
        <w:rPr>
          <w:rFonts w:cs="Calibri"/>
          <w:color w:val="000000"/>
          <w:lang w:eastAsia="it-IT"/>
        </w:rPr>
        <w:t>delle membrane cellulari, aumentandone la stabilità</w:t>
      </w:r>
      <w:r w:rsidR="00C059D0" w:rsidRPr="00C059D0">
        <w:rPr>
          <w:rFonts w:cs="Calibri"/>
          <w:color w:val="000000"/>
          <w:lang w:eastAsia="it-IT"/>
        </w:rPr>
        <w:t>. In questo modo</w:t>
      </w:r>
      <w:r w:rsidRPr="00C059D0">
        <w:rPr>
          <w:rFonts w:cs="Calibri"/>
          <w:color w:val="000000"/>
          <w:lang w:eastAsia="it-IT"/>
        </w:rPr>
        <w:t xml:space="preserve">, il </w:t>
      </w:r>
      <w:proofErr w:type="spellStart"/>
      <w:r w:rsidRPr="00C059D0">
        <w:rPr>
          <w:rFonts w:cs="Calibri"/>
          <w:color w:val="000000"/>
          <w:lang w:eastAsia="it-IT"/>
        </w:rPr>
        <w:t>piracetam</w:t>
      </w:r>
      <w:proofErr w:type="spellEnd"/>
      <w:r w:rsidRPr="00C059D0">
        <w:rPr>
          <w:rFonts w:cs="Calibri"/>
          <w:color w:val="000000"/>
          <w:lang w:eastAsia="it-IT"/>
        </w:rPr>
        <w:t xml:space="preserve"> intensifica </w:t>
      </w:r>
      <w:r w:rsidR="00C059D0" w:rsidRPr="00C059D0">
        <w:rPr>
          <w:rFonts w:cs="Calibri"/>
          <w:color w:val="000000"/>
          <w:lang w:eastAsia="it-IT"/>
        </w:rPr>
        <w:t>le connessioni a livello cerebrale</w:t>
      </w:r>
      <w:r w:rsidRPr="00C059D0">
        <w:rPr>
          <w:rFonts w:cs="Calibri"/>
          <w:color w:val="000000"/>
          <w:lang w:eastAsia="it-IT"/>
        </w:rPr>
        <w:t>, protegge</w:t>
      </w:r>
      <w:r w:rsidR="00C059D0" w:rsidRPr="00C059D0">
        <w:rPr>
          <w:rFonts w:cs="Calibri"/>
          <w:color w:val="000000"/>
          <w:lang w:eastAsia="it-IT"/>
        </w:rPr>
        <w:t>ndo</w:t>
      </w:r>
      <w:r w:rsidRPr="00C059D0">
        <w:rPr>
          <w:rFonts w:cs="Calibri"/>
          <w:color w:val="000000"/>
          <w:lang w:eastAsia="it-IT"/>
        </w:rPr>
        <w:t xml:space="preserve"> e </w:t>
      </w:r>
      <w:r w:rsidR="00C059D0" w:rsidRPr="00C059D0">
        <w:rPr>
          <w:rFonts w:cs="Calibri"/>
          <w:color w:val="000000"/>
          <w:lang w:eastAsia="it-IT"/>
        </w:rPr>
        <w:t xml:space="preserve">ristabilendo </w:t>
      </w:r>
      <w:r w:rsidRPr="00C059D0">
        <w:rPr>
          <w:rFonts w:cs="Calibri"/>
          <w:color w:val="000000"/>
          <w:lang w:eastAsia="it-IT"/>
        </w:rPr>
        <w:t xml:space="preserve">le capacità cognitive </w:t>
      </w:r>
      <w:r w:rsidR="00C059D0" w:rsidRPr="00C059D0">
        <w:rPr>
          <w:rFonts w:cs="Calibri"/>
          <w:color w:val="000000"/>
          <w:lang w:eastAsia="it-IT"/>
        </w:rPr>
        <w:t xml:space="preserve">perdute </w:t>
      </w:r>
      <w:r w:rsidRPr="00C059D0">
        <w:rPr>
          <w:rFonts w:cs="Calibri"/>
          <w:color w:val="000000"/>
          <w:lang w:eastAsia="it-IT"/>
        </w:rPr>
        <w:t>a seguito di traumi cerebrali.</w:t>
      </w:r>
    </w:p>
    <w:p w:rsidR="007840F1" w:rsidRPr="00C059D0" w:rsidRDefault="007840F1" w:rsidP="00C059D0">
      <w:pPr>
        <w:tabs>
          <w:tab w:val="left" w:pos="4536"/>
        </w:tabs>
        <w:spacing w:after="0" w:line="240" w:lineRule="auto"/>
        <w:jc w:val="both"/>
      </w:pPr>
    </w:p>
    <w:p w:rsidR="00C059D0" w:rsidRPr="00C059D0" w:rsidRDefault="00C059D0" w:rsidP="00C059D0">
      <w:pPr>
        <w:tabs>
          <w:tab w:val="left" w:pos="4536"/>
        </w:tabs>
        <w:spacing w:after="0" w:line="240" w:lineRule="auto"/>
        <w:jc w:val="both"/>
      </w:pPr>
    </w:p>
    <w:p w:rsidR="009B56A0" w:rsidRPr="00C059D0" w:rsidRDefault="009B56A0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eastAsia="it-IT"/>
        </w:rPr>
      </w:pPr>
      <w:r w:rsidRPr="00C059D0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="00756B9F" w:rsidRPr="00C059D0">
        <w:rPr>
          <w:rFonts w:cs="Calibri"/>
          <w:b/>
          <w:color w:val="000000"/>
          <w:lang w:eastAsia="it-IT"/>
        </w:rPr>
        <w:t>Nootropil</w:t>
      </w:r>
      <w:proofErr w:type="spellEnd"/>
      <w:r w:rsidR="00756B9F" w:rsidRPr="00C059D0">
        <w:rPr>
          <w:rFonts w:cs="Calibri"/>
          <w:b/>
          <w:color w:val="000000"/>
          <w:lang w:eastAsia="it-IT"/>
        </w:rPr>
        <w:t xml:space="preserve"> </w:t>
      </w:r>
      <w:r w:rsidRPr="00C059D0">
        <w:rPr>
          <w:rFonts w:cs="Calibri"/>
          <w:b/>
          <w:lang w:eastAsia="it-IT"/>
        </w:rPr>
        <w:t>?</w:t>
      </w:r>
    </w:p>
    <w:p w:rsidR="00C85B71" w:rsidRPr="00C059D0" w:rsidRDefault="00C85B71" w:rsidP="00C059D0">
      <w:pPr>
        <w:pStyle w:val="Rientrocorpodeltesto"/>
        <w:spacing w:after="0" w:line="240" w:lineRule="auto"/>
        <w:ind w:left="0"/>
        <w:jc w:val="both"/>
      </w:pPr>
      <w:r w:rsidRPr="00C059D0">
        <w:t xml:space="preserve">Gli effetti indesiderati più comuni associati all’uso di </w:t>
      </w:r>
      <w:proofErr w:type="spellStart"/>
      <w:r w:rsidR="00483D83" w:rsidRPr="00C059D0">
        <w:t>Nootropil</w:t>
      </w:r>
      <w:proofErr w:type="spellEnd"/>
      <w:r w:rsidRPr="00C059D0">
        <w:t xml:space="preserve"> sono: </w:t>
      </w:r>
      <w:r w:rsidR="00483D83" w:rsidRPr="00C059D0">
        <w:t>nervosismo, agitazione</w:t>
      </w:r>
      <w:r w:rsidR="00576713" w:rsidRPr="00C059D0">
        <w:t xml:space="preserve"> motoria</w:t>
      </w:r>
      <w:r w:rsidR="00483D83" w:rsidRPr="00C059D0">
        <w:t xml:space="preserve"> (ipercinesia), e aumento del peso.</w:t>
      </w:r>
    </w:p>
    <w:p w:rsidR="00C85B71" w:rsidRPr="00C059D0" w:rsidRDefault="00C85B7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C059D0">
        <w:rPr>
          <w:rFonts w:cs="Calibri"/>
        </w:rPr>
        <w:t xml:space="preserve">Per l’elenco completo degli effetti indesiderati rilevati con </w:t>
      </w:r>
      <w:proofErr w:type="spellStart"/>
      <w:r w:rsidR="00576713" w:rsidRPr="00C059D0">
        <w:rPr>
          <w:rFonts w:cs="Calibri"/>
        </w:rPr>
        <w:t>Nootropil</w:t>
      </w:r>
      <w:proofErr w:type="spellEnd"/>
      <w:r w:rsidRPr="00C059D0">
        <w:rPr>
          <w:rFonts w:cs="Calibri"/>
        </w:rPr>
        <w:t xml:space="preserve"> si rimanda al foglio illustrativo.</w:t>
      </w:r>
    </w:p>
    <w:p w:rsidR="009B56A0" w:rsidRPr="00C059D0" w:rsidRDefault="009B56A0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257AF6" w:rsidRPr="00C059D0" w:rsidRDefault="00257AF6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eastAsia="it-IT"/>
        </w:rPr>
      </w:pPr>
      <w:r w:rsidRPr="00C059D0">
        <w:rPr>
          <w:rFonts w:cs="Calibri"/>
          <w:b/>
          <w:bCs/>
          <w:lang w:eastAsia="it-IT"/>
        </w:rPr>
        <w:t xml:space="preserve">6) PERCHE’ </w:t>
      </w:r>
      <w:proofErr w:type="spellStart"/>
      <w:r w:rsidR="00756B9F" w:rsidRPr="00C059D0">
        <w:rPr>
          <w:rFonts w:cs="Calibri"/>
          <w:b/>
          <w:color w:val="000000"/>
          <w:lang w:eastAsia="it-IT"/>
        </w:rPr>
        <w:t>Nootropil</w:t>
      </w:r>
      <w:proofErr w:type="spellEnd"/>
      <w:r w:rsidR="00756B9F" w:rsidRPr="00C059D0">
        <w:rPr>
          <w:rFonts w:cs="Calibri"/>
          <w:b/>
          <w:color w:val="000000"/>
          <w:lang w:eastAsia="it-IT"/>
        </w:rPr>
        <w:t xml:space="preserve"> </w:t>
      </w:r>
      <w:r w:rsidR="009B56A0" w:rsidRPr="00C059D0">
        <w:rPr>
          <w:rFonts w:cs="Calibri"/>
          <w:b/>
          <w:bCs/>
          <w:color w:val="000000"/>
          <w:lang w:eastAsia="it-IT"/>
        </w:rPr>
        <w:t xml:space="preserve"> </w:t>
      </w:r>
      <w:r w:rsidRPr="00C059D0">
        <w:rPr>
          <w:rFonts w:cs="Calibri"/>
          <w:b/>
          <w:bCs/>
          <w:lang w:eastAsia="it-IT"/>
        </w:rPr>
        <w:t xml:space="preserve">E’ STATO APPROVATO? </w:t>
      </w:r>
    </w:p>
    <w:p w:rsidR="00C85B71" w:rsidRPr="00C059D0" w:rsidRDefault="00C85B7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C059D0">
        <w:rPr>
          <w:rFonts w:cs="Calibri"/>
        </w:rPr>
        <w:t xml:space="preserve">La Commissione Unica del Farmaco (CUF) ha concluso che, conformemente ai requisiti della normativa vigente, i benefici di </w:t>
      </w:r>
      <w:proofErr w:type="spellStart"/>
      <w:r w:rsidRPr="00C059D0">
        <w:rPr>
          <w:rFonts w:cs="Calibri"/>
        </w:rPr>
        <w:t>Nootropil</w:t>
      </w:r>
      <w:proofErr w:type="spellEnd"/>
      <w:r w:rsidRPr="00C059D0">
        <w:rPr>
          <w:rFonts w:cs="Calibri"/>
        </w:rPr>
        <w:t xml:space="preserve"> sono superiori ai rischi individuati. La CUF ha, inoltre, definito le modalità di prescrizione di cui al punto 2) di questo Riassunto e la classe di rimborsabilità del medicinale (C).</w:t>
      </w:r>
    </w:p>
    <w:p w:rsidR="00C85B71" w:rsidRPr="00C059D0" w:rsidRDefault="00C85B7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257AF6" w:rsidRPr="00C059D0" w:rsidRDefault="00257AF6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eastAsia="it-IT"/>
        </w:rPr>
      </w:pPr>
      <w:r w:rsidRPr="00C059D0">
        <w:rPr>
          <w:rFonts w:cs="Calibri"/>
          <w:b/>
          <w:bCs/>
          <w:lang w:eastAsia="it-IT"/>
        </w:rPr>
        <w:t xml:space="preserve">7) QUALI MISURE SONO STATE PRESE PER ASSICURARE LA SICUREZZA E L’EFFICACIA NELL’USO DI </w:t>
      </w:r>
      <w:proofErr w:type="spellStart"/>
      <w:r w:rsidR="00756B9F" w:rsidRPr="00C059D0">
        <w:rPr>
          <w:rFonts w:cs="Calibri"/>
          <w:b/>
          <w:color w:val="000000"/>
          <w:lang w:eastAsia="it-IT"/>
        </w:rPr>
        <w:t>Nootropil</w:t>
      </w:r>
      <w:proofErr w:type="spellEnd"/>
      <w:r w:rsidR="00756B9F" w:rsidRPr="00C059D0">
        <w:rPr>
          <w:rFonts w:cs="Calibri"/>
          <w:b/>
          <w:color w:val="000000"/>
          <w:lang w:eastAsia="it-IT"/>
        </w:rPr>
        <w:t xml:space="preserve"> </w:t>
      </w:r>
      <w:r w:rsidRPr="00C059D0">
        <w:rPr>
          <w:rFonts w:cs="Calibri"/>
          <w:b/>
          <w:bCs/>
          <w:color w:val="000000"/>
          <w:lang w:eastAsia="it-IT"/>
        </w:rPr>
        <w:t>?</w:t>
      </w:r>
    </w:p>
    <w:p w:rsidR="004241AC" w:rsidRPr="00C059D0" w:rsidRDefault="00C85B71" w:rsidP="00C059D0">
      <w:pPr>
        <w:tabs>
          <w:tab w:val="left" w:pos="4536"/>
        </w:tabs>
        <w:spacing w:after="0" w:line="240" w:lineRule="auto"/>
        <w:jc w:val="both"/>
      </w:pPr>
      <w:r w:rsidRPr="00C059D0">
        <w:rPr>
          <w:rFonts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Pr="00C059D0">
        <w:rPr>
          <w:rFonts w:cs="Calibri"/>
        </w:rPr>
        <w:t>Nootropil</w:t>
      </w:r>
      <w:proofErr w:type="spellEnd"/>
      <w:r w:rsidR="00860CBA">
        <w:rPr>
          <w:rFonts w:cs="Calibri"/>
        </w:rPr>
        <w:t>.</w:t>
      </w:r>
    </w:p>
    <w:p w:rsidR="00257AF6" w:rsidRDefault="00257AF6" w:rsidP="00C059D0">
      <w:pPr>
        <w:tabs>
          <w:tab w:val="left" w:pos="4536"/>
        </w:tabs>
        <w:spacing w:after="0" w:line="240" w:lineRule="auto"/>
        <w:jc w:val="both"/>
      </w:pPr>
    </w:p>
    <w:p w:rsidR="00C059D0" w:rsidRPr="00C059D0" w:rsidRDefault="00C059D0" w:rsidP="00C059D0">
      <w:pPr>
        <w:tabs>
          <w:tab w:val="left" w:pos="4536"/>
        </w:tabs>
        <w:spacing w:after="0" w:line="240" w:lineRule="auto"/>
        <w:jc w:val="both"/>
      </w:pPr>
    </w:p>
    <w:p w:rsidR="004241AC" w:rsidRPr="00C059D0" w:rsidRDefault="004241AC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eastAsia="it-IT"/>
        </w:rPr>
      </w:pPr>
      <w:r w:rsidRPr="00C059D0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756B9F" w:rsidRPr="00C059D0">
        <w:rPr>
          <w:rFonts w:cs="Calibri"/>
          <w:b/>
          <w:color w:val="000000"/>
          <w:lang w:eastAsia="it-IT"/>
        </w:rPr>
        <w:t>Nootropil</w:t>
      </w:r>
      <w:proofErr w:type="spellEnd"/>
      <w:r w:rsidR="00756B9F" w:rsidRPr="00C059D0">
        <w:rPr>
          <w:rFonts w:cs="Calibri"/>
          <w:b/>
          <w:color w:val="000000"/>
          <w:lang w:eastAsia="it-IT"/>
        </w:rPr>
        <w:t xml:space="preserve"> </w:t>
      </w:r>
      <w:r w:rsidR="009B56A0" w:rsidRPr="00C059D0">
        <w:rPr>
          <w:rFonts w:cs="Calibri"/>
          <w:b/>
          <w:lang w:eastAsia="it-IT"/>
        </w:rPr>
        <w:t xml:space="preserve">  </w:t>
      </w:r>
    </w:p>
    <w:p w:rsidR="00C85B71" w:rsidRPr="00C059D0" w:rsidRDefault="00C85B71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</w:rPr>
      </w:pPr>
      <w:r w:rsidRPr="00C059D0">
        <w:rPr>
          <w:rFonts w:cs="Calibri"/>
          <w:bCs/>
          <w:iCs/>
        </w:rPr>
        <w:t xml:space="preserve">Tra il 1984 e il 1985 il Ministero della Sanità ha rilasciato l’autorizzazione all’immissione in commercio delle diverse confezioni di </w:t>
      </w:r>
      <w:proofErr w:type="spellStart"/>
      <w:r w:rsidRPr="00C059D0">
        <w:rPr>
          <w:rFonts w:cs="Calibri"/>
          <w:bCs/>
          <w:color w:val="000000"/>
        </w:rPr>
        <w:t>Nootropil</w:t>
      </w:r>
      <w:proofErr w:type="spellEnd"/>
      <w:r w:rsidRPr="00C059D0">
        <w:rPr>
          <w:rFonts w:cs="Calibri"/>
          <w:bCs/>
          <w:color w:val="000000"/>
        </w:rPr>
        <w:t>.</w:t>
      </w:r>
    </w:p>
    <w:p w:rsidR="009B56A0" w:rsidRPr="00C059D0" w:rsidRDefault="009B56A0" w:rsidP="00C059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C059D0">
        <w:rPr>
          <w:rFonts w:cs="Calibri"/>
          <w:lang w:eastAsia="it-IT"/>
        </w:rPr>
        <w:t>Per maggiori informazioni riguardo il trattamento con</w:t>
      </w:r>
      <w:r w:rsidR="00257AF6" w:rsidRPr="00C059D0">
        <w:rPr>
          <w:rFonts w:cs="Calibri"/>
          <w:lang w:eastAsia="it-IT"/>
        </w:rPr>
        <w:t xml:space="preserve"> </w:t>
      </w:r>
      <w:proofErr w:type="spellStart"/>
      <w:r w:rsidR="00756B9F" w:rsidRPr="00C059D0">
        <w:rPr>
          <w:rFonts w:cs="Calibri"/>
          <w:color w:val="000000"/>
          <w:lang w:eastAsia="it-IT"/>
        </w:rPr>
        <w:t>Nootropil</w:t>
      </w:r>
      <w:proofErr w:type="spellEnd"/>
      <w:r w:rsidR="000E5C87">
        <w:rPr>
          <w:rFonts w:cs="Calibri"/>
          <w:color w:val="000000"/>
          <w:lang w:eastAsia="it-IT"/>
        </w:rPr>
        <w:t xml:space="preserve"> </w:t>
      </w:r>
      <w:r w:rsidRPr="00C059D0">
        <w:rPr>
          <w:rFonts w:cs="Calibri"/>
          <w:lang w:eastAsia="it-IT"/>
        </w:rPr>
        <w:t>si può leggere il foglio illustrativo (</w:t>
      </w:r>
      <w:hyperlink r:id="rId7" w:history="1">
        <w:r w:rsidRPr="00C059D0">
          <w:rPr>
            <w:rStyle w:val="Collegamentoipertestuale"/>
            <w:rFonts w:cs="Calibri"/>
          </w:rPr>
          <w:t>https://farmaci.agenziafarmaco.gov.it/bancadatifarmaci</w:t>
        </w:r>
      </w:hyperlink>
      <w:r w:rsidRPr="00C059D0">
        <w:rPr>
          <w:rFonts w:cs="Calibri"/>
          <w:lang w:eastAsia="it-IT"/>
        </w:rPr>
        <w:t xml:space="preserve">) o contattare il medico o il farmacista. </w:t>
      </w:r>
    </w:p>
    <w:p w:rsidR="009B56A0" w:rsidRPr="00C059D0" w:rsidRDefault="009B56A0" w:rsidP="00C059D0">
      <w:pPr>
        <w:spacing w:after="0" w:line="240" w:lineRule="auto"/>
        <w:jc w:val="both"/>
        <w:rPr>
          <w:rFonts w:cs="Calibri"/>
          <w:lang w:eastAsia="it-IT"/>
        </w:rPr>
      </w:pPr>
    </w:p>
    <w:p w:rsidR="009B56A0" w:rsidRPr="00C059D0" w:rsidRDefault="009B56A0" w:rsidP="00C059D0">
      <w:pPr>
        <w:spacing w:after="0" w:line="240" w:lineRule="auto"/>
        <w:jc w:val="both"/>
        <w:rPr>
          <w:rFonts w:cs="Calibri"/>
          <w:lang w:eastAsia="it-IT"/>
        </w:rPr>
      </w:pPr>
    </w:p>
    <w:p w:rsidR="009B56A0" w:rsidRPr="00C059D0" w:rsidRDefault="009B56A0" w:rsidP="00C059D0">
      <w:pPr>
        <w:spacing w:after="0" w:line="240" w:lineRule="auto"/>
        <w:jc w:val="both"/>
        <w:rPr>
          <w:color w:val="FF0000"/>
        </w:rPr>
      </w:pPr>
      <w:r w:rsidRPr="00C059D0">
        <w:rPr>
          <w:rFonts w:cs="Calibri"/>
          <w:lang w:eastAsia="it-IT"/>
        </w:rPr>
        <w:t xml:space="preserve">Questo riassunto è stato redatto in data </w:t>
      </w:r>
      <w:r w:rsidR="000E5C87">
        <w:rPr>
          <w:rFonts w:cs="Calibri"/>
          <w:lang w:eastAsia="it-IT"/>
        </w:rPr>
        <w:t>30.11.</w:t>
      </w:r>
      <w:r w:rsidR="00C85B71" w:rsidRPr="00C059D0">
        <w:rPr>
          <w:rFonts w:cs="Calibri"/>
          <w:lang w:eastAsia="it-IT"/>
        </w:rPr>
        <w:t>2016</w:t>
      </w:r>
    </w:p>
    <w:sectPr w:rsidR="009B56A0" w:rsidRPr="00C059D0" w:rsidSect="005577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B82"/>
    <w:multiLevelType w:val="hybridMultilevel"/>
    <w:tmpl w:val="05D2B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E3018"/>
    <w:multiLevelType w:val="hybridMultilevel"/>
    <w:tmpl w:val="791ED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762CA"/>
    <w:multiLevelType w:val="hybridMultilevel"/>
    <w:tmpl w:val="E7CAB4CE"/>
    <w:lvl w:ilvl="0" w:tplc="DEAE7CF8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E0AF7"/>
    <w:multiLevelType w:val="hybridMultilevel"/>
    <w:tmpl w:val="9D10E2CC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1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D467C1"/>
    <w:multiLevelType w:val="hybridMultilevel"/>
    <w:tmpl w:val="269C7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5">
    <w:nsid w:val="69C6269A"/>
    <w:multiLevelType w:val="hybridMultilevel"/>
    <w:tmpl w:val="261C8AAA"/>
    <w:lvl w:ilvl="0" w:tplc="697644D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47C5E"/>
    <w:multiLevelType w:val="hybridMultilevel"/>
    <w:tmpl w:val="2AE4D750"/>
    <w:lvl w:ilvl="0" w:tplc="4674438A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7"/>
  </w:num>
  <w:num w:numId="4">
    <w:abstractNumId w:val="9"/>
  </w:num>
  <w:num w:numId="5">
    <w:abstractNumId w:val="2"/>
  </w:num>
  <w:num w:numId="6">
    <w:abstractNumId w:val="11"/>
  </w:num>
  <w:num w:numId="7">
    <w:abstractNumId w:val="14"/>
  </w:num>
  <w:num w:numId="8">
    <w:abstractNumId w:val="19"/>
  </w:num>
  <w:num w:numId="9">
    <w:abstractNumId w:val="1"/>
  </w:num>
  <w:num w:numId="10">
    <w:abstractNumId w:val="13"/>
  </w:num>
  <w:num w:numId="11">
    <w:abstractNumId w:val="7"/>
  </w:num>
  <w:num w:numId="12">
    <w:abstractNumId w:val="0"/>
  </w:num>
  <w:num w:numId="13">
    <w:abstractNumId w:val="12"/>
  </w:num>
  <w:num w:numId="14">
    <w:abstractNumId w:val="10"/>
  </w:num>
  <w:num w:numId="15">
    <w:abstractNumId w:val="3"/>
  </w:num>
  <w:num w:numId="16">
    <w:abstractNumId w:val="4"/>
  </w:num>
  <w:num w:numId="17">
    <w:abstractNumId w:val="8"/>
  </w:num>
  <w:num w:numId="18">
    <w:abstractNumId w:val="15"/>
  </w:num>
  <w:num w:numId="19">
    <w:abstractNumId w:val="5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62ADC"/>
    <w:rsid w:val="0007671F"/>
    <w:rsid w:val="00077016"/>
    <w:rsid w:val="0009132E"/>
    <w:rsid w:val="00095DFE"/>
    <w:rsid w:val="000A1325"/>
    <w:rsid w:val="000A19E4"/>
    <w:rsid w:val="000A7D12"/>
    <w:rsid w:val="000B04DD"/>
    <w:rsid w:val="000B795C"/>
    <w:rsid w:val="000D6232"/>
    <w:rsid w:val="000E0632"/>
    <w:rsid w:val="000E5C87"/>
    <w:rsid w:val="000E5FDE"/>
    <w:rsid w:val="000F7C65"/>
    <w:rsid w:val="00107A21"/>
    <w:rsid w:val="00111E9E"/>
    <w:rsid w:val="0011250C"/>
    <w:rsid w:val="0012416F"/>
    <w:rsid w:val="00124F5C"/>
    <w:rsid w:val="00125C27"/>
    <w:rsid w:val="00131D9E"/>
    <w:rsid w:val="0014600B"/>
    <w:rsid w:val="00180C71"/>
    <w:rsid w:val="00185307"/>
    <w:rsid w:val="001B5C75"/>
    <w:rsid w:val="001F5F03"/>
    <w:rsid w:val="00234FF7"/>
    <w:rsid w:val="0024379D"/>
    <w:rsid w:val="002461BF"/>
    <w:rsid w:val="00246D26"/>
    <w:rsid w:val="002508C3"/>
    <w:rsid w:val="0025740A"/>
    <w:rsid w:val="00257AF6"/>
    <w:rsid w:val="00294C54"/>
    <w:rsid w:val="002B1B90"/>
    <w:rsid w:val="002D662B"/>
    <w:rsid w:val="002D6744"/>
    <w:rsid w:val="002F223F"/>
    <w:rsid w:val="00312B32"/>
    <w:rsid w:val="00312F8A"/>
    <w:rsid w:val="00330172"/>
    <w:rsid w:val="00330884"/>
    <w:rsid w:val="00332B3C"/>
    <w:rsid w:val="00333FB9"/>
    <w:rsid w:val="00334AE5"/>
    <w:rsid w:val="00334BF9"/>
    <w:rsid w:val="00335A6C"/>
    <w:rsid w:val="0034519B"/>
    <w:rsid w:val="00372296"/>
    <w:rsid w:val="00387484"/>
    <w:rsid w:val="00396DE9"/>
    <w:rsid w:val="003A2DD8"/>
    <w:rsid w:val="003E778C"/>
    <w:rsid w:val="003F1374"/>
    <w:rsid w:val="00406470"/>
    <w:rsid w:val="004241AC"/>
    <w:rsid w:val="004255B3"/>
    <w:rsid w:val="00440AB4"/>
    <w:rsid w:val="00444335"/>
    <w:rsid w:val="00452364"/>
    <w:rsid w:val="00457428"/>
    <w:rsid w:val="00461D2C"/>
    <w:rsid w:val="00465C95"/>
    <w:rsid w:val="00483D83"/>
    <w:rsid w:val="004919D5"/>
    <w:rsid w:val="004968DE"/>
    <w:rsid w:val="004A1685"/>
    <w:rsid w:val="004B20A8"/>
    <w:rsid w:val="004C3EC8"/>
    <w:rsid w:val="004C5BE6"/>
    <w:rsid w:val="004D5A60"/>
    <w:rsid w:val="004E3915"/>
    <w:rsid w:val="004E4927"/>
    <w:rsid w:val="004E6E04"/>
    <w:rsid w:val="005178EA"/>
    <w:rsid w:val="005333AC"/>
    <w:rsid w:val="00554400"/>
    <w:rsid w:val="005577C0"/>
    <w:rsid w:val="005656F8"/>
    <w:rsid w:val="005717FD"/>
    <w:rsid w:val="00576713"/>
    <w:rsid w:val="005B0F78"/>
    <w:rsid w:val="005C0508"/>
    <w:rsid w:val="005E762D"/>
    <w:rsid w:val="005F0BD7"/>
    <w:rsid w:val="00601567"/>
    <w:rsid w:val="00603F0D"/>
    <w:rsid w:val="00603F36"/>
    <w:rsid w:val="00604BE1"/>
    <w:rsid w:val="006073DE"/>
    <w:rsid w:val="00641F44"/>
    <w:rsid w:val="00644F5E"/>
    <w:rsid w:val="00657E62"/>
    <w:rsid w:val="00666CCE"/>
    <w:rsid w:val="00691B5A"/>
    <w:rsid w:val="006A22A9"/>
    <w:rsid w:val="006A24C8"/>
    <w:rsid w:val="006A5FD9"/>
    <w:rsid w:val="006C22A2"/>
    <w:rsid w:val="006C7F9F"/>
    <w:rsid w:val="006E2D0E"/>
    <w:rsid w:val="006F3638"/>
    <w:rsid w:val="0070219B"/>
    <w:rsid w:val="00714FAF"/>
    <w:rsid w:val="00720935"/>
    <w:rsid w:val="0072704F"/>
    <w:rsid w:val="00730F97"/>
    <w:rsid w:val="0074402F"/>
    <w:rsid w:val="00744FDD"/>
    <w:rsid w:val="0074602D"/>
    <w:rsid w:val="0075230D"/>
    <w:rsid w:val="00756B9F"/>
    <w:rsid w:val="00764B96"/>
    <w:rsid w:val="00772797"/>
    <w:rsid w:val="007840F1"/>
    <w:rsid w:val="00795801"/>
    <w:rsid w:val="007A04C8"/>
    <w:rsid w:val="007A06F4"/>
    <w:rsid w:val="007A48AF"/>
    <w:rsid w:val="007E4CC5"/>
    <w:rsid w:val="00804763"/>
    <w:rsid w:val="00822C0C"/>
    <w:rsid w:val="00833209"/>
    <w:rsid w:val="00834AD2"/>
    <w:rsid w:val="00847C2D"/>
    <w:rsid w:val="00851AF6"/>
    <w:rsid w:val="00860CBA"/>
    <w:rsid w:val="00874733"/>
    <w:rsid w:val="00876ED0"/>
    <w:rsid w:val="008941F0"/>
    <w:rsid w:val="00894C52"/>
    <w:rsid w:val="00897CAF"/>
    <w:rsid w:val="008C0FF2"/>
    <w:rsid w:val="008D0706"/>
    <w:rsid w:val="008E534A"/>
    <w:rsid w:val="008E5E95"/>
    <w:rsid w:val="00900991"/>
    <w:rsid w:val="009076AA"/>
    <w:rsid w:val="00916321"/>
    <w:rsid w:val="009219B1"/>
    <w:rsid w:val="00922A82"/>
    <w:rsid w:val="00924E54"/>
    <w:rsid w:val="00936261"/>
    <w:rsid w:val="00943A5F"/>
    <w:rsid w:val="00946E79"/>
    <w:rsid w:val="00965AE7"/>
    <w:rsid w:val="00993AF9"/>
    <w:rsid w:val="009A260F"/>
    <w:rsid w:val="009A4251"/>
    <w:rsid w:val="009B03DB"/>
    <w:rsid w:val="009B4A9E"/>
    <w:rsid w:val="009B5240"/>
    <w:rsid w:val="009B56A0"/>
    <w:rsid w:val="009C05A8"/>
    <w:rsid w:val="009D7E18"/>
    <w:rsid w:val="009F145E"/>
    <w:rsid w:val="00A05212"/>
    <w:rsid w:val="00A1005E"/>
    <w:rsid w:val="00A2566D"/>
    <w:rsid w:val="00A26B8C"/>
    <w:rsid w:val="00A40FF3"/>
    <w:rsid w:val="00A41547"/>
    <w:rsid w:val="00A55B6F"/>
    <w:rsid w:val="00AC102E"/>
    <w:rsid w:val="00AD246F"/>
    <w:rsid w:val="00AD360B"/>
    <w:rsid w:val="00B2741A"/>
    <w:rsid w:val="00B51E65"/>
    <w:rsid w:val="00B57031"/>
    <w:rsid w:val="00B80B80"/>
    <w:rsid w:val="00B85E13"/>
    <w:rsid w:val="00BA19F9"/>
    <w:rsid w:val="00BA7D67"/>
    <w:rsid w:val="00BB3C4D"/>
    <w:rsid w:val="00BC74C2"/>
    <w:rsid w:val="00BD3508"/>
    <w:rsid w:val="00BD5925"/>
    <w:rsid w:val="00BF1041"/>
    <w:rsid w:val="00BF4465"/>
    <w:rsid w:val="00C059D0"/>
    <w:rsid w:val="00C16190"/>
    <w:rsid w:val="00C203B2"/>
    <w:rsid w:val="00C2722D"/>
    <w:rsid w:val="00C36568"/>
    <w:rsid w:val="00C3799D"/>
    <w:rsid w:val="00C52BAA"/>
    <w:rsid w:val="00C8397C"/>
    <w:rsid w:val="00C85B71"/>
    <w:rsid w:val="00CB3303"/>
    <w:rsid w:val="00CC50EE"/>
    <w:rsid w:val="00CC7AFF"/>
    <w:rsid w:val="00CE7F36"/>
    <w:rsid w:val="00D0274F"/>
    <w:rsid w:val="00D04A53"/>
    <w:rsid w:val="00D059F9"/>
    <w:rsid w:val="00D17F4E"/>
    <w:rsid w:val="00D20170"/>
    <w:rsid w:val="00D3096D"/>
    <w:rsid w:val="00D775EE"/>
    <w:rsid w:val="00D9127D"/>
    <w:rsid w:val="00D97C7F"/>
    <w:rsid w:val="00DA001E"/>
    <w:rsid w:val="00DB10B2"/>
    <w:rsid w:val="00DB42D6"/>
    <w:rsid w:val="00DB7A2D"/>
    <w:rsid w:val="00DF06EA"/>
    <w:rsid w:val="00E07466"/>
    <w:rsid w:val="00E21570"/>
    <w:rsid w:val="00E30FCF"/>
    <w:rsid w:val="00E339A1"/>
    <w:rsid w:val="00E34C54"/>
    <w:rsid w:val="00E43089"/>
    <w:rsid w:val="00E50EE8"/>
    <w:rsid w:val="00E6547D"/>
    <w:rsid w:val="00E83F8D"/>
    <w:rsid w:val="00EB47C0"/>
    <w:rsid w:val="00EB6D54"/>
    <w:rsid w:val="00EC06F5"/>
    <w:rsid w:val="00ED39E6"/>
    <w:rsid w:val="00EF062E"/>
    <w:rsid w:val="00F00552"/>
    <w:rsid w:val="00F01AAD"/>
    <w:rsid w:val="00F03CD8"/>
    <w:rsid w:val="00F25A08"/>
    <w:rsid w:val="00F3751F"/>
    <w:rsid w:val="00F37595"/>
    <w:rsid w:val="00F66767"/>
    <w:rsid w:val="00F67960"/>
    <w:rsid w:val="00F72353"/>
    <w:rsid w:val="00F735B2"/>
    <w:rsid w:val="00F90AA1"/>
    <w:rsid w:val="00FA2702"/>
    <w:rsid w:val="00FA48DF"/>
    <w:rsid w:val="00FA6F80"/>
    <w:rsid w:val="00FB053D"/>
    <w:rsid w:val="00FB0C0D"/>
    <w:rsid w:val="00FB1334"/>
    <w:rsid w:val="00FC2E36"/>
    <w:rsid w:val="00FC46DD"/>
    <w:rsid w:val="00FC5653"/>
    <w:rsid w:val="00FD12D8"/>
    <w:rsid w:val="00FE07E5"/>
    <w:rsid w:val="00FE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 w:val="20"/>
      <w:szCs w:val="20"/>
      <w:u w:val="single"/>
      <w:lang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3Carattere">
    <w:name w:val="Corpo del testo 3 Carattere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customStyle="1" w:styleId="Corpsdetexte2">
    <w:name w:val="Corps de texte 2"/>
    <w:basedOn w:val="Normale"/>
    <w:rsid w:val="003F1374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val="fr-FR"/>
    </w:rPr>
  </w:style>
  <w:style w:type="character" w:customStyle="1" w:styleId="s1">
    <w:name w:val="s1"/>
    <w:rsid w:val="00F0055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F00552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F0055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E5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8E534A"/>
    <w:rPr>
      <w:rFonts w:ascii="Courier New" w:eastAsia="Times New Roman" w:hAnsi="Courier New" w:cs="Courier New"/>
    </w:rPr>
  </w:style>
  <w:style w:type="character" w:styleId="Enfasicorsivo">
    <w:name w:val="Emphasis"/>
    <w:uiPriority w:val="20"/>
    <w:qFormat/>
    <w:rsid w:val="00EC06F5"/>
    <w:rPr>
      <w:b/>
      <w:bCs/>
      <w:i w:val="0"/>
      <w:iCs w:val="0"/>
    </w:rPr>
  </w:style>
  <w:style w:type="character" w:customStyle="1" w:styleId="st1">
    <w:name w:val="st1"/>
    <w:basedOn w:val="Carpredefinitoparagrafo"/>
    <w:rsid w:val="00EC06F5"/>
  </w:style>
  <w:style w:type="paragraph" w:customStyle="1" w:styleId="TabletextrowsAgency">
    <w:name w:val="Table text rows (Agency)"/>
    <w:basedOn w:val="Normale"/>
    <w:rsid w:val="00A4154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A41547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E215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1570"/>
    <w:rPr>
      <w:sz w:val="20"/>
      <w:szCs w:val="20"/>
      <w:lang/>
    </w:rPr>
  </w:style>
  <w:style w:type="character" w:customStyle="1" w:styleId="TestocommentoCarattere">
    <w:name w:val="Testo commento Carattere"/>
    <w:link w:val="Testocommento"/>
    <w:uiPriority w:val="99"/>
    <w:semiHidden/>
    <w:rsid w:val="00E2157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157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21570"/>
    <w:rPr>
      <w:b/>
      <w:bCs/>
      <w:lang w:eastAsia="en-US"/>
    </w:rPr>
  </w:style>
  <w:style w:type="paragraph" w:styleId="Revisione">
    <w:name w:val="Revision"/>
    <w:hidden/>
    <w:uiPriority w:val="99"/>
    <w:semiHidden/>
    <w:rsid w:val="00E2157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49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8541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83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43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771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134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763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938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46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49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7374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326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4334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126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8FAE3-86C4-40DE-80A8-211C66F62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UCB Pharma</Company>
  <LinksUpToDate>false</LinksUpToDate>
  <CharactersWithSpaces>5048</CharactersWithSpaces>
  <SharedDoc>false</SharedDoc>
  <HLinks>
    <vt:vector size="6" baseType="variant"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3</cp:revision>
  <cp:lastPrinted>2016-12-01T08:12:00Z</cp:lastPrinted>
  <dcterms:created xsi:type="dcterms:W3CDTF">2016-12-01T12:12:00Z</dcterms:created>
  <dcterms:modified xsi:type="dcterms:W3CDTF">2016-12-01T12:13:00Z</dcterms:modified>
</cp:coreProperties>
</file>