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D36DA3" w:rsidP="004241AC">
      <w:pPr>
        <w:autoSpaceDE w:val="0"/>
        <w:autoSpaceDN w:val="0"/>
        <w:adjustRightInd w:val="0"/>
        <w:spacing w:after="0" w:line="240" w:lineRule="auto"/>
        <w:jc w:val="center"/>
        <w:rPr>
          <w:b/>
          <w:sz w:val="32"/>
        </w:rPr>
      </w:pPr>
      <w:r w:rsidRPr="000C61EB">
        <w:rPr>
          <w:b/>
          <w:sz w:val="32"/>
        </w:rPr>
        <w:t>ZIBENAK</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Default="00D36DA3" w:rsidP="004241AC">
      <w:pPr>
        <w:autoSpaceDE w:val="0"/>
        <w:autoSpaceDN w:val="0"/>
        <w:adjustRightInd w:val="0"/>
        <w:spacing w:after="0" w:line="240" w:lineRule="auto"/>
        <w:jc w:val="center"/>
        <w:rPr>
          <w:b/>
        </w:rPr>
      </w:pPr>
      <w:r>
        <w:rPr>
          <w:b/>
        </w:rPr>
        <w:t>Istituto Biochimico Nazionale Savio</w:t>
      </w:r>
    </w:p>
    <w:p w:rsidR="004241AC" w:rsidRPr="00062636" w:rsidRDefault="004241AC"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D36DA3" w:rsidRPr="00D36DA3">
        <w:rPr>
          <w:rFonts w:cs="Helvetica"/>
          <w:b/>
        </w:rPr>
        <w:t>043474</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0C61EB" w:rsidRPr="0033523E" w:rsidRDefault="000C61EB" w:rsidP="000C61EB">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D36DA3">
        <w:rPr>
          <w:rFonts w:eastAsia="Calibri" w:cs="Calibri"/>
          <w:color w:val="000000"/>
          <w:lang w:eastAsia="it-IT"/>
        </w:rPr>
        <w:t>Zibenak</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D36DA3">
        <w:rPr>
          <w:rFonts w:eastAsia="Calibri" w:cs="Calibri"/>
          <w:color w:val="000000"/>
          <w:lang w:eastAsia="it-IT"/>
        </w:rPr>
        <w:t>Zibenak</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D36DA3">
        <w:rPr>
          <w:rFonts w:eastAsia="Calibri" w:cs="Calibri"/>
          <w:color w:val="000000"/>
          <w:lang w:eastAsia="it-IT"/>
        </w:rPr>
        <w:t>Zibenak</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D36DA3">
        <w:rPr>
          <w:rFonts w:eastAsia="Calibri" w:cs="Calibri"/>
          <w:color w:val="000000"/>
          <w:lang w:eastAsia="it-IT"/>
        </w:rPr>
        <w:t>Zibenak</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D36DA3">
        <w:rPr>
          <w:rFonts w:eastAsia="Calibri" w:cs="Calibri"/>
          <w:b/>
          <w:bCs/>
          <w:color w:val="000000"/>
          <w:lang w:eastAsia="it-IT"/>
        </w:rPr>
        <w:t>Zibenak</w:t>
      </w:r>
      <w:proofErr w:type="spellEnd"/>
      <w:r w:rsidR="00E83F8D" w:rsidRPr="000E0632">
        <w:rPr>
          <w:rFonts w:eastAsia="Calibri" w:cs="Calibri"/>
          <w:b/>
          <w:bCs/>
          <w:color w:val="000000"/>
          <w:lang w:eastAsia="it-IT"/>
        </w:rPr>
        <w:t xml:space="preserve"> </w:t>
      </w:r>
      <w:r w:rsidRPr="000E0632">
        <w:rPr>
          <w:rFonts w:eastAsia="Calibri" w:cs="Calibri"/>
          <w:b/>
          <w:bCs/>
          <w:color w:val="000000"/>
          <w:lang w:eastAsia="it-IT"/>
        </w:rPr>
        <w:t xml:space="preserve">e a cosa serve? </w:t>
      </w:r>
    </w:p>
    <w:p w:rsidR="000E0632" w:rsidRPr="00081A1C" w:rsidRDefault="00D36DA3" w:rsidP="00452364">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Zibenak</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proofErr w:type="spellStart"/>
      <w:r w:rsidR="00081A1C">
        <w:rPr>
          <w:rFonts w:eastAsia="Calibri" w:cs="Calibri"/>
          <w:color w:val="000000"/>
          <w:lang w:eastAsia="it-IT"/>
        </w:rPr>
        <w:t>colecalciferolo</w:t>
      </w:r>
      <w:proofErr w:type="spellEnd"/>
      <w:r w:rsidR="00081A1C">
        <w:rPr>
          <w:rFonts w:eastAsia="Calibri" w:cs="Calibri"/>
          <w:color w:val="000000"/>
          <w:lang w:eastAsia="it-IT"/>
        </w:rPr>
        <w:t xml:space="preserve"> (vitamina D</w:t>
      </w:r>
      <w:r w:rsidR="00081A1C" w:rsidRPr="0059545A">
        <w:rPr>
          <w:rFonts w:eastAsia="Calibri" w:cs="Calibri"/>
          <w:color w:val="000000"/>
          <w:sz w:val="24"/>
          <w:vertAlign w:val="subscript"/>
          <w:lang w:eastAsia="it-IT"/>
        </w:rPr>
        <w:t>3</w:t>
      </w:r>
      <w:r w:rsidR="00081A1C">
        <w:rPr>
          <w:rFonts w:eastAsia="Calibri" w:cs="Calibri"/>
          <w:color w:val="000000"/>
          <w:lang w:eastAsia="it-IT"/>
        </w:rPr>
        <w:t>)</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sidR="00081A1C" w:rsidRPr="00081A1C">
        <w:rPr>
          <w:rFonts w:eastAsia="Calibri" w:cs="Calibri"/>
          <w:color w:val="000000"/>
          <w:lang w:eastAsia="it-IT"/>
        </w:rPr>
        <w:t>soluzione orale in contenitori monodose da 25.000 U.I. e da 50.000 U.I</w:t>
      </w:r>
      <w:r w:rsidR="008F2E05">
        <w:rPr>
          <w:rFonts w:eastAsia="Calibri" w:cs="Calibri"/>
          <w:color w:val="000000"/>
          <w:lang w:eastAsia="it-IT"/>
        </w:rPr>
        <w:t>.</w:t>
      </w:r>
      <w:r w:rsidR="008F2E05" w:rsidRPr="008F2E05">
        <w:rPr>
          <w:rFonts w:eastAsia="Calibri" w:cs="Calibri"/>
          <w:color w:val="000000"/>
          <w:lang w:eastAsia="it-IT"/>
        </w:rPr>
        <w:t xml:space="preserve"> </w:t>
      </w:r>
      <w:r w:rsidR="008F2E05">
        <w:rPr>
          <w:rFonts w:eastAsia="Calibri" w:cs="Calibri"/>
          <w:color w:val="000000"/>
          <w:lang w:eastAsia="it-IT"/>
        </w:rPr>
        <w:t xml:space="preserve">e in flacone </w:t>
      </w:r>
      <w:proofErr w:type="spellStart"/>
      <w:r w:rsidR="008F2E05">
        <w:rPr>
          <w:rFonts w:eastAsia="Calibri" w:cs="Calibri"/>
          <w:color w:val="000000"/>
          <w:lang w:eastAsia="it-IT"/>
        </w:rPr>
        <w:t>multidose</w:t>
      </w:r>
      <w:proofErr w:type="spellEnd"/>
      <w:r w:rsidR="008F2E05">
        <w:rPr>
          <w:rFonts w:eastAsia="Calibri" w:cs="Calibri"/>
          <w:color w:val="000000"/>
          <w:lang w:eastAsia="it-IT"/>
        </w:rPr>
        <w:t xml:space="preserve"> con siringa dosatrice da 25.000 U.I./2,5 ml.</w:t>
      </w:r>
      <w:r w:rsidR="00081A1C">
        <w:rPr>
          <w:rFonts w:eastAsia="Calibri" w:cs="Calibri"/>
          <w:color w:val="000000"/>
          <w:lang w:eastAsia="it-IT"/>
        </w:rPr>
        <w:t xml:space="preserve"> E’ disponibile, inoltre, in gocce orali alla </w:t>
      </w:r>
      <w:r w:rsidR="00592D32">
        <w:rPr>
          <w:rFonts w:eastAsia="Calibri" w:cs="Calibri"/>
          <w:color w:val="000000"/>
          <w:lang w:eastAsia="it-IT"/>
        </w:rPr>
        <w:t>concentrazione</w:t>
      </w:r>
      <w:r w:rsidR="00081A1C">
        <w:rPr>
          <w:rFonts w:eastAsia="Calibri" w:cs="Calibri"/>
          <w:color w:val="000000"/>
          <w:lang w:eastAsia="it-IT"/>
        </w:rPr>
        <w:t xml:space="preserve"> di 10.000 U.I./ml.</w:t>
      </w:r>
    </w:p>
    <w:p w:rsidR="000E0632" w:rsidRPr="000E0632" w:rsidRDefault="00D36DA3" w:rsidP="000E0632">
      <w:pPr>
        <w:tabs>
          <w:tab w:val="left" w:pos="0"/>
        </w:tabs>
        <w:overflowPunct w:val="0"/>
        <w:autoSpaceDE w:val="0"/>
        <w:autoSpaceDN w:val="0"/>
        <w:adjustRightInd w:val="0"/>
        <w:spacing w:after="0" w:line="240" w:lineRule="auto"/>
        <w:jc w:val="both"/>
        <w:textAlignment w:val="baseline"/>
        <w:rPr>
          <w:szCs w:val="24"/>
        </w:rPr>
      </w:pPr>
      <w:proofErr w:type="spellStart"/>
      <w:r>
        <w:rPr>
          <w:rFonts w:eastAsia="Calibri" w:cs="Calibri"/>
          <w:color w:val="000000"/>
          <w:lang w:eastAsia="it-IT"/>
        </w:rPr>
        <w:t>Zibenak</w:t>
      </w:r>
      <w:proofErr w:type="spellEnd"/>
      <w:r w:rsidR="00E83F8D" w:rsidRPr="00592D32">
        <w:rPr>
          <w:rFonts w:eastAsia="Calibri" w:cs="Calibri"/>
          <w:color w:val="000000"/>
          <w:lang w:eastAsia="it-IT"/>
        </w:rPr>
        <w:t xml:space="preserve"> </w:t>
      </w:r>
      <w:r w:rsidR="00DB10B2" w:rsidRPr="00592D32">
        <w:rPr>
          <w:rFonts w:eastAsia="Calibri" w:cs="Calibri"/>
          <w:color w:val="000000"/>
          <w:lang w:eastAsia="it-IT"/>
        </w:rPr>
        <w:t xml:space="preserve">si usa per </w:t>
      </w:r>
      <w:r w:rsidR="00592D32">
        <w:rPr>
          <w:rFonts w:eastAsia="Calibri" w:cs="Calibri"/>
          <w:color w:val="000000"/>
          <w:lang w:eastAsia="it-IT"/>
        </w:rPr>
        <w:t xml:space="preserve">la </w:t>
      </w:r>
      <w:r w:rsidR="00592D32" w:rsidRPr="00592D32">
        <w:rPr>
          <w:rFonts w:ascii="Calibri" w:hAnsi="Calibri"/>
        </w:rPr>
        <w:t xml:space="preserve">prevenzione e </w:t>
      </w:r>
      <w:r w:rsidR="00592D32">
        <w:rPr>
          <w:rFonts w:ascii="Calibri" w:hAnsi="Calibri"/>
        </w:rPr>
        <w:t xml:space="preserve">il </w:t>
      </w:r>
      <w:r w:rsidR="00592D32" w:rsidRPr="00592D32">
        <w:rPr>
          <w:rFonts w:ascii="Calibri" w:hAnsi="Calibri"/>
        </w:rPr>
        <w:t>trattamento della carenza di vitamina D</w:t>
      </w:r>
      <w:r w:rsidR="000614CA">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r w:rsidR="000614CA" w:rsidRPr="00592D32">
        <w:rPr>
          <w:rFonts w:ascii="Calibri" w:hAnsi="Calibri"/>
        </w:rPr>
        <w:t>.</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D36DA3">
        <w:rPr>
          <w:rFonts w:eastAsia="Calibri" w:cs="Calibri"/>
          <w:b/>
          <w:bCs/>
          <w:color w:val="000000"/>
          <w:szCs w:val="24"/>
          <w:lang w:eastAsia="it-IT"/>
        </w:rPr>
        <w:t>Zibenak</w:t>
      </w:r>
      <w:proofErr w:type="spellEnd"/>
      <w:r w:rsidRPr="000E0632">
        <w:rPr>
          <w:rFonts w:eastAsia="Calibri" w:cs="Calibri"/>
          <w:b/>
          <w:bCs/>
          <w:color w:val="000000"/>
          <w:szCs w:val="24"/>
          <w:lang w:eastAsia="it-IT"/>
        </w:rPr>
        <w:t>?</w:t>
      </w:r>
    </w:p>
    <w:p w:rsidR="00813720" w:rsidRPr="00E83F8D" w:rsidRDefault="00813720" w:rsidP="00813720">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sidR="0059545A">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090E50" w:rsidRDefault="00090E50" w:rsidP="00BA7D67">
      <w:pPr>
        <w:autoSpaceDE w:val="0"/>
        <w:autoSpaceDN w:val="0"/>
        <w:adjustRightInd w:val="0"/>
        <w:spacing w:after="0" w:line="240" w:lineRule="auto"/>
        <w:jc w:val="both"/>
        <w:rPr>
          <w:rFonts w:eastAsia="Calibri" w:cs="Verdana"/>
          <w:color w:val="000000"/>
          <w:lang w:eastAsia="it-IT"/>
        </w:rPr>
      </w:pPr>
    </w:p>
    <w:p w:rsidR="00090E50" w:rsidRDefault="00090E50" w:rsidP="00BA7D67">
      <w:pPr>
        <w:autoSpaceDE w:val="0"/>
        <w:autoSpaceDN w:val="0"/>
        <w:adjustRightInd w:val="0"/>
        <w:spacing w:after="0" w:line="240" w:lineRule="auto"/>
        <w:jc w:val="both"/>
        <w:rPr>
          <w:rFonts w:eastAsia="Calibri" w:cs="Verdana"/>
          <w:color w:val="000000"/>
          <w:lang w:eastAsia="it-IT"/>
        </w:rPr>
      </w:pPr>
    </w:p>
    <w:p w:rsidR="00090E50" w:rsidRPr="00592D32" w:rsidRDefault="00090E50" w:rsidP="00BA7D67">
      <w:pPr>
        <w:autoSpaceDE w:val="0"/>
        <w:autoSpaceDN w:val="0"/>
        <w:adjustRightInd w:val="0"/>
        <w:spacing w:after="0" w:line="240" w:lineRule="auto"/>
        <w:jc w:val="both"/>
        <w:rPr>
          <w:rFonts w:eastAsia="Calibri" w:cs="Verdana"/>
          <w:color w:val="000000"/>
          <w:lang w:eastAsia="it-IT"/>
        </w:rPr>
      </w:pPr>
    </w:p>
    <w:p w:rsidR="00592D32" w:rsidRPr="00592D32" w:rsidRDefault="00592D32"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lastRenderedPageBreak/>
        <w:t xml:space="preserve">3) COME FUNZIONA </w:t>
      </w:r>
      <w:proofErr w:type="spellStart"/>
      <w:r w:rsidR="00D36DA3">
        <w:rPr>
          <w:rFonts w:eastAsia="Calibri" w:cs="Calibri"/>
          <w:b/>
          <w:bCs/>
          <w:color w:val="000000"/>
          <w:lang w:eastAsia="it-IT"/>
        </w:rPr>
        <w:t>Zibenak</w:t>
      </w:r>
      <w:proofErr w:type="spellEnd"/>
      <w:r w:rsidRPr="00592D32">
        <w:rPr>
          <w:rFonts w:eastAsia="Calibri" w:cs="Calibri"/>
          <w:b/>
          <w:bCs/>
          <w:color w:val="000000"/>
          <w:lang w:eastAsia="it-IT"/>
        </w:rPr>
        <w:t xml:space="preserve">? </w:t>
      </w:r>
    </w:p>
    <w:p w:rsidR="004241AC" w:rsidRPr="00592D32" w:rsidRDefault="00813720" w:rsidP="00090E50">
      <w:pPr>
        <w:autoSpaceDE w:val="0"/>
        <w:autoSpaceDN w:val="0"/>
        <w:adjustRightInd w:val="0"/>
        <w:spacing w:after="0" w:line="240" w:lineRule="auto"/>
        <w:jc w:val="both"/>
        <w:rPr>
          <w:iCs/>
        </w:rPr>
      </w:pPr>
      <w:proofErr w:type="spellStart"/>
      <w:r>
        <w:rPr>
          <w:rFonts w:eastAsia="Calibri" w:cs="Calibri"/>
          <w:bCs/>
          <w:color w:val="000000"/>
          <w:lang w:eastAsia="it-IT"/>
        </w:rPr>
        <w:t>Zibenak</w:t>
      </w:r>
      <w:proofErr w:type="spellEnd"/>
      <w:r w:rsidRPr="00592D32">
        <w:rPr>
          <w:rFonts w:eastAsia="DejaVuSans" w:cs="DejaVuSans"/>
        </w:rPr>
        <w:t xml:space="preserve"> </w:t>
      </w:r>
      <w:r w:rsidR="00090E50" w:rsidRPr="00592D32">
        <w:rPr>
          <w:rFonts w:eastAsia="Calibri" w:cs="Calibri"/>
          <w:bCs/>
          <w:color w:val="000000"/>
          <w:lang w:eastAsia="it-IT"/>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lang w:eastAsia="it-IT"/>
        </w:rPr>
        <w:t xml:space="preserve">contiene il principio attivo </w:t>
      </w:r>
      <w:proofErr w:type="spellStart"/>
      <w:r w:rsidR="00090E50" w:rsidRPr="00592D32">
        <w:rPr>
          <w:snapToGrid w:val="0"/>
        </w:rPr>
        <w:t>colecalciferolo</w:t>
      </w:r>
      <w:proofErr w:type="spellEnd"/>
      <w:r w:rsidR="00090E50">
        <w:rPr>
          <w:rFonts w:eastAsia="Calibri" w:cs="Calibri"/>
          <w:color w:val="000000"/>
          <w:lang w:eastAsia="it-IT"/>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sidR="00D36DA3">
        <w:rPr>
          <w:rFonts w:eastAsia="Calibri" w:cs="Calibri"/>
          <w:b/>
          <w:bCs/>
          <w:color w:val="000000"/>
          <w:lang w:eastAsia="it-IT"/>
        </w:rPr>
        <w:t>Zibenak</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D36DA3">
        <w:rPr>
          <w:rFonts w:eastAsia="Calibri" w:cs="Calibri"/>
          <w:b/>
          <w:bCs/>
          <w:color w:val="000000"/>
          <w:lang w:eastAsia="it-IT"/>
        </w:rPr>
        <w:t>Zibenak</w:t>
      </w:r>
      <w:proofErr w:type="spellEnd"/>
      <w:r w:rsidRPr="00CB3303">
        <w:rPr>
          <w:rFonts w:eastAsia="Calibri" w:cs="Calibri"/>
          <w:b/>
          <w:lang w:eastAsia="it-IT"/>
        </w:rPr>
        <w:t>?</w:t>
      </w:r>
      <w:r w:rsidRPr="00CB3303">
        <w:rPr>
          <w:rFonts w:eastAsia="Calibri" w:cs="Calibri"/>
          <w:lang w:eastAsia="it-IT"/>
        </w:rPr>
        <w:t xml:space="preserve"> </w:t>
      </w:r>
    </w:p>
    <w:p w:rsidR="004241AC" w:rsidRPr="00CB3303" w:rsidRDefault="00601567" w:rsidP="00CB3303">
      <w:pPr>
        <w:autoSpaceDE w:val="0"/>
        <w:autoSpaceDN w:val="0"/>
        <w:adjustRightInd w:val="0"/>
        <w:spacing w:after="0" w:line="240" w:lineRule="auto"/>
        <w:jc w:val="both"/>
        <w:rPr>
          <w:rFonts w:eastAsia="Calibri" w:cs="Calibri"/>
          <w:lang w:eastAsia="it-IT"/>
        </w:rPr>
      </w:pPr>
      <w:r w:rsidRPr="000F5E5C">
        <w:rPr>
          <w:rFonts w:eastAsia="Calibri" w:cs="Calibri"/>
          <w:lang w:eastAsia="it-IT"/>
        </w:rPr>
        <w:t>I più comuni effetti indesiderati riscontrati con</w:t>
      </w:r>
      <w:r w:rsidR="004241AC" w:rsidRPr="000F5E5C">
        <w:rPr>
          <w:rFonts w:eastAsia="Calibri" w:cs="Calibri"/>
          <w:lang w:eastAsia="it-IT"/>
        </w:rPr>
        <w:t xml:space="preserve"> </w:t>
      </w:r>
      <w:proofErr w:type="spellStart"/>
      <w:r w:rsidR="00D36DA3">
        <w:rPr>
          <w:rFonts w:eastAsia="Calibri" w:cs="Calibri"/>
          <w:bCs/>
          <w:color w:val="000000"/>
          <w:lang w:eastAsia="it-IT"/>
        </w:rPr>
        <w:t>Zibenak</w:t>
      </w:r>
      <w:proofErr w:type="spellEnd"/>
      <w:r w:rsidR="009B03DB" w:rsidRPr="000F5E5C">
        <w:rPr>
          <w:rFonts w:eastAsia="Calibri" w:cs="Calibri"/>
          <w:bCs/>
          <w:color w:val="000000"/>
          <w:lang w:eastAsia="it-IT"/>
        </w:rPr>
        <w:t xml:space="preserve"> </w:t>
      </w:r>
      <w:r w:rsidRPr="000F5E5C">
        <w:rPr>
          <w:rFonts w:eastAsia="Calibri" w:cs="Calibri"/>
          <w:lang w:eastAsia="it-IT"/>
        </w:rPr>
        <w:t xml:space="preserve">sono </w:t>
      </w:r>
      <w:r w:rsidR="00592D32" w:rsidRPr="000F5E5C">
        <w:rPr>
          <w:rFonts w:eastAsia="Calibri" w:cs="Calibri"/>
          <w:lang w:eastAsia="it-IT"/>
        </w:rPr>
        <w:t xml:space="preserve">disturbi gastrointestinali </w:t>
      </w:r>
      <w:r w:rsidR="000F5E5C" w:rsidRPr="000F5E5C">
        <w:rPr>
          <w:rFonts w:eastAsia="Calibri" w:cs="Calibri"/>
          <w:lang w:eastAsia="it-IT"/>
        </w:rPr>
        <w:t>(</w:t>
      </w:r>
      <w:r w:rsidR="000F5E5C">
        <w:rPr>
          <w:rFonts w:ascii="Calibri" w:hAnsi="Calibri"/>
        </w:rPr>
        <w:t>c</w:t>
      </w:r>
      <w:r w:rsidR="000F5E5C" w:rsidRPr="000F5E5C">
        <w:rPr>
          <w:rFonts w:ascii="Calibri" w:hAnsi="Calibri"/>
        </w:rPr>
        <w:t>ostipazione, flatulenza, dolore addominale, nausea, diarrea)</w:t>
      </w:r>
      <w:r w:rsidR="000F5E5C">
        <w:rPr>
          <w:rFonts w:eastAsia="Calibri" w:cs="Calibri"/>
          <w:lang w:eastAsia="it-IT"/>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D36DA3">
        <w:rPr>
          <w:rFonts w:eastAsia="Calibri" w:cs="Calibri"/>
          <w:lang w:eastAsia="it-IT"/>
        </w:rPr>
        <w:t>Zibenak</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D36DA3">
        <w:rPr>
          <w:rFonts w:eastAsia="Calibri" w:cs="Calibri"/>
          <w:b/>
          <w:bCs/>
          <w:color w:val="000000"/>
          <w:lang w:eastAsia="it-IT"/>
        </w:rPr>
        <w:t>Zibenak</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AD412E">
        <w:rPr>
          <w:rFonts w:eastAsia="Calibri" w:cs="Calibri"/>
          <w:lang w:eastAsia="it-IT"/>
        </w:rPr>
        <w:t>,</w:t>
      </w:r>
      <w:r w:rsidRPr="00CB3303">
        <w:rPr>
          <w:rFonts w:eastAsia="Calibri" w:cs="Calibri"/>
          <w:lang w:eastAsia="it-IT"/>
        </w:rPr>
        <w:t xml:space="preserve"> nella seduta </w:t>
      </w:r>
      <w:r w:rsidRPr="00D36DA3">
        <w:rPr>
          <w:rFonts w:eastAsia="Calibri" w:cs="Calibri"/>
          <w:lang w:eastAsia="it-IT"/>
        </w:rPr>
        <w:t xml:space="preserve">del </w:t>
      </w:r>
      <w:r w:rsidR="00D36DA3" w:rsidRPr="00D36DA3">
        <w:rPr>
          <w:rFonts w:eastAsia="Calibri" w:cs="Calibri"/>
          <w:lang w:eastAsia="it-IT"/>
        </w:rPr>
        <w:t xml:space="preserve">23-25 marzo </w:t>
      </w:r>
      <w:r w:rsidR="00D36DA3" w:rsidRPr="005A59E1">
        <w:rPr>
          <w:rFonts w:eastAsia="Calibri" w:cs="Calibri"/>
          <w:lang w:eastAsia="it-IT"/>
        </w:rPr>
        <w:t>2015</w:t>
      </w:r>
      <w:r w:rsidR="008F2E05" w:rsidRPr="005A59E1">
        <w:rPr>
          <w:rFonts w:eastAsia="Calibri" w:cs="Calibri"/>
          <w:lang w:eastAsia="it-IT"/>
        </w:rPr>
        <w:t xml:space="preserve"> e del </w:t>
      </w:r>
      <w:r w:rsidR="005A59E1">
        <w:rPr>
          <w:rFonts w:eastAsia="Calibri" w:cs="Calibri"/>
          <w:lang w:eastAsia="it-IT"/>
        </w:rPr>
        <w:t>7-9 marzo 2016</w:t>
      </w:r>
      <w:r w:rsidR="00AD412E">
        <w:rPr>
          <w:rFonts w:eastAsia="Calibri" w:cs="Calibri"/>
          <w:lang w:eastAsia="it-IT"/>
        </w:rPr>
        <w:t>,</w:t>
      </w:r>
      <w:r w:rsidR="00D36DA3" w:rsidRPr="00D36DA3">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proofErr w:type="spellStart"/>
      <w:r w:rsidR="00D36DA3" w:rsidRPr="00D36DA3">
        <w:rPr>
          <w:rFonts w:eastAsia="Calibri" w:cs="Calibri"/>
          <w:lang w:eastAsia="it-IT"/>
        </w:rPr>
        <w:t>Zibenak</w:t>
      </w:r>
      <w:proofErr w:type="spellEnd"/>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8F2E05">
        <w:rPr>
          <w:rFonts w:eastAsia="Calibri" w:cs="Calibri"/>
          <w:lang w:eastAsia="it-IT"/>
        </w:rPr>
        <w:t xml:space="preserve">gocce orali, soluzione orale in contenitori monodose: A; soluzione orale in flacone </w:t>
      </w:r>
      <w:proofErr w:type="spellStart"/>
      <w:r w:rsidR="008F2E05">
        <w:rPr>
          <w:rFonts w:eastAsia="Calibri" w:cs="Calibri"/>
          <w:lang w:eastAsia="it-IT"/>
        </w:rPr>
        <w:t>multidose</w:t>
      </w:r>
      <w:proofErr w:type="spellEnd"/>
      <w:r w:rsidR="008F2E05">
        <w:rPr>
          <w:rFonts w:eastAsia="Calibri" w:cs="Calibri"/>
          <w:lang w:eastAsia="it-IT"/>
        </w:rPr>
        <w:t xml:space="preserve">: </w:t>
      </w:r>
      <w:r w:rsidR="00EF69F0">
        <w:rPr>
          <w:rFonts w:eastAsia="Calibri" w:cs="Calibri"/>
          <w:lang w:eastAsia="it-IT"/>
        </w:rPr>
        <w:t xml:space="preserve">classificazione provvisoria </w:t>
      </w:r>
      <w:r w:rsidR="00BD3508" w:rsidRPr="00CB3303">
        <w:rPr>
          <w:rFonts w:eastAsia="Calibri" w:cs="Calibri"/>
          <w:lang w:eastAsia="it-IT"/>
        </w:rPr>
        <w:t>C</w:t>
      </w:r>
      <w:r w:rsidR="00BF4465" w:rsidRPr="00CB3303">
        <w:rPr>
          <w:rFonts w:eastAsia="Calibri" w:cs="Calibri"/>
          <w:lang w:eastAsia="it-IT"/>
        </w:rPr>
        <w:t>nn</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D36DA3">
        <w:rPr>
          <w:rFonts w:eastAsia="Calibri" w:cs="Calibri"/>
          <w:b/>
          <w:bCs/>
          <w:color w:val="000000"/>
          <w:lang w:eastAsia="it-IT"/>
        </w:rPr>
        <w:t>Zibenak</w:t>
      </w:r>
      <w:proofErr w:type="spellEnd"/>
      <w:r w:rsidRPr="002A3F14">
        <w:rPr>
          <w:rFonts w:eastAsia="Calibri" w:cs="Calibri"/>
          <w:b/>
          <w:bCs/>
          <w:color w:val="000000"/>
          <w:lang w:eastAsia="it-IT"/>
        </w:rPr>
        <w:t>?</w:t>
      </w:r>
    </w:p>
    <w:p w:rsidR="004241AC" w:rsidRPr="002A3F14" w:rsidRDefault="003F131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D36DA3">
        <w:rPr>
          <w:rFonts w:eastAsia="Calibri" w:cs="Calibri"/>
          <w:lang w:eastAsia="it-IT"/>
        </w:rPr>
        <w:t>Zibenak</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D36DA3">
        <w:rPr>
          <w:rFonts w:eastAsia="Calibri" w:cs="Calibri"/>
          <w:b/>
          <w:bCs/>
          <w:color w:val="000000"/>
          <w:lang w:eastAsia="it-IT"/>
        </w:rPr>
        <w:t>Zibenak</w:t>
      </w:r>
      <w:proofErr w:type="spellEnd"/>
    </w:p>
    <w:p w:rsidR="000F5E5C" w:rsidRDefault="00D36DA3" w:rsidP="004241AC">
      <w:pPr>
        <w:autoSpaceDE w:val="0"/>
        <w:autoSpaceDN w:val="0"/>
        <w:adjustRightInd w:val="0"/>
        <w:spacing w:after="0" w:line="240" w:lineRule="auto"/>
        <w:jc w:val="both"/>
        <w:rPr>
          <w:rFonts w:eastAsia="Calibri" w:cs="Calibri"/>
          <w:lang w:eastAsia="it-IT"/>
        </w:rPr>
      </w:pPr>
      <w:r>
        <w:rPr>
          <w:rFonts w:eastAsia="Calibri" w:cs="Calibri"/>
          <w:bCs/>
          <w:iCs/>
          <w:lang w:eastAsia="it-IT"/>
        </w:rPr>
        <w:t>I</w:t>
      </w:r>
      <w:r w:rsidR="004241AC" w:rsidRPr="00CA3A1E">
        <w:rPr>
          <w:rFonts w:eastAsia="Calibri" w:cs="Calibri"/>
          <w:bCs/>
          <w:iCs/>
          <w:lang w:eastAsia="it-IT"/>
        </w:rPr>
        <w:t xml:space="preserve">l </w:t>
      </w:r>
      <w:r>
        <w:rPr>
          <w:rFonts w:eastAsia="Calibri" w:cs="Calibri"/>
          <w:lang w:eastAsia="it-IT"/>
        </w:rPr>
        <w:t>14 aprile 2015</w:t>
      </w:r>
      <w:r w:rsidR="000F5E5C">
        <w:rPr>
          <w:rFonts w:eastAsia="Calibri" w:cs="Calibri"/>
          <w:lang w:eastAsia="it-IT"/>
        </w:rPr>
        <w:t xml:space="preserve"> </w:t>
      </w:r>
      <w:r>
        <w:rPr>
          <w:rFonts w:eastAsia="Calibri" w:cs="Calibri"/>
          <w:bCs/>
          <w:iCs/>
          <w:lang w:eastAsia="it-IT"/>
        </w:rPr>
        <w:t>l</w:t>
      </w:r>
      <w:r w:rsidRPr="00CA3A1E">
        <w:rPr>
          <w:rFonts w:eastAsia="Calibri" w:cs="Calibri"/>
          <w:bCs/>
          <w:iCs/>
          <w:lang w:eastAsia="it-IT"/>
        </w:rPr>
        <w:t xml:space="preserve">’AIFA ha rilasciato </w:t>
      </w:r>
      <w:r w:rsidR="008F2E05">
        <w:rPr>
          <w:rFonts w:eastAsia="Calibri" w:cs="Calibri"/>
          <w:bCs/>
          <w:iCs/>
          <w:lang w:eastAsia="it-IT"/>
        </w:rPr>
        <w:t>l’</w:t>
      </w:r>
      <w:r w:rsidRPr="00CA3A1E">
        <w:rPr>
          <w:rFonts w:eastAsia="Calibri" w:cs="Calibri"/>
          <w:bCs/>
          <w:iCs/>
          <w:lang w:eastAsia="it-IT"/>
        </w:rPr>
        <w:t>autorizzazion</w:t>
      </w:r>
      <w:r w:rsidR="008F2E05">
        <w:rPr>
          <w:rFonts w:eastAsia="Calibri" w:cs="Calibri"/>
          <w:bCs/>
          <w:iCs/>
          <w:lang w:eastAsia="it-IT"/>
        </w:rPr>
        <w:t xml:space="preserve">e all’immissione in commercio delle gocce orali e della soluzione orale in </w:t>
      </w:r>
      <w:r w:rsidR="004A2E9F">
        <w:rPr>
          <w:rFonts w:eastAsia="Calibri" w:cs="Calibri"/>
          <w:bCs/>
          <w:iCs/>
          <w:lang w:eastAsia="it-IT"/>
        </w:rPr>
        <w:t>contenitori</w:t>
      </w:r>
      <w:r w:rsidR="008F2E05">
        <w:rPr>
          <w:rFonts w:eastAsia="Calibri" w:cs="Calibri"/>
          <w:bCs/>
          <w:iCs/>
          <w:lang w:eastAsia="it-IT"/>
        </w:rPr>
        <w:t xml:space="preserve"> monodose</w:t>
      </w:r>
      <w:r w:rsidR="000F5E5C">
        <w:rPr>
          <w:rFonts w:eastAsia="Calibri" w:cs="Calibri"/>
          <w:lang w:eastAsia="it-IT"/>
        </w:rPr>
        <w:t>.</w:t>
      </w:r>
    </w:p>
    <w:p w:rsidR="008F2E05" w:rsidRDefault="008F2E05" w:rsidP="004241AC">
      <w:pPr>
        <w:autoSpaceDE w:val="0"/>
        <w:autoSpaceDN w:val="0"/>
        <w:adjustRightInd w:val="0"/>
        <w:spacing w:after="0" w:line="240" w:lineRule="auto"/>
        <w:jc w:val="both"/>
        <w:rPr>
          <w:rFonts w:eastAsia="Calibri" w:cs="Calibri"/>
          <w:lang w:eastAsia="it-IT"/>
        </w:rPr>
      </w:pPr>
      <w:r w:rsidRPr="00216896">
        <w:rPr>
          <w:rFonts w:eastAsia="Calibri" w:cs="Calibri"/>
          <w:lang w:eastAsia="it-IT"/>
        </w:rPr>
        <w:t xml:space="preserve">Il </w:t>
      </w:r>
      <w:r w:rsidR="00216896" w:rsidRPr="00216896">
        <w:rPr>
          <w:rFonts w:eastAsia="Calibri" w:cs="Calibri"/>
          <w:lang w:eastAsia="it-IT"/>
        </w:rPr>
        <w:t>22 marzo</w:t>
      </w:r>
      <w:r w:rsidRPr="00216896">
        <w:rPr>
          <w:rFonts w:eastAsia="Calibri" w:cs="Calibri"/>
          <w:lang w:eastAsia="it-IT"/>
        </w:rPr>
        <w:t xml:space="preserve"> 2016</w:t>
      </w:r>
      <w:r w:rsidRPr="00216896">
        <w:rPr>
          <w:rFonts w:eastAsia="Calibri" w:cs="Calibri"/>
          <w:bCs/>
          <w:iCs/>
          <w:lang w:eastAsia="it-IT"/>
        </w:rPr>
        <w:t xml:space="preserve"> l’AIFA ha rilasciato l’autorizzazione all’immissione in commercio della soluzione orale in</w:t>
      </w:r>
      <w:r>
        <w:rPr>
          <w:rFonts w:eastAsia="Calibri" w:cs="Calibri"/>
          <w:bCs/>
          <w:iCs/>
          <w:lang w:eastAsia="it-IT"/>
        </w:rPr>
        <w:t xml:space="preserve"> flacone </w:t>
      </w:r>
      <w:proofErr w:type="spellStart"/>
      <w:r>
        <w:rPr>
          <w:rFonts w:eastAsia="Calibri" w:cs="Calibri"/>
          <w:bCs/>
          <w:iCs/>
          <w:lang w:eastAsia="it-IT"/>
        </w:rPr>
        <w:t>multidose</w:t>
      </w:r>
      <w:proofErr w:type="spellEnd"/>
      <w:r>
        <w:rPr>
          <w:rFonts w:eastAsia="Calibri" w:cs="Calibri"/>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0C61EB" w:rsidRDefault="000C61EB" w:rsidP="000C61EB">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D36DA3">
        <w:rPr>
          <w:rFonts w:eastAsia="Calibri" w:cs="Calibri"/>
          <w:bCs/>
          <w:color w:val="000000"/>
          <w:lang w:eastAsia="it-IT"/>
        </w:rPr>
        <w:t>Zibenak</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90632E" w:rsidRPr="008F2E05">
        <w:rPr>
          <w:rFonts w:eastAsia="Calibri" w:cs="Calibri"/>
          <w:highlight w:val="red"/>
          <w:lang w:eastAsia="it-IT"/>
        </w:rPr>
        <w:t>09.07.2015</w:t>
      </w:r>
      <w:r w:rsidRPr="002A3F14">
        <w:rPr>
          <w:rFonts w:eastAsia="Calibri" w:cs="Calibri"/>
          <w:lang w:eastAsia="it-IT"/>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0C61EB">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Pr="0033523E" w:rsidRDefault="000C61EB" w:rsidP="000C61EB">
      <w:pPr>
        <w:spacing w:after="0" w:line="240" w:lineRule="auto"/>
        <w:jc w:val="center"/>
        <w:rPr>
          <w:b/>
        </w:rPr>
      </w:pPr>
      <w:r w:rsidRPr="0033523E">
        <w:rPr>
          <w:b/>
        </w:rPr>
        <w:t>INDICE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spacing w:after="0" w:line="240" w:lineRule="auto"/>
        <w:jc w:val="both"/>
      </w:pPr>
    </w:p>
    <w:p w:rsidR="000C61EB" w:rsidRPr="008206E7" w:rsidRDefault="000C61EB" w:rsidP="000C61EB">
      <w:pPr>
        <w:pStyle w:val="Paragrafoelenco"/>
        <w:numPr>
          <w:ilvl w:val="0"/>
          <w:numId w:val="4"/>
        </w:numPr>
        <w:spacing w:after="0" w:line="240" w:lineRule="auto"/>
        <w:rPr>
          <w:b/>
        </w:rPr>
      </w:pPr>
      <w:r w:rsidRPr="008206E7">
        <w:rPr>
          <w:b/>
        </w:rPr>
        <w:t>INTRODUZIONE</w:t>
      </w:r>
    </w:p>
    <w:p w:rsidR="000C61EB" w:rsidRPr="002A3F14" w:rsidRDefault="000C61EB" w:rsidP="000C61EB">
      <w:pPr>
        <w:spacing w:after="0" w:line="240" w:lineRule="auto"/>
        <w:jc w:val="both"/>
      </w:pPr>
    </w:p>
    <w:p w:rsidR="000C61EB" w:rsidRDefault="000C61EB" w:rsidP="000C61EB">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DF7B22">
        <w:rPr>
          <w:b/>
        </w:rPr>
        <w:t>ASPETTI NON CLINICI</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0C61EB">
      <w:pPr>
        <w:pStyle w:val="Paragrafoelenco"/>
        <w:rPr>
          <w:b/>
        </w:rPr>
      </w:pPr>
    </w:p>
    <w:p w:rsidR="000C61EB" w:rsidRPr="002E4DCB" w:rsidRDefault="000C61EB" w:rsidP="000C61EB">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0C61EB">
      <w:pPr>
        <w:pStyle w:val="Paragrafoelenco"/>
        <w:spacing w:after="0" w:line="240" w:lineRule="auto"/>
        <w:ind w:left="1080"/>
        <w:jc w:val="both"/>
        <w:rPr>
          <w:b/>
        </w:rPr>
      </w:pPr>
    </w:p>
    <w:p w:rsidR="000C61EB" w:rsidRPr="00BC23ED" w:rsidRDefault="000C61EB" w:rsidP="000C61EB">
      <w:pPr>
        <w:pStyle w:val="Paragrafoelenco"/>
        <w:numPr>
          <w:ilvl w:val="0"/>
          <w:numId w:val="4"/>
        </w:numPr>
        <w:spacing w:after="0" w:line="240" w:lineRule="auto"/>
        <w:jc w:val="both"/>
        <w:rPr>
          <w:b/>
        </w:rPr>
      </w:pPr>
      <w:r w:rsidRPr="00BC23ED">
        <w:rPr>
          <w:b/>
        </w:rPr>
        <w:t>CONCLUSIONI, VALUTAZIONE DEL RAPPORTO BENEFICIO/RISCHIO E RACCOMANDAZIONI</w:t>
      </w:r>
    </w:p>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Pr="008206E7" w:rsidRDefault="00090E50" w:rsidP="000C61EB">
      <w:pPr>
        <w:pStyle w:val="Paragrafoelenco"/>
        <w:numPr>
          <w:ilvl w:val="0"/>
          <w:numId w:val="5"/>
        </w:numPr>
        <w:spacing w:after="0" w:line="240" w:lineRule="auto"/>
        <w:rPr>
          <w:b/>
        </w:rPr>
      </w:pPr>
      <w:r>
        <w:rPr>
          <w:b/>
        </w:rPr>
        <w:lastRenderedPageBreak/>
        <w:t>I</w:t>
      </w:r>
      <w:r w:rsidR="000C61EB" w:rsidRPr="008206E7">
        <w:rPr>
          <w:b/>
        </w:rPr>
        <w:t>NTRODUZIONE</w:t>
      </w:r>
    </w:p>
    <w:p w:rsidR="004A2E9F" w:rsidRDefault="000C61EB" w:rsidP="004A2E9F">
      <w:pPr>
        <w:autoSpaceDE w:val="0"/>
        <w:autoSpaceDN w:val="0"/>
        <w:adjustRightInd w:val="0"/>
        <w:spacing w:after="0" w:line="240" w:lineRule="auto"/>
        <w:jc w:val="both"/>
        <w:rPr>
          <w:rFonts w:eastAsia="Calibri" w:cs="Calibri"/>
          <w:lang w:eastAsia="it-IT"/>
        </w:rPr>
      </w:pPr>
      <w:r>
        <w:t>Sulla base dei dati di qualità, sicurezza ed efficacia, l’AIFA ha rilasciato a</w:t>
      </w:r>
      <w:r w:rsidR="0059545A">
        <w:t>ll’</w:t>
      </w:r>
      <w:r w:rsidRPr="000C61EB">
        <w:t>Istituto Biochimico Nazionale Savio</w:t>
      </w:r>
      <w:r w:rsidR="0059545A">
        <w:t xml:space="preserve"> </w:t>
      </w:r>
      <w:r>
        <w:t xml:space="preserve">l’autorizzazione all’immissione in </w:t>
      </w:r>
      <w:r w:rsidRPr="00216896">
        <w:t xml:space="preserve">commercio (AIC) </w:t>
      </w:r>
      <w:r w:rsidR="004A2E9F" w:rsidRPr="00216896">
        <w:rPr>
          <w:rFonts w:eastAsia="Calibri" w:cs="Calibri"/>
          <w:bCs/>
          <w:iCs/>
          <w:lang w:eastAsia="it-IT"/>
        </w:rPr>
        <w:t>per le gocce orali e la soluzione orale in contenitori monodose</w:t>
      </w:r>
      <w:r w:rsidR="004A2E9F" w:rsidRPr="00216896">
        <w:t xml:space="preserve"> del</w:t>
      </w:r>
      <w:r w:rsidRPr="00216896">
        <w:t xml:space="preserve"> medicinale </w:t>
      </w:r>
      <w:proofErr w:type="spellStart"/>
      <w:r w:rsidRPr="00216896">
        <w:t>Zibenak</w:t>
      </w:r>
      <w:proofErr w:type="spellEnd"/>
      <w:r w:rsidRPr="00216896">
        <w:t xml:space="preserve"> </w:t>
      </w:r>
      <w:r w:rsidRPr="00216896">
        <w:rPr>
          <w:rFonts w:eastAsia="Calibri" w:cs="Calibri"/>
          <w:bCs/>
          <w:iCs/>
          <w:lang w:eastAsia="it-IT"/>
        </w:rPr>
        <w:t>il 14 aprile 2015</w:t>
      </w:r>
      <w:r w:rsidRPr="00216896">
        <w:t xml:space="preserve">. </w:t>
      </w:r>
      <w:r w:rsidR="004A2E9F" w:rsidRPr="00216896">
        <w:rPr>
          <w:rFonts w:eastAsia="Calibri" w:cs="Calibri"/>
          <w:lang w:eastAsia="it-IT"/>
        </w:rPr>
        <w:t xml:space="preserve">Il </w:t>
      </w:r>
      <w:r w:rsidR="00216896" w:rsidRPr="00216896">
        <w:rPr>
          <w:rFonts w:eastAsia="Calibri" w:cs="Calibri"/>
          <w:lang w:eastAsia="it-IT"/>
        </w:rPr>
        <w:t>22 marzo</w:t>
      </w:r>
      <w:r w:rsidR="004A2E9F" w:rsidRPr="00216896">
        <w:rPr>
          <w:rFonts w:eastAsia="Calibri" w:cs="Calibri"/>
          <w:lang w:eastAsia="it-IT"/>
        </w:rPr>
        <w:t xml:space="preserve"> 2016</w:t>
      </w:r>
      <w:r w:rsidR="004A2E9F" w:rsidRPr="00216896">
        <w:rPr>
          <w:rFonts w:eastAsia="Calibri" w:cs="Calibri"/>
          <w:bCs/>
          <w:iCs/>
          <w:lang w:eastAsia="it-IT"/>
        </w:rPr>
        <w:t xml:space="preserve"> l’AIFA ha rilasciato l’autorizzazione all’immissione in commercio della soluzione orale in flacone </w:t>
      </w:r>
      <w:proofErr w:type="spellStart"/>
      <w:r w:rsidR="004A2E9F" w:rsidRPr="00216896">
        <w:rPr>
          <w:rFonts w:eastAsia="Calibri" w:cs="Calibri"/>
          <w:bCs/>
          <w:iCs/>
          <w:lang w:eastAsia="it-IT"/>
        </w:rPr>
        <w:t>multidose</w:t>
      </w:r>
      <w:proofErr w:type="spellEnd"/>
      <w:r w:rsidR="004A2E9F" w:rsidRPr="00216896">
        <w:rPr>
          <w:rFonts w:eastAsia="Calibri" w:cs="Calibri"/>
          <w:lang w:eastAsia="it-IT"/>
        </w:rPr>
        <w:t>.</w:t>
      </w:r>
    </w:p>
    <w:p w:rsidR="000C61EB" w:rsidRDefault="000C61EB" w:rsidP="000C61EB">
      <w:pPr>
        <w:spacing w:after="0" w:line="240" w:lineRule="auto"/>
        <w:jc w:val="both"/>
      </w:pPr>
    </w:p>
    <w:p w:rsidR="000C61EB" w:rsidRPr="007461B9" w:rsidRDefault="000C61EB" w:rsidP="000C61EB">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Zibenak</w:t>
      </w:r>
      <w:proofErr w:type="spellEnd"/>
      <w:r w:rsidRPr="00FE36E7">
        <w:rPr>
          <w:rFonts w:eastAsia="Calibri" w:cs="Calibri"/>
          <w:color w:val="000000"/>
          <w:lang w:eastAsia="it-IT"/>
        </w:rPr>
        <w:t xml:space="preserve"> può essere ottenuto solo dietro prescrizione da parte del medico </w:t>
      </w:r>
      <w:r w:rsidRPr="007461B9">
        <w:rPr>
          <w:rFonts w:eastAsia="Calibri" w:cs="Calibri"/>
          <w:color w:val="000000"/>
          <w:lang w:eastAsia="it-IT"/>
        </w:rPr>
        <w:t>(ricetta ripetibile).</w:t>
      </w:r>
    </w:p>
    <w:p w:rsidR="000C61EB" w:rsidRPr="007461B9" w:rsidRDefault="000C61EB" w:rsidP="000C61EB">
      <w:pPr>
        <w:spacing w:after="0" w:line="240" w:lineRule="auto"/>
        <w:jc w:val="both"/>
      </w:pPr>
    </w:p>
    <w:p w:rsidR="000C61EB" w:rsidRPr="007461B9" w:rsidRDefault="000C61EB" w:rsidP="000C61EB">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0C61EB" w:rsidRPr="007461B9" w:rsidRDefault="000C61EB" w:rsidP="000C61EB">
      <w:pPr>
        <w:widowControl w:val="0"/>
        <w:spacing w:after="0" w:line="240" w:lineRule="auto"/>
        <w:jc w:val="both"/>
        <w:rPr>
          <w:rFonts w:eastAsia="Calibri" w:cs="Calibri"/>
          <w:bCs/>
          <w:color w:val="000000"/>
          <w:lang w:eastAsia="it-IT"/>
        </w:rPr>
      </w:pPr>
    </w:p>
    <w:p w:rsidR="000C61EB" w:rsidRPr="007461B9" w:rsidRDefault="000C61EB" w:rsidP="0059545A">
      <w:pPr>
        <w:widowControl w:val="0"/>
        <w:spacing w:after="0" w:line="240" w:lineRule="auto"/>
        <w:jc w:val="both"/>
        <w:rPr>
          <w:rFonts w:cs="Calibri"/>
          <w:iCs/>
        </w:rPr>
      </w:pPr>
      <w:proofErr w:type="spellStart"/>
      <w:r>
        <w:rPr>
          <w:rFonts w:eastAsia="Calibri" w:cs="Calibri"/>
          <w:bCs/>
          <w:color w:val="000000"/>
          <w:lang w:eastAsia="it-IT"/>
        </w:rPr>
        <w:t>Zibenak</w:t>
      </w:r>
      <w:proofErr w:type="spellEnd"/>
      <w:r w:rsidRPr="007E00D8">
        <w:rPr>
          <w:rFonts w:eastAsia="Calibri" w:cs="Calibri"/>
          <w:bCs/>
          <w:color w:val="000000"/>
          <w:lang w:eastAsia="it-IT"/>
        </w:rPr>
        <w:t xml:space="preserve"> </w:t>
      </w:r>
      <w:r w:rsidRPr="007E00D8">
        <w:rPr>
          <w:rFonts w:eastAsia="Calibri" w:cs="Calibri"/>
          <w:color w:val="000000"/>
          <w:lang w:eastAsia="it-IT"/>
        </w:rPr>
        <w:t>è un medicinale</w:t>
      </w:r>
      <w:r w:rsidR="0059545A">
        <w:rPr>
          <w:rFonts w:eastAsia="Calibri" w:cs="Calibri"/>
          <w:color w:val="000000"/>
          <w:lang w:eastAsia="it-IT"/>
        </w:rPr>
        <w:t xml:space="preserve">, </w:t>
      </w:r>
      <w:r w:rsidR="0059545A" w:rsidRPr="0059545A">
        <w:rPr>
          <w:rFonts w:eastAsia="Calibri" w:cs="Calibri"/>
          <w:color w:val="000000"/>
          <w:lang w:eastAsia="it-IT"/>
        </w:rPr>
        <w:t xml:space="preserve">il </w:t>
      </w:r>
      <w:r w:rsidR="0059545A">
        <w:rPr>
          <w:rFonts w:eastAsia="Calibri" w:cs="Calibri"/>
          <w:color w:val="000000"/>
          <w:lang w:eastAsia="it-IT"/>
        </w:rPr>
        <w:t>cui</w:t>
      </w:r>
      <w:r w:rsidR="0059545A" w:rsidRPr="0059545A">
        <w:rPr>
          <w:rFonts w:eastAsia="Calibri" w:cs="Calibri"/>
          <w:color w:val="000000"/>
          <w:lang w:eastAsia="it-IT"/>
        </w:rPr>
        <w:t xml:space="preserve"> </w:t>
      </w:r>
      <w:r w:rsidR="0059545A" w:rsidRPr="0059545A">
        <w:rPr>
          <w:color w:val="000000"/>
        </w:rPr>
        <w:t>c</w:t>
      </w:r>
      <w:r w:rsidR="0059545A" w:rsidRPr="0059545A">
        <w:rPr>
          <w:iCs/>
        </w:rPr>
        <w:t xml:space="preserve">odice ATC è </w:t>
      </w:r>
      <w:r w:rsidR="0059545A" w:rsidRPr="0059545A">
        <w:rPr>
          <w:rFonts w:ascii="Calibri" w:hAnsi="Calibri"/>
        </w:rPr>
        <w:t>A11CC05</w:t>
      </w:r>
      <w:r w:rsidR="0059545A">
        <w:rPr>
          <w:iCs/>
        </w:rPr>
        <w:t xml:space="preserve">, </w:t>
      </w:r>
      <w:r w:rsidRPr="007E00D8">
        <w:rPr>
          <w:rFonts w:eastAsia="Calibri" w:cs="Calibri"/>
          <w:color w:val="000000"/>
          <w:lang w:eastAsia="it-IT"/>
        </w:rPr>
        <w:t xml:space="preserve"> contenente </w:t>
      </w:r>
      <w:r>
        <w:rPr>
          <w:rFonts w:eastAsia="Calibri" w:cs="Calibri"/>
          <w:color w:val="000000"/>
          <w:lang w:eastAsia="it-IT"/>
        </w:rPr>
        <w:t>il</w:t>
      </w:r>
      <w:r w:rsidRPr="007E00D8">
        <w:rPr>
          <w:rFonts w:eastAsia="Calibri" w:cs="Calibri"/>
          <w:color w:val="000000"/>
          <w:lang w:eastAsia="it-IT"/>
        </w:rPr>
        <w:t xml:space="preserve"> principi</w:t>
      </w:r>
      <w:r>
        <w:rPr>
          <w:rFonts w:eastAsia="Calibri" w:cs="Calibri"/>
          <w:color w:val="000000"/>
          <w:lang w:eastAsia="it-IT"/>
        </w:rPr>
        <w:t>o</w:t>
      </w:r>
      <w:r w:rsidRPr="007E00D8">
        <w:rPr>
          <w:rFonts w:eastAsia="Calibri" w:cs="Calibri"/>
          <w:color w:val="000000"/>
          <w:lang w:eastAsia="it-IT"/>
        </w:rPr>
        <w:t xml:space="preserve"> attiv</w:t>
      </w:r>
      <w:r>
        <w:rPr>
          <w:rFonts w:eastAsia="Calibri" w:cs="Calibri"/>
          <w:color w:val="000000"/>
          <w:lang w:eastAsia="it-IT"/>
        </w:rPr>
        <w:t>o</w:t>
      </w:r>
      <w:r w:rsidRPr="007E00D8">
        <w:rPr>
          <w:rFonts w:eastAsia="Calibri" w:cs="Calibri"/>
          <w:color w:val="000000"/>
          <w:lang w:eastAsia="it-IT"/>
        </w:rPr>
        <w:t xml:space="preserve">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(vitaminaD</w:t>
      </w:r>
      <w:r w:rsidR="0059545A" w:rsidRPr="0059545A">
        <w:rPr>
          <w:rFonts w:eastAsia="Calibri" w:cs="Calibri"/>
          <w:color w:val="000000"/>
          <w:sz w:val="24"/>
          <w:vertAlign w:val="subscript"/>
          <w:lang w:eastAsia="it-IT"/>
        </w:rPr>
        <w:t>3</w:t>
      </w:r>
      <w:r w:rsidRPr="0059545A">
        <w:rPr>
          <w:rFonts w:eastAsia="Calibri" w:cs="Calibri"/>
          <w:color w:val="000000"/>
          <w:lang w:eastAsia="it-IT"/>
        </w:rPr>
        <w:t>)</w:t>
      </w:r>
      <w:r w:rsidR="0059545A">
        <w:rPr>
          <w:rFonts w:eastAsia="Calibri" w:cs="Calibri"/>
          <w:color w:val="000000"/>
          <w:lang w:eastAsia="it-IT"/>
        </w:rPr>
        <w:t xml:space="preserve"> che è la </w:t>
      </w:r>
      <w:r w:rsidR="009770CC">
        <w:rPr>
          <w:rFonts w:cs="Calibri"/>
          <w:iCs/>
        </w:rPr>
        <w:t xml:space="preserve">forma biologicamente attiva </w:t>
      </w:r>
      <w:r w:rsidR="0059545A">
        <w:rPr>
          <w:rFonts w:cs="Calibri"/>
          <w:iCs/>
        </w:rPr>
        <w:t>del</w:t>
      </w:r>
      <w:r w:rsidR="009770CC">
        <w:rPr>
          <w:rFonts w:cs="Calibri"/>
          <w:iCs/>
        </w:rPr>
        <w:t>la vitamina D</w:t>
      </w:r>
      <w:r w:rsidR="0059545A">
        <w:rPr>
          <w:rFonts w:cs="Calibri"/>
          <w:iCs/>
        </w:rPr>
        <w:t>: esso</w:t>
      </w:r>
      <w:r w:rsidR="009770CC">
        <w:rPr>
          <w:rFonts w:cs="Calibri"/>
          <w:iCs/>
        </w:rPr>
        <w:t xml:space="preserve"> </w:t>
      </w:r>
      <w:r w:rsidR="009770CC">
        <w:rPr>
          <w:rFonts w:ascii="Calibri" w:hAnsi="Calibri"/>
        </w:rPr>
        <w:t>favorisce</w:t>
      </w:r>
      <w:r w:rsidR="009770CC" w:rsidRPr="00592D32">
        <w:rPr>
          <w:rFonts w:ascii="Calibri" w:hAnsi="Calibri"/>
        </w:rPr>
        <w:t xml:space="preserve"> l’assorbimento intestinale di calcio</w:t>
      </w:r>
      <w:r w:rsidR="009770CC">
        <w:rPr>
          <w:rFonts w:ascii="Calibri" w:hAnsi="Calibri"/>
        </w:rPr>
        <w:t xml:space="preserve"> e di fosfati e ne favorisce la fissazione sul tessuto osseo povero di calcio, aumentandone la densità e la resistenza; a livello del rene, la vitamina D diminuisse l’escrezione di calcio e fosfati, aumentandone il riassorbimento tubolare. Il rilascio di paratormone è inibito direttamente dall’attività della vitamina D e, indirettamente, dall’aumento dell’assorbimento intestinale di calcio. </w:t>
      </w:r>
    </w:p>
    <w:p w:rsidR="000C61EB" w:rsidRPr="007461B9" w:rsidRDefault="000C61EB" w:rsidP="000C61EB">
      <w:pPr>
        <w:tabs>
          <w:tab w:val="left" w:pos="0"/>
        </w:tabs>
        <w:overflowPunct w:val="0"/>
        <w:autoSpaceDE w:val="0"/>
        <w:autoSpaceDN w:val="0"/>
        <w:adjustRightInd w:val="0"/>
        <w:spacing w:after="0" w:line="240" w:lineRule="auto"/>
        <w:jc w:val="both"/>
        <w:textAlignment w:val="baseline"/>
        <w:rPr>
          <w:iCs/>
          <w:highlight w:val="yellow"/>
        </w:rPr>
      </w:pPr>
    </w:p>
    <w:p w:rsidR="000C61EB" w:rsidRPr="007461B9" w:rsidRDefault="000C61EB" w:rsidP="000C61EB">
      <w:pPr>
        <w:autoSpaceDE w:val="0"/>
        <w:autoSpaceDN w:val="0"/>
        <w:adjustRightInd w:val="0"/>
        <w:spacing w:after="0" w:line="240" w:lineRule="auto"/>
        <w:jc w:val="both"/>
        <w:rPr>
          <w:bCs/>
        </w:rPr>
      </w:pPr>
      <w:proofErr w:type="spellStart"/>
      <w:r>
        <w:rPr>
          <w:rFonts w:eastAsia="Calibri" w:cs="Calibri"/>
          <w:color w:val="000000"/>
          <w:lang w:eastAsia="it-IT"/>
        </w:rPr>
        <w:t>Zibenak</w:t>
      </w:r>
      <w:proofErr w:type="spellEnd"/>
      <w:r w:rsidRPr="007461B9">
        <w:rPr>
          <w:rFonts w:eastAsia="Calibri" w:cs="Calibri"/>
          <w:color w:val="000000"/>
          <w:lang w:eastAsia="it-IT"/>
        </w:rPr>
        <w:t xml:space="preserve"> </w:t>
      </w:r>
      <w:r w:rsidRPr="007461B9">
        <w:rPr>
          <w:rFonts w:cs="Helvetica"/>
        </w:rPr>
        <w:t xml:space="preserve">è indicato </w:t>
      </w:r>
      <w:r w:rsidR="009770CC">
        <w:rPr>
          <w:rFonts w:cs="Helvetica"/>
        </w:rPr>
        <w:t>nella p</w:t>
      </w:r>
      <w:r w:rsidR="009770CC" w:rsidRPr="00E2214A">
        <w:rPr>
          <w:rFonts w:ascii="Calibri" w:hAnsi="Calibri"/>
        </w:rPr>
        <w:t>revenzione e trattamento della carenza di vitamina D</w:t>
      </w:r>
      <w:r w:rsidRPr="007461B9">
        <w:rPr>
          <w:rFonts w:cs="Calibri"/>
        </w:rPr>
        <w:t>.</w:t>
      </w:r>
    </w:p>
    <w:p w:rsidR="000C61EB" w:rsidRPr="007461B9" w:rsidRDefault="000C61EB" w:rsidP="000C61EB">
      <w:pPr>
        <w:spacing w:after="0" w:line="240" w:lineRule="auto"/>
        <w:jc w:val="both"/>
      </w:pPr>
    </w:p>
    <w:p w:rsidR="000C61EB" w:rsidRPr="00900C91" w:rsidRDefault="009770CC" w:rsidP="000C61EB">
      <w:pPr>
        <w:spacing w:after="0" w:line="240" w:lineRule="auto"/>
        <w:jc w:val="both"/>
      </w:pPr>
      <w:r>
        <w:t xml:space="preserve">A supporto della richiesta di AIC di </w:t>
      </w:r>
      <w:proofErr w:type="spellStart"/>
      <w:r>
        <w:t>Zibenak</w:t>
      </w:r>
      <w:proofErr w:type="spellEnd"/>
      <w:r w:rsidR="0059545A">
        <w:t xml:space="preserve"> sono stati forniti da</w:t>
      </w:r>
      <w:r>
        <w:t>ti bibliografici; non sono stati condotti nuovi studi non clinici e clinici, approccio accettabile per un medicinale contenente un principio attivo per il quale è dimostrato un uso consolidato.</w:t>
      </w:r>
    </w:p>
    <w:p w:rsidR="000C61EB" w:rsidRPr="00900C91" w:rsidRDefault="000C61EB" w:rsidP="000C61EB">
      <w:pPr>
        <w:spacing w:after="0" w:line="240" w:lineRule="auto"/>
        <w:jc w:val="both"/>
      </w:pPr>
    </w:p>
    <w:p w:rsidR="000C61EB" w:rsidRPr="00900C91" w:rsidRDefault="000C61EB" w:rsidP="000C61EB">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rsidR="00D1365C">
        <w:t>i</w:t>
      </w:r>
      <w:r w:rsidRPr="00900C91">
        <w:t>e</w:t>
      </w:r>
      <w:proofErr w:type="spellEnd"/>
      <w:r w:rsidRPr="00900C91">
        <w:t xml:space="preserve"> competenti hanno rilasciato i certificati GMP per i siti di produzione.</w:t>
      </w:r>
    </w:p>
    <w:p w:rsidR="000C61EB" w:rsidRPr="00900C91" w:rsidRDefault="000C61EB" w:rsidP="000C61EB">
      <w:pPr>
        <w:spacing w:after="0" w:line="240" w:lineRule="auto"/>
        <w:jc w:val="both"/>
        <w:rPr>
          <w:highlight w:val="yellow"/>
        </w:rPr>
      </w:pPr>
    </w:p>
    <w:p w:rsidR="000C61EB" w:rsidRPr="00900C91" w:rsidRDefault="000C61EB" w:rsidP="000C61EB">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0C61EB" w:rsidRPr="00900C91" w:rsidRDefault="000C61EB" w:rsidP="000C61EB">
      <w:pPr>
        <w:spacing w:after="0" w:line="240" w:lineRule="auto"/>
        <w:jc w:val="both"/>
      </w:pPr>
    </w:p>
    <w:p w:rsidR="000C61EB" w:rsidRDefault="000C61EB" w:rsidP="000C61EB">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Zibenak</w:t>
      </w:r>
      <w:proofErr w:type="spellEnd"/>
      <w:r w:rsidRPr="00900C91">
        <w:t xml:space="preserve"> contiene </w:t>
      </w:r>
      <w:r w:rsidR="00190C33">
        <w:t xml:space="preserve">un </w:t>
      </w:r>
      <w:r w:rsidRPr="00900C91">
        <w:t>principi</w:t>
      </w:r>
      <w:r w:rsidR="00190C33">
        <w:t xml:space="preserve">o attivo noto </w:t>
      </w:r>
      <w:r w:rsidRPr="00900C91">
        <w:t>present</w:t>
      </w:r>
      <w:r w:rsidR="00190C33">
        <w:t>e</w:t>
      </w:r>
      <w:r w:rsidRPr="00900C91">
        <w:t xml:space="preserve"> in medicinali autorizzati; inoltre, non sono presenti componenti geneticamente modificati; il metodo di produzione e la formulazione del medicinale non presentano problematiche di carattere ambientale.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512512" w:rsidRDefault="00DD4CF7" w:rsidP="000C61EB">
      <w:pPr>
        <w:spacing w:after="0" w:line="240" w:lineRule="auto"/>
        <w:jc w:val="both"/>
      </w:pPr>
      <w:r>
        <w:rPr>
          <w:b/>
        </w:rPr>
        <w:t>II.1</w:t>
      </w:r>
      <w:r w:rsidR="000C61EB" w:rsidRPr="00512512">
        <w:rPr>
          <w:b/>
        </w:rPr>
        <w:t xml:space="preserve"> PRINCIPIO ATTIVO </w:t>
      </w:r>
      <w:r>
        <w:rPr>
          <w:b/>
        </w:rPr>
        <w:t>COLECALCIFEROLO</w:t>
      </w:r>
    </w:p>
    <w:p w:rsidR="000C61EB" w:rsidRPr="00331C95" w:rsidRDefault="000C61EB" w:rsidP="000C61EB">
      <w:pPr>
        <w:autoSpaceDE w:val="0"/>
        <w:autoSpaceDN w:val="0"/>
        <w:adjustRightInd w:val="0"/>
        <w:spacing w:after="0" w:line="240" w:lineRule="auto"/>
        <w:rPr>
          <w:highlight w:val="yellow"/>
        </w:rPr>
      </w:pPr>
      <w:r w:rsidRPr="00331C95">
        <w:rPr>
          <w:u w:val="single"/>
        </w:rPr>
        <w:t>Nome chimico</w:t>
      </w:r>
      <w:r w:rsidR="00331C95" w:rsidRPr="00331C95">
        <w:t xml:space="preserve">: </w:t>
      </w:r>
      <w:r w:rsidRPr="00331C95">
        <w:t xml:space="preserve"> </w:t>
      </w:r>
      <w:r w:rsidR="00331C95" w:rsidRPr="00331C95">
        <w:rPr>
          <w:rStyle w:val="s1"/>
          <w:rFonts w:asciiTheme="minorHAnsi" w:hAnsiTheme="minorHAnsi"/>
        </w:rPr>
        <w:t>(5</w:t>
      </w:r>
      <w:r w:rsidR="00331C95" w:rsidRPr="00331C95">
        <w:rPr>
          <w:rStyle w:val="s1"/>
          <w:rFonts w:asciiTheme="minorHAnsi" w:hAnsiTheme="minorHAnsi"/>
          <w:i/>
          <w:iCs/>
        </w:rPr>
        <w:t>Z</w:t>
      </w:r>
      <w:r w:rsidR="00331C95" w:rsidRPr="00331C95">
        <w:rPr>
          <w:rStyle w:val="s1"/>
          <w:rFonts w:asciiTheme="minorHAnsi" w:hAnsiTheme="minorHAnsi"/>
        </w:rPr>
        <w:t>,7</w:t>
      </w:r>
      <w:r w:rsidR="00331C95" w:rsidRPr="00331C95">
        <w:rPr>
          <w:rStyle w:val="s1"/>
          <w:rFonts w:asciiTheme="minorHAnsi" w:hAnsiTheme="minorHAnsi"/>
          <w:i/>
          <w:iCs/>
        </w:rPr>
        <w:t>E</w:t>
      </w:r>
      <w:r w:rsidR="00331C95" w:rsidRPr="00331C95">
        <w:rPr>
          <w:rStyle w:val="s1"/>
          <w:rFonts w:asciiTheme="minorHAnsi" w:hAnsiTheme="minorHAnsi"/>
        </w:rPr>
        <w:t>)-9,10-Secocholesta-5,7,10(19)-trien-3β-ol</w:t>
      </w:r>
      <w:r w:rsidRPr="00331C95">
        <w:rPr>
          <w:rStyle w:val="s1"/>
          <w:rFonts w:asciiTheme="minorHAnsi" w:hAnsiTheme="minorHAnsi"/>
        </w:rPr>
        <w:t>.</w:t>
      </w:r>
    </w:p>
    <w:p w:rsidR="000C61EB" w:rsidRPr="00FD0C63" w:rsidRDefault="000C61EB" w:rsidP="000C61EB">
      <w:pPr>
        <w:spacing w:after="0" w:line="240" w:lineRule="auto"/>
        <w:jc w:val="both"/>
      </w:pPr>
      <w:r w:rsidRPr="00FD0C63">
        <w:rPr>
          <w:u w:val="single"/>
        </w:rPr>
        <w:t>Struttura</w:t>
      </w:r>
      <w:r w:rsidRPr="00FD0C63">
        <w:t>:</w:t>
      </w:r>
    </w:p>
    <w:p w:rsidR="000C61EB" w:rsidRDefault="00331C95" w:rsidP="000C61EB">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1722286" cy="1471962"/>
            <wp:effectExtent l="19050" t="0" r="0" b="0"/>
            <wp:docPr id="2"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7" cstate="print"/>
                    <a:srcRect/>
                    <a:stretch>
                      <a:fillRect/>
                    </a:stretch>
                  </pic:blipFill>
                  <pic:spPr bwMode="auto">
                    <a:xfrm>
                      <a:off x="0" y="0"/>
                      <a:ext cx="1724026" cy="1473449"/>
                    </a:xfrm>
                    <a:prstGeom prst="rect">
                      <a:avLst/>
                    </a:prstGeom>
                    <a:noFill/>
                    <a:ln w="9525">
                      <a:noFill/>
                      <a:miter lim="800000"/>
                      <a:headEnd/>
                      <a:tailEnd/>
                    </a:ln>
                  </pic:spPr>
                </pic:pic>
              </a:graphicData>
            </a:graphic>
          </wp:inline>
        </w:drawing>
      </w:r>
    </w:p>
    <w:p w:rsidR="000C61EB" w:rsidRPr="00900C91" w:rsidRDefault="000C61EB" w:rsidP="000C61EB">
      <w:pPr>
        <w:spacing w:after="0" w:line="240" w:lineRule="auto"/>
        <w:jc w:val="center"/>
        <w:rPr>
          <w:highlight w:val="yellow"/>
        </w:rPr>
      </w:pPr>
    </w:p>
    <w:p w:rsidR="000C61EB" w:rsidRPr="00331C95" w:rsidRDefault="000C61EB" w:rsidP="000C61EB">
      <w:pPr>
        <w:spacing w:after="0" w:line="240" w:lineRule="auto"/>
        <w:jc w:val="both"/>
      </w:pPr>
      <w:r w:rsidRPr="00331C95">
        <w:rPr>
          <w:u w:val="single"/>
        </w:rPr>
        <w:t>Formula molecolare</w:t>
      </w:r>
      <w:r w:rsidRPr="00331C95">
        <w:t>:</w:t>
      </w:r>
      <w:r w:rsidRPr="00331C95">
        <w:rPr>
          <w:rStyle w:val="s1"/>
          <w:rFonts w:asciiTheme="minorHAnsi" w:hAnsiTheme="minorHAnsi"/>
        </w:rPr>
        <w:t xml:space="preserve"> </w:t>
      </w:r>
      <w:r w:rsidR="009770CC" w:rsidRPr="00331C95">
        <w:rPr>
          <w:rStyle w:val="s1"/>
          <w:rFonts w:asciiTheme="minorHAnsi" w:hAnsiTheme="minorHAnsi"/>
        </w:rPr>
        <w:t>C</w:t>
      </w:r>
      <w:r w:rsidR="009770CC" w:rsidRPr="00331C95">
        <w:rPr>
          <w:rStyle w:val="s1"/>
          <w:rFonts w:asciiTheme="minorHAnsi" w:hAnsiTheme="minorHAnsi"/>
          <w:vertAlign w:val="subscript"/>
        </w:rPr>
        <w:t>27</w:t>
      </w:r>
      <w:r w:rsidR="009770CC" w:rsidRPr="00331C95">
        <w:rPr>
          <w:rStyle w:val="s1"/>
          <w:rFonts w:asciiTheme="minorHAnsi" w:hAnsiTheme="minorHAnsi"/>
        </w:rPr>
        <w:t>H</w:t>
      </w:r>
      <w:r w:rsidR="009770CC" w:rsidRPr="00331C95">
        <w:rPr>
          <w:rStyle w:val="s1"/>
          <w:rFonts w:asciiTheme="minorHAnsi" w:hAnsiTheme="minorHAnsi"/>
          <w:vertAlign w:val="subscript"/>
        </w:rPr>
        <w:t>44</w:t>
      </w:r>
      <w:r w:rsidR="009770CC" w:rsidRPr="00331C95">
        <w:rPr>
          <w:rStyle w:val="s1"/>
          <w:rFonts w:asciiTheme="minorHAnsi" w:hAnsiTheme="minorHAnsi"/>
        </w:rPr>
        <w:t>O</w:t>
      </w:r>
    </w:p>
    <w:p w:rsidR="000C61EB" w:rsidRPr="00331C95" w:rsidRDefault="000C61EB" w:rsidP="000C61EB">
      <w:pPr>
        <w:spacing w:after="0" w:line="240" w:lineRule="auto"/>
        <w:jc w:val="both"/>
      </w:pPr>
      <w:r w:rsidRPr="00331C95">
        <w:rPr>
          <w:u w:val="single"/>
        </w:rPr>
        <w:lastRenderedPageBreak/>
        <w:t>Peso molecolare</w:t>
      </w:r>
      <w:r w:rsidRPr="00331C95">
        <w:t>:</w:t>
      </w:r>
      <w:r w:rsidRPr="00331C95">
        <w:rPr>
          <w:rFonts w:cs="Arial"/>
          <w:color w:val="252525"/>
          <w:shd w:val="clear" w:color="auto" w:fill="F9F9F9"/>
        </w:rPr>
        <w:t xml:space="preserve"> </w:t>
      </w:r>
      <w:r w:rsidR="00331C95" w:rsidRPr="00331C95">
        <w:rPr>
          <w:rStyle w:val="s1"/>
          <w:rFonts w:asciiTheme="minorHAnsi" w:hAnsiTheme="minorHAnsi"/>
        </w:rPr>
        <w:t xml:space="preserve">384.6 </w:t>
      </w:r>
      <w:r w:rsidRPr="00331C95">
        <w:rPr>
          <w:rStyle w:val="s1"/>
          <w:rFonts w:asciiTheme="minorHAnsi" w:hAnsiTheme="minorHAnsi"/>
        </w:rPr>
        <w:t>g/mol</w:t>
      </w:r>
    </w:p>
    <w:p w:rsidR="000C61EB" w:rsidRPr="00331C95" w:rsidRDefault="000C61EB" w:rsidP="000C61EB">
      <w:pPr>
        <w:spacing w:after="0" w:line="240" w:lineRule="auto"/>
        <w:jc w:val="both"/>
      </w:pPr>
      <w:r w:rsidRPr="00331C95">
        <w:rPr>
          <w:u w:val="single"/>
        </w:rPr>
        <w:t>CAS</w:t>
      </w:r>
      <w:r w:rsidRPr="00331C95">
        <w:t xml:space="preserve">: </w:t>
      </w:r>
      <w:r w:rsidR="00331C95" w:rsidRPr="00331C95">
        <w:rPr>
          <w:rStyle w:val="s1"/>
          <w:rFonts w:asciiTheme="minorHAnsi" w:hAnsiTheme="minorHAnsi"/>
        </w:rPr>
        <w:t>[67-97-0]</w:t>
      </w:r>
    </w:p>
    <w:p w:rsidR="000C61EB" w:rsidRPr="00331C95" w:rsidRDefault="000C61EB" w:rsidP="000C61EB">
      <w:pPr>
        <w:spacing w:after="0" w:line="240" w:lineRule="auto"/>
        <w:jc w:val="both"/>
      </w:pPr>
      <w:r w:rsidRPr="00331C95">
        <w:rPr>
          <w:u w:val="single"/>
        </w:rPr>
        <w:t>Aspetto</w:t>
      </w:r>
      <w:r w:rsidRPr="00331C95">
        <w:t xml:space="preserve">: </w:t>
      </w:r>
      <w:r w:rsidR="00331C95">
        <w:t>cristalli</w:t>
      </w:r>
      <w:r w:rsidRPr="00331C95">
        <w:t xml:space="preserve"> bianc</w:t>
      </w:r>
      <w:r w:rsidR="00331C95">
        <w:t>hi</w:t>
      </w:r>
      <w:r w:rsidRPr="00331C95">
        <w:t xml:space="preserve"> o quasi bianc</w:t>
      </w:r>
      <w:r w:rsidR="00331C95">
        <w:t>hi</w:t>
      </w:r>
    </w:p>
    <w:p w:rsidR="00331C95" w:rsidRPr="00331C95" w:rsidRDefault="000C61EB" w:rsidP="0059545A">
      <w:pPr>
        <w:spacing w:line="260" w:lineRule="atLeast"/>
        <w:jc w:val="both"/>
      </w:pPr>
      <w:r w:rsidRPr="00331C95">
        <w:rPr>
          <w:u w:val="single"/>
        </w:rPr>
        <w:t>Solubilità</w:t>
      </w:r>
      <w:r w:rsidRPr="00331C95">
        <w:t>:</w:t>
      </w:r>
      <w:r w:rsidR="0059545A">
        <w:t xml:space="preserve"> </w:t>
      </w:r>
      <w:r w:rsidR="00331C95" w:rsidRPr="00331C95">
        <w:t xml:space="preserve">praticamente insolubile in acqua, molto solubile in etanolo 96%, solubile in </w:t>
      </w:r>
      <w:proofErr w:type="spellStart"/>
      <w:r w:rsidR="00331C95" w:rsidRPr="00331C95">
        <w:t>trimetilpentano</w:t>
      </w:r>
      <w:proofErr w:type="spellEnd"/>
      <w:r w:rsidR="00331C95" w:rsidRPr="00331C95">
        <w:t xml:space="preserve"> e negli oli grassi.</w:t>
      </w:r>
      <w:r w:rsidR="00331C95">
        <w:t xml:space="preserve"> E’ sensibile all’aria, al c</w:t>
      </w:r>
      <w:r w:rsidR="0059545A">
        <w:t>a</w:t>
      </w:r>
      <w:r w:rsidR="00331C95">
        <w:t>lore e alla luce:</w:t>
      </w:r>
      <w:r w:rsidR="0059545A">
        <w:t xml:space="preserve"> le</w:t>
      </w:r>
      <w:r w:rsidR="00331C95">
        <w:t xml:space="preserve"> soluzioni senza </w:t>
      </w:r>
      <w:r w:rsidR="0059545A">
        <w:t xml:space="preserve">la presenza di </w:t>
      </w:r>
      <w:r w:rsidR="00331C95">
        <w:t>un antiossidante sono instabili e devono essere utilizzate immediatamente.</w:t>
      </w:r>
    </w:p>
    <w:p w:rsidR="00331C95" w:rsidRPr="00A72D8A" w:rsidRDefault="000C61EB" w:rsidP="0059545A">
      <w:pPr>
        <w:spacing w:after="0" w:line="240" w:lineRule="auto"/>
        <w:jc w:val="both"/>
      </w:pPr>
      <w:r w:rsidRPr="009A33E4">
        <w:t xml:space="preserve">Il principio attivo </w:t>
      </w:r>
      <w:proofErr w:type="spellStart"/>
      <w:r w:rsidR="00331C95">
        <w:t>colecalciferolo</w:t>
      </w:r>
      <w:proofErr w:type="spellEnd"/>
      <w:r w:rsidRPr="009A33E4">
        <w:t xml:space="preserve"> </w:t>
      </w:r>
      <w:r w:rsidR="00331C95" w:rsidRPr="00A72D8A">
        <w:t xml:space="preserve">è presente in Farmacopea Europea e il </w:t>
      </w:r>
      <w:proofErr w:type="spellStart"/>
      <w:r w:rsidR="00331C95" w:rsidRPr="00A72D8A">
        <w:t>Direttorato</w:t>
      </w:r>
      <w:proofErr w:type="spellEnd"/>
      <w:r w:rsidR="00331C95" w:rsidRPr="00A72D8A">
        <w:t xml:space="preserve"> Europeo per la Qualità dei Medicinali (</w:t>
      </w:r>
      <w:proofErr w:type="spellStart"/>
      <w:r w:rsidR="00331C95" w:rsidRPr="00A72D8A">
        <w:rPr>
          <w:i/>
        </w:rPr>
        <w:t>European</w:t>
      </w:r>
      <w:proofErr w:type="spellEnd"/>
      <w:r w:rsidR="00331C95" w:rsidRPr="00A72D8A">
        <w:rPr>
          <w:i/>
        </w:rPr>
        <w:t xml:space="preserve"> </w:t>
      </w:r>
      <w:proofErr w:type="spellStart"/>
      <w:r w:rsidR="00331C95" w:rsidRPr="00A72D8A">
        <w:rPr>
          <w:i/>
        </w:rPr>
        <w:t>Directorate</w:t>
      </w:r>
      <w:proofErr w:type="spellEnd"/>
      <w:r w:rsidR="00331C95" w:rsidRPr="00A72D8A">
        <w:rPr>
          <w:i/>
        </w:rPr>
        <w:t xml:space="preserve"> </w:t>
      </w:r>
      <w:proofErr w:type="spellStart"/>
      <w:r w:rsidR="00331C95" w:rsidRPr="00A72D8A">
        <w:rPr>
          <w:i/>
        </w:rPr>
        <w:t>for</w:t>
      </w:r>
      <w:proofErr w:type="spellEnd"/>
      <w:r w:rsidR="00331C95" w:rsidRPr="00A72D8A">
        <w:rPr>
          <w:i/>
        </w:rPr>
        <w:t xml:space="preserve"> </w:t>
      </w:r>
      <w:proofErr w:type="spellStart"/>
      <w:r w:rsidR="00331C95" w:rsidRPr="00A72D8A">
        <w:rPr>
          <w:i/>
        </w:rPr>
        <w:t>Quality</w:t>
      </w:r>
      <w:proofErr w:type="spellEnd"/>
      <w:r w:rsidR="00331C95" w:rsidRPr="00A72D8A">
        <w:rPr>
          <w:i/>
        </w:rPr>
        <w:t xml:space="preserve"> </w:t>
      </w:r>
      <w:proofErr w:type="spellStart"/>
      <w:r w:rsidR="00331C95" w:rsidRPr="00A72D8A">
        <w:rPr>
          <w:i/>
        </w:rPr>
        <w:t>of</w:t>
      </w:r>
      <w:proofErr w:type="spellEnd"/>
      <w:r w:rsidR="00331C95" w:rsidRPr="00A72D8A">
        <w:rPr>
          <w:i/>
        </w:rPr>
        <w:t xml:space="preserve"> </w:t>
      </w:r>
      <w:proofErr w:type="spellStart"/>
      <w:r w:rsidR="00331C95" w:rsidRPr="00A72D8A">
        <w:rPr>
          <w:i/>
        </w:rPr>
        <w:t>Medicnals</w:t>
      </w:r>
      <w:proofErr w:type="spellEnd"/>
      <w:r w:rsidR="00331C95" w:rsidRPr="00A72D8A">
        <w:t xml:space="preserve"> – EDQM) ha rilasciato al produttore il certificato di conformità alla Farmacopea Europea</w:t>
      </w:r>
    </w:p>
    <w:p w:rsidR="00331C95" w:rsidRDefault="0059545A" w:rsidP="00331C95">
      <w:pPr>
        <w:spacing w:after="0" w:line="240" w:lineRule="auto"/>
        <w:jc w:val="both"/>
      </w:pPr>
      <w:r>
        <w:t xml:space="preserve">Ad eccezione del confezionamento primario e della stabilità, gli </w:t>
      </w:r>
      <w:r w:rsidR="00331C95" w:rsidRPr="00A72D8A">
        <w:t>aspetti di produzione e controllo sono coperti dal certificato di conformità alla Farmacopea Europea</w:t>
      </w:r>
      <w:r w:rsidR="00331C95">
        <w:t>.</w:t>
      </w:r>
    </w:p>
    <w:p w:rsidR="00331C95" w:rsidRDefault="00331C95" w:rsidP="00331C95">
      <w:pPr>
        <w:spacing w:after="0" w:line="240" w:lineRule="auto"/>
        <w:jc w:val="both"/>
      </w:pPr>
      <w:r>
        <w:t xml:space="preserve">Il principio attivo è confezionato in un adeguato contenitore, per il quale sono stati forniti specifiche e certificati analitici. Il confezionamento primario è </w:t>
      </w:r>
      <w:r w:rsidR="0059545A">
        <w:t xml:space="preserve">un </w:t>
      </w:r>
      <w:r>
        <w:t>contenitore di alluminio.</w:t>
      </w:r>
    </w:p>
    <w:p w:rsidR="00331C95" w:rsidRDefault="00331C95" w:rsidP="00331C95">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w:t>
      </w:r>
      <w:r w:rsidR="00164C42">
        <w:t>36</w:t>
      </w:r>
      <w:r>
        <w:t xml:space="preserve"> </w:t>
      </w:r>
      <w:r w:rsidR="0059545A">
        <w:t>mesi</w:t>
      </w:r>
      <w:r>
        <w:t>.</w:t>
      </w:r>
    </w:p>
    <w:p w:rsidR="000C61EB" w:rsidRPr="00900C91" w:rsidRDefault="000C61EB" w:rsidP="00331C95">
      <w:pPr>
        <w:spacing w:after="0" w:line="240" w:lineRule="auto"/>
        <w:jc w:val="both"/>
        <w:rPr>
          <w:highlight w:val="yellow"/>
        </w:rPr>
      </w:pPr>
    </w:p>
    <w:p w:rsidR="000C61EB" w:rsidRDefault="000C61EB" w:rsidP="000C61EB">
      <w:pPr>
        <w:spacing w:after="0" w:line="240" w:lineRule="auto"/>
        <w:jc w:val="both"/>
      </w:pPr>
    </w:p>
    <w:p w:rsidR="000C61EB" w:rsidRPr="00532E32" w:rsidRDefault="000C61EB" w:rsidP="000C61EB">
      <w:pPr>
        <w:spacing w:after="0" w:line="240" w:lineRule="auto"/>
        <w:jc w:val="both"/>
        <w:rPr>
          <w:b/>
        </w:rPr>
      </w:pPr>
      <w:r w:rsidRPr="00532E32">
        <w:rPr>
          <w:b/>
        </w:rPr>
        <w:t>II.2 PRODOTTO FINITO</w:t>
      </w:r>
    </w:p>
    <w:p w:rsidR="000C61EB" w:rsidRPr="00532E32" w:rsidRDefault="000C61EB" w:rsidP="000C61EB">
      <w:pPr>
        <w:spacing w:after="0" w:line="240" w:lineRule="auto"/>
        <w:jc w:val="both"/>
        <w:rPr>
          <w:b/>
        </w:rPr>
      </w:pPr>
      <w:r w:rsidRPr="00532E32">
        <w:rPr>
          <w:b/>
        </w:rPr>
        <w:t>Descrizione e composizione</w:t>
      </w:r>
    </w:p>
    <w:p w:rsidR="000C61EB" w:rsidRPr="00D33431" w:rsidRDefault="000C61EB" w:rsidP="000C61EB">
      <w:pPr>
        <w:widowControl w:val="0"/>
        <w:spacing w:after="0" w:line="240" w:lineRule="auto"/>
        <w:jc w:val="both"/>
      </w:pPr>
      <w:proofErr w:type="spellStart"/>
      <w:r>
        <w:rPr>
          <w:rFonts w:eastAsia="Calibri" w:cs="Calibri"/>
          <w:color w:val="000000"/>
          <w:lang w:eastAsia="it-IT"/>
        </w:rPr>
        <w:t>Zibenak</w:t>
      </w:r>
      <w:proofErr w:type="spellEnd"/>
      <w:r w:rsidRPr="00D33431">
        <w:rPr>
          <w:rFonts w:eastAsia="Calibri" w:cs="Calibri"/>
          <w:color w:val="000000"/>
          <w:lang w:eastAsia="it-IT"/>
        </w:rPr>
        <w:t xml:space="preserve"> è </w:t>
      </w:r>
      <w:r w:rsidR="008F2E05" w:rsidRPr="000E0632">
        <w:rPr>
          <w:rFonts w:eastAsia="Calibri" w:cs="Calibri"/>
          <w:color w:val="000000"/>
          <w:lang w:eastAsia="it-IT"/>
        </w:rPr>
        <w:t xml:space="preserve">disponibile in </w:t>
      </w:r>
      <w:r w:rsidR="008F2E05" w:rsidRPr="00081A1C">
        <w:rPr>
          <w:rFonts w:eastAsia="Calibri" w:cs="Calibri"/>
          <w:color w:val="000000"/>
          <w:lang w:eastAsia="it-IT"/>
        </w:rPr>
        <w:t>soluzione orale in contenitori monodose da 25.000 U.I. e da 50.000 U.I</w:t>
      </w:r>
      <w:r w:rsidR="008F2E05">
        <w:rPr>
          <w:rFonts w:eastAsia="Calibri" w:cs="Calibri"/>
          <w:color w:val="000000"/>
          <w:lang w:eastAsia="it-IT"/>
        </w:rPr>
        <w:t>.</w:t>
      </w:r>
      <w:r w:rsidR="008F2E05" w:rsidRPr="008F2E05">
        <w:rPr>
          <w:rFonts w:eastAsia="Calibri" w:cs="Calibri"/>
          <w:color w:val="000000"/>
          <w:lang w:eastAsia="it-IT"/>
        </w:rPr>
        <w:t xml:space="preserve"> </w:t>
      </w:r>
      <w:r w:rsidR="008F2E05">
        <w:rPr>
          <w:rFonts w:eastAsia="Calibri" w:cs="Calibri"/>
          <w:color w:val="000000"/>
          <w:lang w:eastAsia="it-IT"/>
        </w:rPr>
        <w:t xml:space="preserve">e in flacone </w:t>
      </w:r>
      <w:proofErr w:type="spellStart"/>
      <w:r w:rsidR="008F2E05">
        <w:rPr>
          <w:rFonts w:eastAsia="Calibri" w:cs="Calibri"/>
          <w:color w:val="000000"/>
          <w:lang w:eastAsia="it-IT"/>
        </w:rPr>
        <w:t>multidose</w:t>
      </w:r>
      <w:proofErr w:type="spellEnd"/>
      <w:r w:rsidR="008F2E05">
        <w:rPr>
          <w:rFonts w:eastAsia="Calibri" w:cs="Calibri"/>
          <w:color w:val="000000"/>
          <w:lang w:eastAsia="it-IT"/>
        </w:rPr>
        <w:t xml:space="preserve"> con siringa dosatrice da 25.000 U.I./2,5 ml. E’ disponibile, inoltre, in gocce orali alla concentrazione di 10.000 U.I./ml.</w:t>
      </w:r>
    </w:p>
    <w:p w:rsidR="000C61EB" w:rsidRPr="005F7971" w:rsidRDefault="00147CCF" w:rsidP="00147CCF">
      <w:pPr>
        <w:spacing w:after="0" w:line="240" w:lineRule="auto"/>
        <w:jc w:val="both"/>
      </w:pPr>
      <w:r>
        <w:t>L’unico eccipiente è l’olio di oliva raffinato nel quale è solubilizzato il principio attivo: esso</w:t>
      </w:r>
      <w:r w:rsidR="000C61EB" w:rsidRPr="00F93450">
        <w:t xml:space="preserve"> </w:t>
      </w:r>
      <w:r>
        <w:t xml:space="preserve">è </w:t>
      </w:r>
      <w:r w:rsidR="000C61EB" w:rsidRPr="00F93450">
        <w:t>conform</w:t>
      </w:r>
      <w:r>
        <w:t>e</w:t>
      </w:r>
      <w:r w:rsidR="000C61EB" w:rsidRPr="00F93450">
        <w:t xml:space="preserve"> alla relativa monografia di Farmacopea Europea</w:t>
      </w:r>
      <w:r>
        <w:t>.</w:t>
      </w:r>
    </w:p>
    <w:p w:rsidR="000C61EB" w:rsidRDefault="000C61EB" w:rsidP="000C61EB">
      <w:pPr>
        <w:spacing w:after="0" w:line="240" w:lineRule="auto"/>
        <w:jc w:val="both"/>
      </w:pPr>
      <w:r w:rsidRPr="00F93450">
        <w:t>Nessun eccipiente è ottenuto da organismi geneticamente modificati; non sono presenti eccipienti mai utilizzati nell’uomo.</w:t>
      </w:r>
    </w:p>
    <w:p w:rsidR="000C61EB" w:rsidRDefault="000C61EB" w:rsidP="000C61EB">
      <w:pPr>
        <w:spacing w:after="0" w:line="240" w:lineRule="auto"/>
        <w:jc w:val="both"/>
      </w:pPr>
    </w:p>
    <w:p w:rsidR="000C61EB" w:rsidRPr="009320D1" w:rsidRDefault="000C61EB" w:rsidP="000C61EB">
      <w:pPr>
        <w:spacing w:after="0" w:line="240" w:lineRule="auto"/>
        <w:jc w:val="both"/>
        <w:rPr>
          <w:b/>
        </w:rPr>
      </w:pPr>
      <w:r w:rsidRPr="009320D1">
        <w:rPr>
          <w:b/>
        </w:rPr>
        <w:t>Sviluppo farmaceutico</w:t>
      </w:r>
    </w:p>
    <w:p w:rsidR="000C61EB" w:rsidRDefault="000C61EB" w:rsidP="000C61EB">
      <w:pPr>
        <w:spacing w:after="0" w:line="240" w:lineRule="auto"/>
        <w:jc w:val="both"/>
      </w:pPr>
      <w:r>
        <w:t>Sono stati forniti dettagli dello sviluppo farmaceutico e questi sono stati ritenuti soddisfacenti.</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 xml:space="preserve">Produzione </w:t>
      </w:r>
    </w:p>
    <w:p w:rsidR="000C61EB" w:rsidRDefault="000C61EB" w:rsidP="000C61EB">
      <w:pPr>
        <w:spacing w:after="0" w:line="240" w:lineRule="auto"/>
        <w:jc w:val="both"/>
      </w:pPr>
      <w:r>
        <w:t>Sono stati forniti una descrizione del metodo di produzione e la relativa flow-chart.</w:t>
      </w:r>
    </w:p>
    <w:p w:rsidR="000C61EB" w:rsidRDefault="000C61EB" w:rsidP="000C61EB">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Specifiche del prodotto finito</w:t>
      </w:r>
    </w:p>
    <w:p w:rsidR="000C61EB" w:rsidRPr="005702AF" w:rsidRDefault="000C61EB" w:rsidP="000C61EB">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per tutti i dosaggi 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0C61EB">
      <w:pPr>
        <w:spacing w:after="0" w:line="240" w:lineRule="auto"/>
        <w:jc w:val="both"/>
        <w:rPr>
          <w:b/>
        </w:rPr>
      </w:pPr>
    </w:p>
    <w:p w:rsidR="000C61EB" w:rsidRPr="005702AF" w:rsidRDefault="000C61EB" w:rsidP="000C61EB">
      <w:pPr>
        <w:spacing w:after="0" w:line="240" w:lineRule="auto"/>
        <w:jc w:val="both"/>
        <w:rPr>
          <w:b/>
        </w:rPr>
      </w:pPr>
      <w:r w:rsidRPr="005702AF">
        <w:rPr>
          <w:b/>
        </w:rPr>
        <w:t>Contenitore</w:t>
      </w:r>
    </w:p>
    <w:p w:rsidR="000C61EB" w:rsidRDefault="000C61EB" w:rsidP="000C61EB">
      <w:pPr>
        <w:spacing w:after="0" w:line="240" w:lineRule="auto"/>
        <w:jc w:val="both"/>
      </w:pPr>
      <w:proofErr w:type="spellStart"/>
      <w:r w:rsidRPr="008F2E05">
        <w:t>Zibenak</w:t>
      </w:r>
      <w:proofErr w:type="spellEnd"/>
      <w:r w:rsidRPr="008F2E05">
        <w:t xml:space="preserve"> è confezionato in </w:t>
      </w:r>
      <w:r w:rsidR="00147CCF" w:rsidRPr="008F2E05">
        <w:t>contenitori di vetro ambrato</w:t>
      </w:r>
      <w:r w:rsidR="00DD4CF7" w:rsidRPr="008F2E05">
        <w:t>. La soluzione orale è contenuta in contenitori monodose</w:t>
      </w:r>
      <w:r w:rsidR="008F2E05" w:rsidRPr="008F2E05">
        <w:t xml:space="preserve"> e in flacone </w:t>
      </w:r>
      <w:proofErr w:type="spellStart"/>
      <w:r w:rsidR="008F2E05" w:rsidRPr="008F2E05">
        <w:t>multidose</w:t>
      </w:r>
      <w:proofErr w:type="spellEnd"/>
      <w:r w:rsidR="008F2E05" w:rsidRPr="008F2E05">
        <w:t xml:space="preserve"> provvisto di siringa dosatrice</w:t>
      </w:r>
      <w:r w:rsidR="00DD4CF7" w:rsidRPr="008F2E05">
        <w:t xml:space="preserve">; </w:t>
      </w:r>
      <w:r w:rsidR="00147CCF" w:rsidRPr="008F2E05">
        <w:t>il flacone delle gocce orali è provvisto di contagocce</w:t>
      </w:r>
      <w:r w:rsidRPr="008F2E05">
        <w:t>. Sono state fornite specifiche e certificati analitici per tutti i componenti del confezionamento primario, che è adeguato per il medicinale.</w:t>
      </w:r>
    </w:p>
    <w:p w:rsidR="00147CCF" w:rsidRPr="005702AF" w:rsidRDefault="00147CCF" w:rsidP="000C61EB">
      <w:pPr>
        <w:spacing w:after="0" w:line="240" w:lineRule="auto"/>
        <w:jc w:val="both"/>
      </w:pPr>
    </w:p>
    <w:p w:rsidR="000C61EB" w:rsidRPr="005702AF" w:rsidRDefault="000C61EB" w:rsidP="000C61EB">
      <w:pPr>
        <w:spacing w:after="0" w:line="240" w:lineRule="auto"/>
        <w:jc w:val="both"/>
        <w:rPr>
          <w:b/>
        </w:rPr>
      </w:pPr>
      <w:r w:rsidRPr="005702AF">
        <w:rPr>
          <w:b/>
        </w:rPr>
        <w:t>Stabilità</w:t>
      </w:r>
    </w:p>
    <w:p w:rsidR="000C61EB" w:rsidRDefault="000C61EB" w:rsidP="000C61EB">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t xml:space="preserve">è stato autorizzato un periodo di validità di </w:t>
      </w:r>
      <w:r w:rsidRPr="00F93450">
        <w:t xml:space="preserve">18 mesi </w:t>
      </w:r>
      <w:r w:rsidR="00147CCF">
        <w:t xml:space="preserve">con </w:t>
      </w:r>
      <w:r>
        <w:t>conservazione</w:t>
      </w:r>
      <w:r w:rsidR="00147CCF">
        <w:t xml:space="preserve"> a temperatura non superiore a 30°C. Le gocce orali devono essere </w:t>
      </w:r>
      <w:r w:rsidR="00147CCF">
        <w:lastRenderedPageBreak/>
        <w:t>utilizzate entro 5 mesi dalla prima apertura del flacone.</w:t>
      </w:r>
      <w:r w:rsidR="008F2E05">
        <w:t xml:space="preserve"> La soluzione orale in flacone </w:t>
      </w:r>
      <w:proofErr w:type="spellStart"/>
      <w:r w:rsidR="008F2E05">
        <w:t>multidose</w:t>
      </w:r>
      <w:proofErr w:type="spellEnd"/>
      <w:r w:rsidR="008F2E05">
        <w:t xml:space="preserve"> deve essere utilizzata entro 6 mesi dalla prima apertura del flacone.</w:t>
      </w:r>
    </w:p>
    <w:p w:rsidR="0090632E" w:rsidRDefault="0090632E" w:rsidP="000C61EB">
      <w:pPr>
        <w:spacing w:after="0" w:line="240" w:lineRule="auto"/>
        <w:jc w:val="both"/>
      </w:pPr>
    </w:p>
    <w:p w:rsidR="000C61EB" w:rsidRPr="00DF7B22" w:rsidRDefault="000C61EB" w:rsidP="000C61EB">
      <w:pPr>
        <w:spacing w:after="0" w:line="240" w:lineRule="auto"/>
        <w:jc w:val="both"/>
        <w:rPr>
          <w:b/>
        </w:rPr>
      </w:pPr>
      <w:r w:rsidRPr="00DF7B22">
        <w:rPr>
          <w:b/>
        </w:rPr>
        <w:t>II.3 Discussione sugli aspetti di qualità</w:t>
      </w:r>
    </w:p>
    <w:p w:rsidR="000C61EB" w:rsidRDefault="000C61EB" w:rsidP="000C61EB">
      <w:pPr>
        <w:spacing w:after="0" w:line="240" w:lineRule="auto"/>
        <w:jc w:val="both"/>
      </w:pPr>
      <w:r>
        <w:t xml:space="preserve">Tutte le criticità evidenziate nel corso della valutazione sono state risolte e la qualità di </w:t>
      </w:r>
      <w:proofErr w:type="spellStart"/>
      <w:r>
        <w:t>Zibenak</w:t>
      </w:r>
      <w:proofErr w:type="spellEnd"/>
      <w:r>
        <w:t xml:space="preserve"> è considerata adeguata. Non ci sono obiezioni per l’approvazione di </w:t>
      </w:r>
      <w:proofErr w:type="spellStart"/>
      <w:r>
        <w:t>Zibenak</w:t>
      </w:r>
      <w:proofErr w:type="spellEnd"/>
      <w:r>
        <w:t xml:space="preserve"> dal punto di vista chimico-farmaceutico.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DF7B22" w:rsidRDefault="000C61EB" w:rsidP="000C61EB">
      <w:pPr>
        <w:pStyle w:val="Paragrafoelenco"/>
        <w:numPr>
          <w:ilvl w:val="0"/>
          <w:numId w:val="5"/>
        </w:numPr>
        <w:spacing w:after="0" w:line="240" w:lineRule="auto"/>
        <w:jc w:val="both"/>
        <w:rPr>
          <w:b/>
        </w:rPr>
      </w:pPr>
      <w:r w:rsidRPr="00DF7B22">
        <w:rPr>
          <w:b/>
        </w:rPr>
        <w:t>ASPETTI NON CLINICI</w:t>
      </w:r>
    </w:p>
    <w:p w:rsidR="000C61EB" w:rsidRDefault="00147CCF" w:rsidP="000C61EB">
      <w:pPr>
        <w:spacing w:after="0" w:line="240" w:lineRule="auto"/>
        <w:jc w:val="both"/>
      </w:pPr>
      <w:r>
        <w:t xml:space="preserve">Le </w:t>
      </w:r>
      <w:r w:rsidR="00946707">
        <w:t>proprietà</w:t>
      </w:r>
      <w:r>
        <w:t xml:space="preserve"> farmacodinamiche, farmacocinetiche e tossicologiche di </w:t>
      </w:r>
      <w:proofErr w:type="spellStart"/>
      <w:r>
        <w:t>colecalciferolo</w:t>
      </w:r>
      <w:proofErr w:type="spellEnd"/>
      <w:r>
        <w:t xml:space="preserve"> sono ben conosciute; pertanto, non sono richiesti ulteriori studi non clinici</w:t>
      </w:r>
      <w:r w:rsidR="000C61EB">
        <w:t>.</w:t>
      </w:r>
      <w:r>
        <w:t xml:space="preserve"> Il richiedente l’AIC ha presentato una </w:t>
      </w:r>
      <w:proofErr w:type="spellStart"/>
      <w:r>
        <w:t>overview</w:t>
      </w:r>
      <w:proofErr w:type="spellEnd"/>
      <w:r>
        <w:t xml:space="preserve"> redatta da un esperto qualificato</w:t>
      </w:r>
      <w:r w:rsidR="00DD4CF7">
        <w:t xml:space="preserve"> che ha fornito una approfondita rassegna dei dati </w:t>
      </w:r>
      <w:r w:rsidR="00946707">
        <w:t xml:space="preserve">bibliografici </w:t>
      </w:r>
      <w:r w:rsidR="00DD4CF7">
        <w:t xml:space="preserve">farmacologici, farmacocinetici e tossicologici di </w:t>
      </w:r>
      <w:proofErr w:type="spellStart"/>
      <w:r w:rsidR="00DD4CF7">
        <w:t>colecalciferolo</w:t>
      </w:r>
      <w:proofErr w:type="spellEnd"/>
      <w:r w:rsidR="00DD4CF7">
        <w:t>.</w:t>
      </w:r>
    </w:p>
    <w:p w:rsidR="000C61EB" w:rsidRDefault="000C61EB" w:rsidP="000C61EB">
      <w:pPr>
        <w:spacing w:after="0" w:line="240" w:lineRule="auto"/>
        <w:jc w:val="both"/>
      </w:pPr>
      <w:r>
        <w:t>Non ci sono obiezioni per l’approvazione dal punto di vista non clinico.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5A38F5" w:rsidRDefault="000C61EB" w:rsidP="000C61EB">
      <w:pPr>
        <w:pStyle w:val="Paragrafoelenco"/>
        <w:numPr>
          <w:ilvl w:val="0"/>
          <w:numId w:val="5"/>
        </w:numPr>
        <w:spacing w:after="0" w:line="240" w:lineRule="auto"/>
        <w:jc w:val="both"/>
        <w:rPr>
          <w:b/>
        </w:rPr>
      </w:pPr>
      <w:r w:rsidRPr="005A38F5">
        <w:rPr>
          <w:b/>
        </w:rPr>
        <w:t>A</w:t>
      </w:r>
      <w:r>
        <w:rPr>
          <w:b/>
        </w:rPr>
        <w:t>S</w:t>
      </w:r>
      <w:r w:rsidRPr="005A38F5">
        <w:rPr>
          <w:b/>
        </w:rPr>
        <w:t>PETTI CLINICI</w:t>
      </w:r>
    </w:p>
    <w:p w:rsidR="000C61EB" w:rsidRDefault="000C61EB" w:rsidP="00DD4CF7">
      <w:pPr>
        <w:autoSpaceDE w:val="0"/>
        <w:autoSpaceDN w:val="0"/>
        <w:adjustRightInd w:val="0"/>
        <w:spacing w:after="0" w:line="240" w:lineRule="auto"/>
        <w:jc w:val="both"/>
        <w:rPr>
          <w:rFonts w:ascii="Calibri" w:hAnsi="Calibri"/>
        </w:rPr>
      </w:pPr>
      <w:proofErr w:type="spellStart"/>
      <w:r>
        <w:t>Zibenak</w:t>
      </w:r>
      <w:proofErr w:type="spellEnd"/>
      <w:r w:rsidRPr="00A34141">
        <w:t xml:space="preserve"> è utilizzato </w:t>
      </w:r>
      <w:r w:rsidR="00DD4CF7">
        <w:t>nella p</w:t>
      </w:r>
      <w:r w:rsidR="00DD4CF7" w:rsidRPr="00E2214A">
        <w:rPr>
          <w:rFonts w:ascii="Calibri" w:hAnsi="Calibri"/>
        </w:rPr>
        <w:t>revenzione e trattamento della carenza di vitamina D</w:t>
      </w:r>
      <w:r w:rsidR="00DD4CF7">
        <w:rPr>
          <w:rFonts w:ascii="Calibri" w:hAnsi="Calibri"/>
        </w:rPr>
        <w:t>.</w:t>
      </w:r>
    </w:p>
    <w:p w:rsidR="00DD4CF7" w:rsidRDefault="00DD4CF7" w:rsidP="00DD4CF7">
      <w:pPr>
        <w:autoSpaceDE w:val="0"/>
        <w:autoSpaceDN w:val="0"/>
        <w:adjustRightInd w:val="0"/>
        <w:spacing w:after="0" w:line="240" w:lineRule="auto"/>
        <w:jc w:val="both"/>
      </w:pPr>
    </w:p>
    <w:p w:rsidR="000C61EB" w:rsidRPr="002B6D26" w:rsidRDefault="000C61EB" w:rsidP="000C61EB">
      <w:pPr>
        <w:spacing w:after="0" w:line="240" w:lineRule="auto"/>
        <w:ind w:right="6"/>
        <w:jc w:val="both"/>
        <w:rPr>
          <w:b/>
        </w:rPr>
      </w:pPr>
      <w:r w:rsidRPr="002B6D26">
        <w:rPr>
          <w:b/>
        </w:rPr>
        <w:t>Posologia e modalità di somministrazione</w:t>
      </w:r>
    </w:p>
    <w:p w:rsidR="000C61EB" w:rsidRDefault="000C61EB" w:rsidP="000C61EB">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0C61EB" w:rsidRDefault="000C61EB" w:rsidP="000C61EB">
      <w:pPr>
        <w:spacing w:after="0" w:line="240" w:lineRule="auto"/>
        <w:ind w:right="6"/>
        <w:jc w:val="both"/>
        <w:rPr>
          <w:rFonts w:eastAsia="Calibri" w:cs="Calibri"/>
          <w:lang w:eastAsia="it-IT"/>
        </w:rPr>
      </w:pPr>
    </w:p>
    <w:p w:rsidR="000C61EB" w:rsidRPr="006556D6" w:rsidRDefault="000C61EB" w:rsidP="000C61EB">
      <w:pPr>
        <w:spacing w:after="0" w:line="240" w:lineRule="auto"/>
        <w:ind w:right="6"/>
        <w:jc w:val="both"/>
        <w:rPr>
          <w:rFonts w:eastAsia="Times New Roman" w:cs="Times New Roman"/>
          <w:b/>
        </w:rPr>
      </w:pPr>
      <w:r w:rsidRPr="006556D6">
        <w:rPr>
          <w:rFonts w:eastAsia="Times New Roman" w:cs="Times New Roman"/>
          <w:b/>
        </w:rPr>
        <w:t>Farmacologia clinica</w:t>
      </w:r>
    </w:p>
    <w:p w:rsidR="000C61EB" w:rsidRDefault="000C61EB" w:rsidP="000C61EB">
      <w:pPr>
        <w:spacing w:after="0" w:line="240" w:lineRule="auto"/>
        <w:jc w:val="both"/>
      </w:pPr>
      <w:r>
        <w:rPr>
          <w:rFonts w:eastAsia="Calibri" w:cs="Calibri"/>
          <w:lang w:eastAsia="it-IT"/>
        </w:rPr>
        <w:t xml:space="preserve">La farmacologia clinica di </w:t>
      </w:r>
      <w:proofErr w:type="spellStart"/>
      <w:r w:rsidR="00DD4CF7">
        <w:t>colecalciferolo</w:t>
      </w:r>
      <w:proofErr w:type="spellEnd"/>
      <w:r>
        <w:t xml:space="preserve"> </w:t>
      </w:r>
      <w:r>
        <w:rPr>
          <w:rFonts w:eastAsia="Calibri" w:cs="Calibri"/>
          <w:lang w:eastAsia="it-IT"/>
        </w:rPr>
        <w:t>è ben conosciuta</w:t>
      </w:r>
      <w:r w:rsidR="00DD4CF7">
        <w:rPr>
          <w:rFonts w:eastAsia="Calibri" w:cs="Calibri"/>
          <w:lang w:eastAsia="it-IT"/>
        </w:rPr>
        <w:t>;</w:t>
      </w:r>
      <w:r w:rsidR="00DD4CF7" w:rsidRPr="00DD4CF7">
        <w:t xml:space="preserve"> </w:t>
      </w:r>
      <w:r w:rsidR="00DD4CF7">
        <w:t>pertanto, non sono richiesti ulteriori studi</w:t>
      </w:r>
      <w:r>
        <w:rPr>
          <w:rFonts w:eastAsia="Calibri" w:cs="Calibri"/>
          <w:lang w:eastAsia="it-IT"/>
        </w:rPr>
        <w:t>.</w:t>
      </w:r>
      <w:r w:rsidRPr="00A34141">
        <w:t xml:space="preserve"> </w:t>
      </w:r>
    </w:p>
    <w:p w:rsidR="000C61EB" w:rsidRDefault="000C61EB" w:rsidP="000C61EB">
      <w:pPr>
        <w:spacing w:after="0" w:line="240" w:lineRule="auto"/>
        <w:jc w:val="both"/>
      </w:pPr>
    </w:p>
    <w:p w:rsidR="000C61EB" w:rsidRPr="000B3C59" w:rsidRDefault="000C61EB" w:rsidP="000C61EB">
      <w:pPr>
        <w:spacing w:after="0" w:line="240" w:lineRule="auto"/>
        <w:jc w:val="both"/>
        <w:rPr>
          <w:rFonts w:cs="Arial"/>
          <w:b/>
        </w:rPr>
      </w:pPr>
      <w:r w:rsidRPr="000B3C59">
        <w:rPr>
          <w:rFonts w:cs="Arial"/>
          <w:b/>
        </w:rPr>
        <w:t>Efficacia e sicurezza clinica</w:t>
      </w:r>
    </w:p>
    <w:p w:rsidR="000C61EB" w:rsidRPr="00D1324F" w:rsidRDefault="000C61EB" w:rsidP="000C61EB">
      <w:pPr>
        <w:spacing w:after="0" w:line="240" w:lineRule="auto"/>
        <w:jc w:val="both"/>
        <w:rPr>
          <w:rFonts w:cs="Arial"/>
        </w:rPr>
      </w:pPr>
      <w:r>
        <w:rPr>
          <w:rFonts w:cs="Arial"/>
        </w:rPr>
        <w:t>Non sono stati presentati nuovi dati di efficacia e sicurezza clinica: il profilo di sicurezza e l’efficacia de</w:t>
      </w:r>
      <w:r w:rsidR="00DD4CF7">
        <w:rPr>
          <w:rFonts w:cs="Arial"/>
        </w:rPr>
        <w:t>l</w:t>
      </w:r>
      <w:r>
        <w:rPr>
          <w:rFonts w:cs="Arial"/>
        </w:rPr>
        <w:t xml:space="preserve"> principi</w:t>
      </w:r>
      <w:r w:rsidR="00DD4CF7">
        <w:rPr>
          <w:rFonts w:cs="Arial"/>
        </w:rPr>
        <w:t>o</w:t>
      </w:r>
      <w:r>
        <w:rPr>
          <w:rFonts w:cs="Arial"/>
        </w:rPr>
        <w:t xml:space="preserve"> attiv</w:t>
      </w:r>
      <w:r w:rsidR="00DD4CF7">
        <w:rPr>
          <w:rFonts w:cs="Arial"/>
        </w:rPr>
        <w:t>o</w:t>
      </w:r>
      <w:r>
        <w:rPr>
          <w:rFonts w:cs="Arial"/>
        </w:rPr>
        <w:t xml:space="preserve"> di </w:t>
      </w:r>
      <w:proofErr w:type="spellStart"/>
      <w:r>
        <w:rPr>
          <w:rFonts w:cs="Arial"/>
        </w:rPr>
        <w:t>Zibenak</w:t>
      </w:r>
      <w:proofErr w:type="spellEnd"/>
      <w:r>
        <w:rPr>
          <w:rFonts w:cs="Arial"/>
        </w:rPr>
        <w:t xml:space="preserve"> </w:t>
      </w:r>
      <w:r w:rsidR="00DD4CF7">
        <w:rPr>
          <w:rFonts w:cs="Arial"/>
        </w:rPr>
        <w:t>è</w:t>
      </w:r>
      <w:r>
        <w:rPr>
          <w:rFonts w:cs="Arial"/>
        </w:rPr>
        <w:t xml:space="preserve"> ben conosciut</w:t>
      </w:r>
      <w:r w:rsidR="00DD4CF7">
        <w:rPr>
          <w:rFonts w:cs="Arial"/>
        </w:rPr>
        <w:t>o</w:t>
      </w:r>
      <w:r>
        <w:rPr>
          <w:rFonts w:cs="Arial"/>
        </w:rPr>
        <w:t xml:space="preserve">. </w:t>
      </w:r>
      <w:r w:rsidR="00DD4CF7">
        <w:rPr>
          <w:rFonts w:cs="Arial"/>
        </w:rPr>
        <w:t>L’</w:t>
      </w:r>
      <w:proofErr w:type="spellStart"/>
      <w:r w:rsidR="00DD4CF7">
        <w:rPr>
          <w:rFonts w:cs="Arial"/>
        </w:rPr>
        <w:t>overview</w:t>
      </w:r>
      <w:proofErr w:type="spellEnd"/>
      <w:r w:rsidR="00DD4CF7">
        <w:rPr>
          <w:rFonts w:cs="Arial"/>
        </w:rPr>
        <w:t xml:space="preserve"> clinica è stata </w:t>
      </w:r>
      <w:r w:rsidR="00DD4CF7">
        <w:t xml:space="preserve">redatta da un esperto qualificato che ha fornito una approfondita rassegna dei dati </w:t>
      </w:r>
      <w:r w:rsidR="00946707">
        <w:t>bibliografici relativi alla</w:t>
      </w:r>
      <w:r w:rsidR="00DD4CF7">
        <w:t xml:space="preserve"> sicurezza e </w:t>
      </w:r>
      <w:r w:rsidR="00946707">
        <w:t>all’</w:t>
      </w:r>
      <w:r w:rsidR="00DD4CF7">
        <w:t xml:space="preserve">efficacia di </w:t>
      </w:r>
      <w:proofErr w:type="spellStart"/>
      <w:r w:rsidR="00DD4CF7">
        <w:t>colecalciferolo</w:t>
      </w:r>
      <w:proofErr w:type="spellEnd"/>
      <w:r w:rsidR="00DD4CF7">
        <w:t>.</w:t>
      </w:r>
    </w:p>
    <w:p w:rsidR="000C61EB" w:rsidRPr="00D1324F" w:rsidRDefault="000C61EB" w:rsidP="000C61EB">
      <w:pPr>
        <w:pStyle w:val="Paragrafoelenco"/>
        <w:spacing w:after="0" w:line="240" w:lineRule="auto"/>
        <w:ind w:left="0"/>
        <w:jc w:val="both"/>
      </w:pPr>
    </w:p>
    <w:p w:rsidR="000C61EB" w:rsidRPr="00D1324F" w:rsidRDefault="000C61EB" w:rsidP="000C61EB">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0C61EB" w:rsidRPr="00D1324F" w:rsidRDefault="000C61EB" w:rsidP="000C61EB">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Zibenak</w:t>
      </w:r>
      <w:proofErr w:type="spellEnd"/>
      <w:r w:rsidRPr="00D1324F">
        <w:t>.</w:t>
      </w:r>
    </w:p>
    <w:p w:rsidR="00164C42" w:rsidRDefault="00164C42" w:rsidP="00164C42">
      <w:pPr>
        <w:pStyle w:val="Paragrafoelenco"/>
        <w:spacing w:after="0" w:line="240" w:lineRule="auto"/>
        <w:ind w:left="0"/>
        <w:jc w:val="both"/>
      </w:pPr>
      <w:r>
        <w:t>Il riassunto delle problematiche di sicurezza è riportato nella tabella seguente.</w:t>
      </w:r>
    </w:p>
    <w:p w:rsidR="00164C42" w:rsidRDefault="00164C42" w:rsidP="00164C42">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164C42" w:rsidRPr="001810E1" w:rsidTr="000669DF">
        <w:trPr>
          <w:jc w:val="center"/>
        </w:trPr>
        <w:tc>
          <w:tcPr>
            <w:tcW w:w="2215" w:type="pct"/>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Rischi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importanti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identificati</w:t>
            </w:r>
            <w:proofErr w:type="spellEnd"/>
          </w:p>
        </w:tc>
        <w:tc>
          <w:tcPr>
            <w:tcW w:w="2785" w:type="pct"/>
            <w:shd w:val="clear" w:color="auto" w:fill="auto"/>
          </w:tcPr>
          <w:p w:rsidR="00164C42"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Ipercalcemia</w:t>
            </w:r>
            <w:proofErr w:type="spellEnd"/>
          </w:p>
          <w:p w:rsidR="00164C42" w:rsidRPr="00474E7B"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Ipercalciuria</w:t>
            </w:r>
            <w:proofErr w:type="spellEnd"/>
          </w:p>
        </w:tc>
      </w:tr>
      <w:tr w:rsidR="00164C42" w:rsidRPr="001810E1" w:rsidTr="000669DF">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Rischi</w:t>
            </w:r>
            <w:proofErr w:type="spellEnd"/>
            <w:r w:rsidRPr="00474E7B">
              <w:rPr>
                <w:rFonts w:asciiTheme="minorHAnsi" w:hAnsiTheme="minorHAnsi"/>
                <w:sz w:val="20"/>
                <w:szCs w:val="20"/>
                <w:lang w:eastAsia="en-GB"/>
              </w:rPr>
              <w:t xml:space="preserve"> </w:t>
            </w:r>
            <w:proofErr w:type="spellStart"/>
            <w:r>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potenzial</w:t>
            </w:r>
            <w:r>
              <w:rPr>
                <w:rFonts w:asciiTheme="minorHAnsi" w:hAnsiTheme="minorHAnsi"/>
                <w:sz w:val="20"/>
                <w:szCs w:val="20"/>
                <w:lang w:eastAsia="en-GB"/>
              </w:rPr>
              <w:t>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Teratogenicità</w:t>
            </w:r>
            <w:proofErr w:type="spellEnd"/>
          </w:p>
        </w:tc>
      </w:tr>
      <w:tr w:rsidR="00164C42" w:rsidRPr="00474E7B" w:rsidTr="000669DF">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Informazioni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val="it-IT" w:eastAsia="en-GB"/>
              </w:rPr>
            </w:pPr>
            <w:r>
              <w:rPr>
                <w:rFonts w:asciiTheme="minorHAnsi" w:eastAsia="TimesNewRoman" w:hAnsiTheme="minorHAnsi" w:cs="TimesNewRoman"/>
                <w:sz w:val="20"/>
                <w:szCs w:val="20"/>
                <w:lang w:val="it-IT"/>
              </w:rPr>
              <w:t>Non applicabile</w:t>
            </w:r>
          </w:p>
        </w:tc>
      </w:tr>
    </w:tbl>
    <w:p w:rsidR="000C61EB" w:rsidRPr="00164C42" w:rsidRDefault="000C61EB" w:rsidP="000C61EB">
      <w:pPr>
        <w:pStyle w:val="Paragrafoelenco"/>
        <w:spacing w:after="0" w:line="240" w:lineRule="auto"/>
        <w:ind w:left="0"/>
        <w:jc w:val="both"/>
      </w:pPr>
    </w:p>
    <w:p w:rsidR="000C61EB" w:rsidRDefault="000C61EB" w:rsidP="000C61EB">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0C61EB" w:rsidRDefault="000C61EB" w:rsidP="000C61EB">
      <w:pPr>
        <w:pStyle w:val="Paragrafoelenco"/>
        <w:spacing w:after="0" w:line="240" w:lineRule="auto"/>
        <w:ind w:left="0"/>
        <w:jc w:val="both"/>
      </w:pPr>
      <w:r>
        <w:t>Oltre le misure previste nel Riassunto delle caratteristiche del prodotto non sono previste attività addizionali di minimizzazione del rischio</w:t>
      </w:r>
    </w:p>
    <w:p w:rsidR="000C61EB" w:rsidRDefault="000C61EB" w:rsidP="000C61EB">
      <w:pPr>
        <w:pStyle w:val="Paragrafoelenco"/>
        <w:spacing w:after="0" w:line="240" w:lineRule="auto"/>
        <w:ind w:left="0"/>
        <w:jc w:val="both"/>
      </w:pPr>
    </w:p>
    <w:p w:rsidR="000C61EB" w:rsidRPr="002E4DCB" w:rsidRDefault="000C61EB" w:rsidP="000C61EB">
      <w:pPr>
        <w:pStyle w:val="Paragrafoelenco"/>
        <w:spacing w:after="0" w:line="240" w:lineRule="auto"/>
        <w:ind w:left="0"/>
        <w:jc w:val="both"/>
        <w:rPr>
          <w:b/>
        </w:rPr>
      </w:pPr>
      <w:r w:rsidRPr="002E4DCB">
        <w:rPr>
          <w:b/>
        </w:rPr>
        <w:t>Conclusioni</w:t>
      </w:r>
    </w:p>
    <w:p w:rsidR="000C61EB" w:rsidRDefault="000C61EB" w:rsidP="000C61EB">
      <w:pPr>
        <w:pStyle w:val="Paragrafoelenco"/>
        <w:spacing w:after="0" w:line="240" w:lineRule="auto"/>
        <w:ind w:left="0"/>
        <w:jc w:val="both"/>
      </w:pPr>
      <w:r>
        <w:t xml:space="preserve">Per la richiesta di AIC di </w:t>
      </w:r>
      <w:proofErr w:type="spellStart"/>
      <w:r>
        <w:t>Zibenak</w:t>
      </w:r>
      <w:proofErr w:type="spellEnd"/>
      <w:r>
        <w:t xml:space="preserve"> sono state presentate sufficienti informazioni cliniche.</w:t>
      </w:r>
    </w:p>
    <w:p w:rsidR="000C61EB" w:rsidRDefault="000C61EB" w:rsidP="000C61EB">
      <w:pPr>
        <w:pStyle w:val="Paragrafoelenco"/>
        <w:spacing w:after="0" w:line="240" w:lineRule="auto"/>
        <w:ind w:left="0"/>
        <w:jc w:val="both"/>
      </w:pPr>
      <w:r>
        <w:t xml:space="preserve">Il rapporto beneficio/rischio di </w:t>
      </w:r>
      <w:proofErr w:type="spellStart"/>
      <w:r>
        <w:t>Zibenak</w:t>
      </w:r>
      <w:proofErr w:type="spellEnd"/>
      <w:r>
        <w:t xml:space="preserve"> è considerato favorevole dal punto di vista clinico.</w:t>
      </w:r>
    </w:p>
    <w:p w:rsidR="000C61EB" w:rsidRDefault="000C61EB" w:rsidP="000C61EB">
      <w:pPr>
        <w:pStyle w:val="Paragrafoelenco"/>
        <w:spacing w:after="0" w:line="240" w:lineRule="auto"/>
        <w:ind w:left="0"/>
        <w:jc w:val="both"/>
      </w:pPr>
    </w:p>
    <w:p w:rsidR="000C61EB" w:rsidRPr="002E4DCB" w:rsidRDefault="000C61EB" w:rsidP="000C61EB">
      <w:pPr>
        <w:pStyle w:val="Paragrafoelenco"/>
        <w:numPr>
          <w:ilvl w:val="0"/>
          <w:numId w:val="5"/>
        </w:numPr>
        <w:spacing w:after="0" w:line="240" w:lineRule="auto"/>
        <w:jc w:val="both"/>
        <w:rPr>
          <w:b/>
        </w:rPr>
      </w:pPr>
      <w:r w:rsidRPr="002E4DCB">
        <w:rPr>
          <w:b/>
        </w:rPr>
        <w:t xml:space="preserve">CONSULTAZIONE </w:t>
      </w:r>
      <w:r>
        <w:rPr>
          <w:b/>
        </w:rPr>
        <w:t>SUL FOGLIO ILLUSTRATIVO</w:t>
      </w:r>
    </w:p>
    <w:p w:rsidR="000C61EB" w:rsidRDefault="000C61EB" w:rsidP="000C61EB">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0C61EB" w:rsidRDefault="000C61EB" w:rsidP="000C61EB">
      <w:pPr>
        <w:pStyle w:val="Paragrafoelenco"/>
        <w:spacing w:after="0" w:line="240" w:lineRule="auto"/>
        <w:ind w:left="0"/>
        <w:jc w:val="both"/>
      </w:pPr>
    </w:p>
    <w:p w:rsidR="000C61EB" w:rsidRDefault="000C61EB" w:rsidP="000C61EB">
      <w:pPr>
        <w:spacing w:after="0" w:line="240" w:lineRule="auto"/>
        <w:jc w:val="both"/>
      </w:pPr>
    </w:p>
    <w:p w:rsidR="00946707" w:rsidRDefault="00946707" w:rsidP="000C61EB">
      <w:pPr>
        <w:spacing w:after="0" w:line="240" w:lineRule="auto"/>
        <w:jc w:val="both"/>
      </w:pPr>
    </w:p>
    <w:p w:rsidR="000C61EB" w:rsidRPr="00BC23ED" w:rsidRDefault="000C61EB" w:rsidP="000C61EB">
      <w:pPr>
        <w:pStyle w:val="Paragrafoelenco"/>
        <w:numPr>
          <w:ilvl w:val="0"/>
          <w:numId w:val="5"/>
        </w:numPr>
        <w:spacing w:after="0" w:line="240" w:lineRule="auto"/>
        <w:jc w:val="both"/>
        <w:rPr>
          <w:b/>
        </w:rPr>
      </w:pPr>
      <w:r w:rsidRPr="00BC23ED">
        <w:rPr>
          <w:b/>
        </w:rPr>
        <w:t>CONCLUSIONI, VALUTAZIONE DEL RAPPORTO BENEFICIO/RISCHIO E RACCOMANDAZIONI</w:t>
      </w:r>
    </w:p>
    <w:p w:rsidR="000C61EB" w:rsidRDefault="000C61EB" w:rsidP="000C61EB">
      <w:pPr>
        <w:spacing w:after="0" w:line="240" w:lineRule="auto"/>
        <w:jc w:val="both"/>
      </w:pPr>
      <w:r>
        <w:t xml:space="preserve">La qualità di </w:t>
      </w:r>
      <w:proofErr w:type="spellStart"/>
      <w:r>
        <w:t>Zibenak</w:t>
      </w:r>
      <w:proofErr w:type="spellEnd"/>
      <w:r>
        <w:t xml:space="preserve"> è accettabile e non sono state rilevate criticità da un punto di vista non clinico e clinico.</w:t>
      </w:r>
    </w:p>
    <w:p w:rsidR="000C61EB" w:rsidRDefault="00DD4CF7" w:rsidP="000C61EB">
      <w:pPr>
        <w:spacing w:after="0" w:line="240" w:lineRule="auto"/>
        <w:jc w:val="both"/>
      </w:pPr>
      <w:r>
        <w:t>La letteratura pubblicata supporta la sicurezza e l’efficacia del medicinale nelle indicazioni proposte.</w:t>
      </w:r>
    </w:p>
    <w:p w:rsidR="000C61EB" w:rsidRDefault="000C61EB" w:rsidP="000C61EB">
      <w:pPr>
        <w:spacing w:after="0" w:line="240" w:lineRule="auto"/>
        <w:jc w:val="both"/>
      </w:pPr>
      <w:r>
        <w:t>Il rapporto beneficio/rischio è considerato positivo.</w:t>
      </w:r>
    </w:p>
    <w:p w:rsidR="009A260F" w:rsidRDefault="000C61EB" w:rsidP="0094670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74F6"/>
    <w:rsid w:val="00180C71"/>
    <w:rsid w:val="00190C33"/>
    <w:rsid w:val="001D5E05"/>
    <w:rsid w:val="00216896"/>
    <w:rsid w:val="00246D26"/>
    <w:rsid w:val="002B059E"/>
    <w:rsid w:val="002B2520"/>
    <w:rsid w:val="002F223F"/>
    <w:rsid w:val="0030700B"/>
    <w:rsid w:val="00331C95"/>
    <w:rsid w:val="003F131C"/>
    <w:rsid w:val="004241AC"/>
    <w:rsid w:val="004445FD"/>
    <w:rsid w:val="00452364"/>
    <w:rsid w:val="00475754"/>
    <w:rsid w:val="004A1685"/>
    <w:rsid w:val="004A2E9F"/>
    <w:rsid w:val="004B20A8"/>
    <w:rsid w:val="004B53D1"/>
    <w:rsid w:val="004E4927"/>
    <w:rsid w:val="004F66B1"/>
    <w:rsid w:val="00515078"/>
    <w:rsid w:val="00592D32"/>
    <w:rsid w:val="0059545A"/>
    <w:rsid w:val="005A230A"/>
    <w:rsid w:val="005A59E1"/>
    <w:rsid w:val="005E3779"/>
    <w:rsid w:val="00601567"/>
    <w:rsid w:val="00602C49"/>
    <w:rsid w:val="00624061"/>
    <w:rsid w:val="00696CF1"/>
    <w:rsid w:val="006C4F75"/>
    <w:rsid w:val="006F3638"/>
    <w:rsid w:val="00746A7C"/>
    <w:rsid w:val="0077325A"/>
    <w:rsid w:val="0079753F"/>
    <w:rsid w:val="007B4667"/>
    <w:rsid w:val="00813720"/>
    <w:rsid w:val="00840CCB"/>
    <w:rsid w:val="00874733"/>
    <w:rsid w:val="008F2E05"/>
    <w:rsid w:val="0090632E"/>
    <w:rsid w:val="00906FFB"/>
    <w:rsid w:val="00946707"/>
    <w:rsid w:val="009770CC"/>
    <w:rsid w:val="009A260F"/>
    <w:rsid w:val="009A4251"/>
    <w:rsid w:val="009B03DB"/>
    <w:rsid w:val="009C1640"/>
    <w:rsid w:val="00A05212"/>
    <w:rsid w:val="00A1005E"/>
    <w:rsid w:val="00A228D5"/>
    <w:rsid w:val="00A40FF3"/>
    <w:rsid w:val="00AD3090"/>
    <w:rsid w:val="00AD412E"/>
    <w:rsid w:val="00B35494"/>
    <w:rsid w:val="00BA7D67"/>
    <w:rsid w:val="00BC74C2"/>
    <w:rsid w:val="00BD3508"/>
    <w:rsid w:val="00BF1041"/>
    <w:rsid w:val="00BF4465"/>
    <w:rsid w:val="00C73A48"/>
    <w:rsid w:val="00CB3303"/>
    <w:rsid w:val="00CC7AFF"/>
    <w:rsid w:val="00D1365C"/>
    <w:rsid w:val="00D20170"/>
    <w:rsid w:val="00D36DA3"/>
    <w:rsid w:val="00DB10B2"/>
    <w:rsid w:val="00DD4CF7"/>
    <w:rsid w:val="00E20CBC"/>
    <w:rsid w:val="00E43089"/>
    <w:rsid w:val="00E83F8D"/>
    <w:rsid w:val="00E844E7"/>
    <w:rsid w:val="00E97410"/>
    <w:rsid w:val="00EA4AC1"/>
    <w:rsid w:val="00EF062E"/>
    <w:rsid w:val="00EF69F0"/>
    <w:rsid w:val="00F1693F"/>
    <w:rsid w:val="00F66767"/>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2201</Words>
  <Characters>12549</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36</cp:revision>
  <dcterms:created xsi:type="dcterms:W3CDTF">2015-06-10T08:26:00Z</dcterms:created>
  <dcterms:modified xsi:type="dcterms:W3CDTF">2016-04-12T15:21:00Z</dcterms:modified>
</cp:coreProperties>
</file>