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266FBD">
      <w:pPr>
        <w:spacing w:after="0" w:line="240" w:lineRule="auto"/>
        <w:rPr>
          <w:lang w:val="en-US"/>
        </w:rPr>
      </w:pPr>
      <w:r w:rsidRPr="002A3F1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align>top</wp:align>
            </wp:positionV>
            <wp:extent cx="3423285" cy="1495425"/>
            <wp:effectExtent l="19050" t="0" r="571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COLDETOM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A4849">
        <w:rPr>
          <w:snapToGrid w:val="0"/>
        </w:rPr>
        <w:t>Tobramicina</w:t>
      </w:r>
      <w:proofErr w:type="spellEnd"/>
      <w:r w:rsidR="003A4849">
        <w:rPr>
          <w:snapToGrid w:val="0"/>
        </w:rPr>
        <w:t xml:space="preserve"> e</w:t>
      </w:r>
      <w:r w:rsidR="007B5980">
        <w:rPr>
          <w:snapToGrid w:val="0"/>
        </w:rPr>
        <w:t xml:space="preserve"> </w:t>
      </w:r>
      <w:proofErr w:type="spellStart"/>
      <w:r w:rsidR="007B5980">
        <w:rPr>
          <w:snapToGrid w:val="0"/>
        </w:rPr>
        <w:t>desametasone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Scharper</w:t>
      </w:r>
      <w:proofErr w:type="spellEnd"/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83E39">
        <w:rPr>
          <w:rFonts w:cs="Helvetica"/>
          <w:b/>
        </w:rPr>
        <w:t>042542</w:t>
      </w:r>
    </w:p>
    <w:bookmarkEnd w:id="0"/>
    <w:p w:rsidR="004241AC" w:rsidRDefault="004241AC" w:rsidP="00017E6F">
      <w:pPr>
        <w:spacing w:after="0" w:line="240" w:lineRule="auto"/>
        <w:jc w:val="center"/>
        <w:rPr>
          <w:b/>
        </w:rPr>
      </w:pPr>
    </w:p>
    <w:p w:rsidR="00417C92" w:rsidRPr="00062636" w:rsidRDefault="00417C92" w:rsidP="00017E6F">
      <w:pPr>
        <w:spacing w:after="0" w:line="240" w:lineRule="auto"/>
        <w:jc w:val="center"/>
        <w:rPr>
          <w:b/>
        </w:rPr>
      </w:pP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83E39">
        <w:rPr>
          <w:rFonts w:eastAsia="Calibri" w:cs="Calibri"/>
          <w:color w:val="000000"/>
          <w:lang w:eastAsia="it-IT"/>
        </w:rPr>
        <w:t>Coldetom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83E39">
        <w:rPr>
          <w:rFonts w:eastAsia="Calibri" w:cs="Calibri"/>
          <w:color w:val="000000"/>
          <w:lang w:eastAsia="it-IT"/>
        </w:rPr>
        <w:t>Coldetom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583E39">
        <w:rPr>
          <w:rFonts w:eastAsia="Calibri" w:cs="Calibri"/>
          <w:color w:val="000000"/>
          <w:lang w:eastAsia="it-IT"/>
        </w:rPr>
        <w:t>Coldetom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83E39">
        <w:rPr>
          <w:rFonts w:eastAsia="Calibri" w:cs="Calibri"/>
          <w:color w:val="000000"/>
          <w:lang w:eastAsia="it-IT"/>
        </w:rPr>
        <w:t>Coldetom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83E39" w:rsidRP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583E39" w:rsidP="00583E39">
      <w:pPr>
        <w:widowControl w:val="0"/>
        <w:spacing w:after="0" w:line="240" w:lineRule="auto"/>
        <w:jc w:val="both"/>
      </w:pPr>
      <w:proofErr w:type="spellStart"/>
      <w:r w:rsidRPr="00583E39">
        <w:rPr>
          <w:rFonts w:eastAsia="Calibri" w:cs="Calibri"/>
          <w:bCs/>
          <w:color w:val="000000"/>
          <w:lang w:eastAsia="it-IT"/>
        </w:rPr>
        <w:t>Coldetom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 attiv</w:t>
      </w:r>
      <w:r w:rsidR="007B5980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Pr="00583E39">
        <w:rPr>
          <w:rFonts w:eastAsia="Calibri" w:cs="Calibri"/>
          <w:color w:val="000000"/>
          <w:lang w:eastAsia="it-IT"/>
        </w:rPr>
        <w:t xml:space="preserve">e gocce auricolari (soluzione auricolare)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FB053D" w:rsidRPr="00583E39">
        <w:rPr>
          <w:rFonts w:eastAsia="Calibri" w:cs="Calibri"/>
          <w:color w:val="000000"/>
          <w:lang w:eastAsia="it-IT"/>
        </w:rPr>
        <w:t xml:space="preserve"> </w:t>
      </w:r>
      <w:r w:rsidRPr="00583E39">
        <w:rPr>
          <w:rFonts w:eastAsia="Calibri" w:cs="Calibri"/>
          <w:color w:val="000000"/>
          <w:lang w:eastAsia="it-IT"/>
        </w:rPr>
        <w:t>di 0,3%</w:t>
      </w:r>
      <w:r w:rsidR="007B5980" w:rsidRPr="00583E39">
        <w:rPr>
          <w:rFonts w:eastAsia="Calibri" w:cs="Calibri"/>
          <w:color w:val="000000"/>
          <w:lang w:eastAsia="it-IT"/>
        </w:rPr>
        <w:t xml:space="preserve"> 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Pr="00583E39">
        <w:rPr>
          <w:rFonts w:eastAsia="Calibri" w:cs="Calibri"/>
          <w:color w:val="000000"/>
          <w:lang w:eastAsia="it-IT"/>
        </w:rPr>
        <w:t>di 0,1%</w:t>
      </w:r>
      <w:r w:rsidR="004241AC" w:rsidRPr="00583E39">
        <w:t>.</w:t>
      </w:r>
    </w:p>
    <w:p w:rsidR="00013020" w:rsidRPr="00583E39" w:rsidRDefault="00583E39" w:rsidP="00583E39">
      <w:pPr>
        <w:widowControl w:val="0"/>
        <w:spacing w:after="0" w:line="240" w:lineRule="auto"/>
        <w:jc w:val="both"/>
      </w:pPr>
      <w:proofErr w:type="spellStart"/>
      <w:r w:rsidRPr="00583E39">
        <w:rPr>
          <w:rFonts w:eastAsia="Calibri" w:cs="Calibri"/>
          <w:color w:val="000000"/>
          <w:lang w:eastAsia="it-IT"/>
        </w:rPr>
        <w:t>Coldetom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Tobradex</w:t>
      </w:r>
      <w:proofErr w:type="spellEnd"/>
      <w:r w:rsidR="00013020" w:rsidRPr="00583E39">
        <w:rPr>
          <w:rFonts w:eastAsia="Calibri" w:cs="Calibri"/>
          <w:color w:val="000000"/>
          <w:lang w:eastAsia="it-IT"/>
        </w:rPr>
        <w:t>.</w:t>
      </w:r>
    </w:p>
    <w:p w:rsidR="00DB10B2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rPr>
          <w:rFonts w:eastAsia="Calibri" w:cs="Calibri"/>
          <w:color w:val="000000"/>
          <w:lang w:eastAsia="it-IT"/>
        </w:rPr>
        <w:t>Il collirio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due anni di età in poi </w:t>
      </w:r>
      <w:r w:rsidR="00257BC5" w:rsidRPr="00583E39">
        <w:t xml:space="preserve">nel trattamento </w:t>
      </w:r>
      <w:r w:rsidR="007B5980" w:rsidRPr="00583E39">
        <w:t>delle infiammazioni oculari quando è necessario un corticosteroide e quando esista un’infezione oculare o il rischio di infezioni oculari.</w:t>
      </w:r>
    </w:p>
    <w:p w:rsidR="00583E39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t xml:space="preserve">Le gocce auricolari si usano </w:t>
      </w:r>
      <w:r w:rsidRPr="00583E39">
        <w:rPr>
          <w:rStyle w:val="CharacterStyle2"/>
          <w:rFonts w:cs="Tahoma"/>
          <w:sz w:val="22"/>
          <w:szCs w:val="22"/>
        </w:rPr>
        <w:t xml:space="preserve">per il trattamento delle infiammazioni del condotto uditivo esterno quando si ritenga necessario l’impiego di un corticosteroide, in presenza di infezione causata da batteri sensibili alla </w:t>
      </w:r>
      <w:proofErr w:type="spellStart"/>
      <w:r w:rsidRPr="00583E39">
        <w:rPr>
          <w:rStyle w:val="CharacterStyle2"/>
          <w:rFonts w:cs="Tahoma"/>
          <w:sz w:val="22"/>
          <w:szCs w:val="22"/>
        </w:rPr>
        <w:t>tobramicina</w:t>
      </w:r>
      <w:proofErr w:type="spellEnd"/>
      <w:r w:rsidRPr="00583E39">
        <w:rPr>
          <w:rStyle w:val="CharacterStyle2"/>
          <w:rFonts w:cs="Tahoma"/>
          <w:sz w:val="22"/>
          <w:szCs w:val="22"/>
        </w:rPr>
        <w:t xml:space="preserve"> o quando esista il rischio di un’infezione.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83E39" w:rsidRP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583E39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83E39">
        <w:rPr>
          <w:rFonts w:eastAsia="Calibri" w:cs="Calibri"/>
          <w:bCs/>
          <w:color w:val="000000"/>
          <w:lang w:eastAsia="it-IT"/>
        </w:rPr>
        <w:t>Coldetom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per il collirio negli</w:t>
      </w:r>
      <w:r w:rsidRPr="00583E39">
        <w:t xml:space="preserve"> adulti </w:t>
      </w:r>
      <w:r w:rsidR="007B5980" w:rsidRPr="00583E39">
        <w:t xml:space="preserve">e nei bambini da due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o 2 gocce 4-5 volte al giorno.</w:t>
      </w:r>
    </w:p>
    <w:p w:rsidR="00583E39" w:rsidRPr="009B0C26" w:rsidRDefault="00583E39" w:rsidP="00583E39">
      <w:pPr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Verdana"/>
          <w:color w:val="000000"/>
          <w:lang w:eastAsia="it-IT"/>
        </w:rPr>
        <w:t xml:space="preserve">La dose raccomandata per le gocce </w:t>
      </w:r>
      <w:r w:rsidR="00D06C32">
        <w:rPr>
          <w:rFonts w:eastAsia="Calibri" w:cs="Verdana"/>
          <w:color w:val="000000"/>
          <w:lang w:eastAsia="it-IT"/>
        </w:rPr>
        <w:t>aurico</w:t>
      </w:r>
      <w:r>
        <w:rPr>
          <w:rFonts w:eastAsia="Calibri" w:cs="Verdana"/>
          <w:color w:val="000000"/>
          <w:lang w:eastAsia="it-IT"/>
        </w:rPr>
        <w:t xml:space="preserve">lari è di </w:t>
      </w:r>
      <w:r w:rsidRPr="009B0C26">
        <w:rPr>
          <w:rFonts w:ascii="Calibri" w:hAnsi="Calibri" w:cs="Arial"/>
        </w:rPr>
        <w:t>quattro gocce tre volte al giorno</w:t>
      </w:r>
      <w:r>
        <w:rPr>
          <w:rFonts w:ascii="Calibri" w:hAnsi="Calibri" w:cs="Arial"/>
        </w:rPr>
        <w:t xml:space="preserve"> da</w:t>
      </w:r>
      <w:r w:rsidRPr="009B0C2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i</w:t>
      </w:r>
      <w:r w:rsidRPr="009B0C26">
        <w:rPr>
          <w:rFonts w:ascii="Calibri" w:hAnsi="Calibri" w:cs="Arial"/>
        </w:rPr>
        <w:t>nstillare nel condotto uditivo esterno</w:t>
      </w:r>
      <w:r>
        <w:rPr>
          <w:rFonts w:ascii="Calibri" w:hAnsi="Calibri" w:cs="Arial"/>
        </w:rPr>
        <w:t>.</w:t>
      </w:r>
    </w:p>
    <w:p w:rsidR="00257BC5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94CF1" w:rsidRDefault="00894CF1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583E39" w:rsidRDefault="00583E39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583E39" w:rsidRP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D06C3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Coldetom</w:t>
      </w:r>
      <w:proofErr w:type="spellEnd"/>
      <w:r w:rsidR="003A4849" w:rsidRPr="00583E39">
        <w:rPr>
          <w:rFonts w:eastAsia="Calibri" w:cs="Calibri"/>
          <w:bCs/>
          <w:color w:val="000000"/>
          <w:lang w:eastAsia="it-IT"/>
        </w:rPr>
        <w:t>,</w:t>
      </w:r>
      <w:r w:rsidR="007B5980" w:rsidRPr="00583E39">
        <w:rPr>
          <w:rFonts w:eastAsia="Calibri" w:cs="Calibri"/>
          <w:bCs/>
          <w:color w:val="000000"/>
          <w:lang w:eastAsia="it-IT"/>
        </w:rPr>
        <w:t>i</w:t>
      </w:r>
      <w:r w:rsidR="00E43089" w:rsidRPr="00583E39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B5980" w:rsidRPr="00583E39">
        <w:rPr>
          <w:rFonts w:ascii="Calibri" w:hAnsi="Calibri"/>
          <w:iCs/>
        </w:rPr>
        <w:t>S01CA01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 principi attivi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: la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51E32" w:rsidRPr="00583E39">
        <w:rPr>
          <w:rFonts w:eastAsia="Calibri" w:cs="Calibri"/>
          <w:color w:val="000000"/>
          <w:lang w:eastAsia="it-IT"/>
        </w:rPr>
        <w:t xml:space="preserve">è un antibiotico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aminoglicosidico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 w:rsidR="003A4849" w:rsidRPr="00583E39">
        <w:rPr>
          <w:rFonts w:eastAsia="Calibri" w:cs="Calibri"/>
          <w:color w:val="000000"/>
          <w:lang w:eastAsia="it-IT"/>
        </w:rPr>
        <w:t xml:space="preserve">a rapida attività battericida che </w:t>
      </w:r>
      <w:r w:rsidR="003A4849" w:rsidRPr="00583E39">
        <w:rPr>
          <w:rFonts w:eastAsia="DejaVuSans" w:cs="DejaVuSans"/>
        </w:rPr>
        <w:t>inibisce la sintesi nelle cellule batteriche, e il successivo assemblaggio, di proteine necessarie alla vita del batterio</w:t>
      </w:r>
      <w:r w:rsidR="00351E32" w:rsidRPr="00583E39">
        <w:rPr>
          <w:rFonts w:eastAsia="Calibri" w:cs="Calibri"/>
          <w:color w:val="000000"/>
          <w:lang w:eastAsia="it-IT"/>
        </w:rPr>
        <w:t>; il</w:t>
      </w:r>
      <w:r w:rsidR="00351E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51E32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583E39">
        <w:rPr>
          <w:rFonts w:cs="Arial"/>
        </w:rPr>
        <w:t>Coldetom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e gocce auricolari (soluzione auricolare)</w:t>
      </w:r>
      <w:r>
        <w:rPr>
          <w:rFonts w:cs="Arial"/>
        </w:rPr>
        <w:t xml:space="preserve"> 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 (l’unica differenza sta nella salificazione del </w:t>
      </w:r>
      <w:proofErr w:type="spellStart"/>
      <w:r>
        <w:rPr>
          <w:rFonts w:cs="Arial"/>
        </w:rPr>
        <w:t>desametasone</w:t>
      </w:r>
      <w:proofErr w:type="spellEnd"/>
      <w:r>
        <w:rPr>
          <w:rFonts w:cs="Arial"/>
        </w:rPr>
        <w:t xml:space="preserve"> presente come base libera nel medicinale di riferimento e come sale sodio fosfato)</w:t>
      </w:r>
      <w:r w:rsidRPr="00B21EAE">
        <w:rPr>
          <w:rFonts w:cs="Arial"/>
        </w:rPr>
        <w:t>, non è stato necessario effettuare ulteriori studi clinici.</w:t>
      </w:r>
    </w:p>
    <w:p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83E39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Coldetom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1617CE">
        <w:rPr>
          <w:rFonts w:eastAsia="Calibri" w:cs="Calibri"/>
          <w:lang w:eastAsia="it-IT"/>
        </w:rPr>
        <w:t>7 aprile 2014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A3D16">
        <w:rPr>
          <w:rFonts w:eastAsia="Calibri" w:cs="Calibri"/>
          <w:lang w:eastAsia="it-IT"/>
        </w:rPr>
        <w:t>Tobradex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583E39">
        <w:rPr>
          <w:rFonts w:eastAsia="Calibri" w:cs="Calibri"/>
          <w:lang w:eastAsia="it-IT"/>
        </w:rPr>
        <w:t>Coldetom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83E39">
        <w:rPr>
          <w:rFonts w:eastAsia="Calibri" w:cs="Calibri"/>
          <w:lang w:eastAsia="it-IT"/>
        </w:rPr>
        <w:t>Coldetom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83E39">
        <w:rPr>
          <w:rFonts w:eastAsia="Calibri" w:cs="Calibri"/>
          <w:b/>
          <w:bCs/>
          <w:color w:val="000000"/>
          <w:lang w:eastAsia="it-IT"/>
        </w:rPr>
        <w:t>Coldetom</w:t>
      </w:r>
      <w:proofErr w:type="spellEnd"/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1617CE">
        <w:rPr>
          <w:rFonts w:eastAsia="Calibri" w:cs="Calibri"/>
          <w:bCs/>
          <w:iCs/>
          <w:lang w:eastAsia="it-IT"/>
        </w:rPr>
        <w:t>1</w:t>
      </w:r>
      <w:r w:rsidR="008748A5">
        <w:rPr>
          <w:rFonts w:eastAsia="Calibri" w:cs="Calibri"/>
          <w:bCs/>
          <w:iCs/>
          <w:lang w:eastAsia="it-IT"/>
        </w:rPr>
        <w:t xml:space="preserve"> luglio 201</w:t>
      </w:r>
      <w:r w:rsidR="001617CE">
        <w:rPr>
          <w:rFonts w:eastAsia="Calibri" w:cs="Calibri"/>
          <w:bCs/>
          <w:iCs/>
          <w:lang w:eastAsia="it-IT"/>
        </w:rPr>
        <w:t>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83E39">
        <w:rPr>
          <w:rFonts w:eastAsia="Calibri" w:cs="Calibri"/>
          <w:bCs/>
          <w:color w:val="000000"/>
          <w:lang w:eastAsia="it-IT"/>
        </w:rPr>
        <w:t>Coldetom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83E39">
        <w:rPr>
          <w:rFonts w:eastAsia="Calibri" w:cs="Calibri"/>
          <w:bCs/>
          <w:color w:val="000000"/>
          <w:lang w:eastAsia="it-IT"/>
        </w:rPr>
        <w:t>Coldetom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data </w:t>
      </w:r>
      <w:r w:rsidR="00700E72">
        <w:rPr>
          <w:rFonts w:eastAsia="Calibri" w:cs="Calibri"/>
          <w:lang w:eastAsia="it-IT"/>
        </w:rPr>
        <w:t>13.10.2015</w:t>
      </w:r>
      <w:r w:rsidRPr="002E1AB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7F9B"/>
    <w:rsid w:val="00042B96"/>
    <w:rsid w:val="00062636"/>
    <w:rsid w:val="00077016"/>
    <w:rsid w:val="0008174F"/>
    <w:rsid w:val="000955DE"/>
    <w:rsid w:val="000F1057"/>
    <w:rsid w:val="00106267"/>
    <w:rsid w:val="00111E9E"/>
    <w:rsid w:val="0011250C"/>
    <w:rsid w:val="00131234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75CAA"/>
    <w:rsid w:val="003A4849"/>
    <w:rsid w:val="003C5F22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64B06"/>
    <w:rsid w:val="00583E39"/>
    <w:rsid w:val="005C14E6"/>
    <w:rsid w:val="005F6F6F"/>
    <w:rsid w:val="00602BA7"/>
    <w:rsid w:val="006737C1"/>
    <w:rsid w:val="006F4207"/>
    <w:rsid w:val="00700E72"/>
    <w:rsid w:val="00702312"/>
    <w:rsid w:val="00725DCD"/>
    <w:rsid w:val="00744E80"/>
    <w:rsid w:val="007B5980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50FE0"/>
    <w:rsid w:val="00970F45"/>
    <w:rsid w:val="009A260F"/>
    <w:rsid w:val="009A3D16"/>
    <w:rsid w:val="009B03DB"/>
    <w:rsid w:val="00A05212"/>
    <w:rsid w:val="00A1005E"/>
    <w:rsid w:val="00A163E6"/>
    <w:rsid w:val="00A32D65"/>
    <w:rsid w:val="00A40FF3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E3201"/>
    <w:rsid w:val="00BF1041"/>
    <w:rsid w:val="00BF12EE"/>
    <w:rsid w:val="00C32A17"/>
    <w:rsid w:val="00CC677B"/>
    <w:rsid w:val="00CC7AFF"/>
    <w:rsid w:val="00D0448B"/>
    <w:rsid w:val="00D06C32"/>
    <w:rsid w:val="00D20170"/>
    <w:rsid w:val="00D23ADB"/>
    <w:rsid w:val="00D578E3"/>
    <w:rsid w:val="00D61114"/>
    <w:rsid w:val="00D969D2"/>
    <w:rsid w:val="00DB10B2"/>
    <w:rsid w:val="00DC3FBC"/>
    <w:rsid w:val="00DE6FC2"/>
    <w:rsid w:val="00DF4C50"/>
    <w:rsid w:val="00E43089"/>
    <w:rsid w:val="00E83F8D"/>
    <w:rsid w:val="00E87FD2"/>
    <w:rsid w:val="00EC7C6D"/>
    <w:rsid w:val="00ED175B"/>
    <w:rsid w:val="00ED641F"/>
    <w:rsid w:val="00EF062E"/>
    <w:rsid w:val="00F33944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4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50</cp:revision>
  <dcterms:created xsi:type="dcterms:W3CDTF">2015-06-09T14:48:00Z</dcterms:created>
  <dcterms:modified xsi:type="dcterms:W3CDTF">2015-10-20T10:46:00Z</dcterms:modified>
</cp:coreProperties>
</file>