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67593" w:rsidRDefault="00467593" w:rsidP="00467593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7593" w:rsidRDefault="0046759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AB54C2" w:rsidRDefault="0030600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FENOFIBRATO EG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30600B">
        <w:rPr>
          <w:snapToGrid w:val="0"/>
        </w:rPr>
        <w:t>Fenofibrato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30600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EG</w:t>
      </w:r>
    </w:p>
    <w:p w:rsidR="00BB4CC4" w:rsidRPr="00062636" w:rsidRDefault="00BB4CC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30600B">
        <w:rPr>
          <w:rFonts w:cs="Helvetica"/>
          <w:b/>
        </w:rPr>
        <w:t>043837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AB54C2" w:rsidRPr="0033523E" w:rsidRDefault="00AB54C2" w:rsidP="00AB54C2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33523E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33523E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AB54C2" w:rsidRDefault="00AB54C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30600B">
        <w:rPr>
          <w:rFonts w:eastAsia="Calibri" w:cs="Calibri"/>
          <w:color w:val="000000"/>
          <w:lang w:eastAsia="it-IT"/>
        </w:rPr>
        <w:t>Fenofibrato</w:t>
      </w:r>
      <w:proofErr w:type="spellEnd"/>
      <w:r w:rsidR="0030600B">
        <w:rPr>
          <w:rFonts w:eastAsia="Calibri" w:cs="Calibri"/>
          <w:color w:val="000000"/>
          <w:lang w:eastAsia="it-IT"/>
        </w:rPr>
        <w:t xml:space="preserve"> EG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30600B">
        <w:rPr>
          <w:rFonts w:eastAsia="Calibri" w:cs="Calibri"/>
          <w:color w:val="000000"/>
          <w:lang w:eastAsia="it-IT"/>
        </w:rPr>
        <w:t>Fenofibrato</w:t>
      </w:r>
      <w:proofErr w:type="spellEnd"/>
      <w:r w:rsidR="0030600B">
        <w:rPr>
          <w:rFonts w:eastAsia="Calibri" w:cs="Calibri"/>
          <w:color w:val="000000"/>
          <w:lang w:eastAsia="it-IT"/>
        </w:rPr>
        <w:t xml:space="preserve"> EG</w:t>
      </w:r>
      <w:r w:rsidR="00B9671B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5A64F7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30600B">
        <w:rPr>
          <w:rFonts w:eastAsia="Calibri" w:cs="Calibri"/>
          <w:color w:val="000000"/>
          <w:lang w:eastAsia="it-IT"/>
        </w:rPr>
        <w:t>Fenofibrato</w:t>
      </w:r>
      <w:proofErr w:type="spellEnd"/>
      <w:r w:rsidR="0030600B">
        <w:rPr>
          <w:rFonts w:eastAsia="Calibri" w:cs="Calibri"/>
          <w:color w:val="000000"/>
          <w:lang w:eastAsia="it-IT"/>
        </w:rPr>
        <w:t xml:space="preserve"> EG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30600B">
        <w:rPr>
          <w:rFonts w:eastAsia="Calibri" w:cs="Calibri"/>
          <w:color w:val="000000"/>
          <w:lang w:eastAsia="it-IT"/>
        </w:rPr>
        <w:t>Fenofibrato</w:t>
      </w:r>
      <w:proofErr w:type="spellEnd"/>
      <w:r w:rsidR="0030600B">
        <w:rPr>
          <w:rFonts w:eastAsia="Calibri" w:cs="Calibri"/>
          <w:color w:val="000000"/>
          <w:lang w:eastAsia="it-IT"/>
        </w:rPr>
        <w:t xml:space="preserve"> EG</w:t>
      </w:r>
      <w:r w:rsidR="00B9671B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5928E6" w:rsidRDefault="004241AC" w:rsidP="005928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5928E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30600B">
        <w:rPr>
          <w:rFonts w:eastAsia="Calibri" w:cs="Calibri"/>
          <w:b/>
          <w:color w:val="000000"/>
          <w:lang w:eastAsia="it-IT"/>
        </w:rPr>
        <w:t>Fenofibrato</w:t>
      </w:r>
      <w:proofErr w:type="spellEnd"/>
      <w:r w:rsidR="0030600B">
        <w:rPr>
          <w:rFonts w:eastAsia="Calibri" w:cs="Calibri"/>
          <w:b/>
          <w:color w:val="000000"/>
          <w:lang w:eastAsia="it-IT"/>
        </w:rPr>
        <w:t xml:space="preserve"> EG</w:t>
      </w:r>
      <w:r w:rsidR="00B9671B">
        <w:rPr>
          <w:rFonts w:eastAsia="Calibri" w:cs="Calibri"/>
          <w:b/>
          <w:color w:val="000000"/>
          <w:lang w:eastAsia="it-IT"/>
        </w:rPr>
        <w:t xml:space="preserve"> </w:t>
      </w:r>
      <w:r w:rsidRPr="005928E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4241AC" w:rsidRPr="00CF5597" w:rsidRDefault="0030600B" w:rsidP="00CF5597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Fenofibrato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EG</w:t>
      </w:r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5928E6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5928E6">
        <w:rPr>
          <w:rFonts w:eastAsia="Calibri" w:cs="Calibri"/>
          <w:color w:val="000000"/>
          <w:lang w:eastAsia="it-IT"/>
        </w:rPr>
        <w:t>i</w:t>
      </w:r>
      <w:r w:rsidR="00E83F8D" w:rsidRPr="005928E6">
        <w:rPr>
          <w:rFonts w:eastAsia="Calibri" w:cs="Calibri"/>
          <w:color w:val="000000"/>
          <w:lang w:eastAsia="it-IT"/>
        </w:rPr>
        <w:t>l</w:t>
      </w:r>
      <w:r w:rsidR="004241AC" w:rsidRPr="005928E6">
        <w:rPr>
          <w:rFonts w:eastAsia="Calibri" w:cs="Calibri"/>
          <w:color w:val="000000"/>
          <w:lang w:eastAsia="it-IT"/>
        </w:rPr>
        <w:t xml:space="preserve"> principi</w:t>
      </w:r>
      <w:r w:rsidR="00E83F8D" w:rsidRPr="005928E6">
        <w:rPr>
          <w:rFonts w:eastAsia="Calibri" w:cs="Calibri"/>
          <w:color w:val="000000"/>
          <w:lang w:eastAsia="it-IT"/>
        </w:rPr>
        <w:t>o</w:t>
      </w:r>
      <w:r w:rsidR="004241AC" w:rsidRPr="005928E6">
        <w:rPr>
          <w:rFonts w:eastAsia="Calibri" w:cs="Calibri"/>
          <w:color w:val="000000"/>
          <w:lang w:eastAsia="it-IT"/>
        </w:rPr>
        <w:t xml:space="preserve"> attiv</w:t>
      </w:r>
      <w:r w:rsidR="00E83F8D" w:rsidRPr="005928E6">
        <w:rPr>
          <w:rFonts w:eastAsia="Calibri" w:cs="Calibri"/>
          <w:color w:val="000000"/>
          <w:lang w:eastAsia="it-IT"/>
        </w:rPr>
        <w:t>o</w:t>
      </w:r>
      <w:r w:rsidR="004241AC" w:rsidRPr="005928E6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fenofibrato</w:t>
      </w:r>
      <w:proofErr w:type="spellEnd"/>
      <w:r w:rsidR="00BB4CC4">
        <w:rPr>
          <w:rFonts w:eastAsia="Calibri" w:cs="Calibri"/>
          <w:color w:val="000000"/>
          <w:lang w:eastAsia="it-IT"/>
        </w:rPr>
        <w:t xml:space="preserve"> ed è </w:t>
      </w:r>
      <w:r w:rsidR="004241AC" w:rsidRPr="005928E6">
        <w:rPr>
          <w:rFonts w:eastAsia="Calibri" w:cs="Calibri"/>
          <w:color w:val="000000"/>
          <w:lang w:eastAsia="it-IT"/>
        </w:rPr>
        <w:t xml:space="preserve">disponibile in </w:t>
      </w:r>
      <w:r>
        <w:rPr>
          <w:rFonts w:eastAsia="Calibri" w:cs="Calibri"/>
          <w:color w:val="000000"/>
          <w:lang w:eastAsia="it-IT"/>
        </w:rPr>
        <w:t xml:space="preserve">compresse </w:t>
      </w:r>
      <w:r w:rsidR="00A61113" w:rsidRPr="00CF5597">
        <w:rPr>
          <w:rFonts w:eastAsia="Calibri" w:cs="Calibri"/>
          <w:color w:val="000000"/>
          <w:lang w:eastAsia="it-IT"/>
        </w:rPr>
        <w:t xml:space="preserve">contenenti </w:t>
      </w:r>
      <w:r w:rsidRPr="00CF5597">
        <w:rPr>
          <w:rFonts w:eastAsia="Calibri" w:cs="Calibri"/>
          <w:color w:val="000000"/>
          <w:lang w:eastAsia="it-IT"/>
        </w:rPr>
        <w:t>145</w:t>
      </w:r>
      <w:r w:rsidR="00A61113" w:rsidRPr="00CF5597">
        <w:rPr>
          <w:rFonts w:eastAsia="Calibri" w:cs="Calibri"/>
          <w:color w:val="000000"/>
          <w:lang w:eastAsia="it-IT"/>
        </w:rPr>
        <w:t xml:space="preserve"> mg </w:t>
      </w:r>
      <w:r w:rsidRPr="00CF5597">
        <w:rPr>
          <w:rFonts w:eastAsia="Calibri" w:cs="Calibri"/>
          <w:color w:val="000000"/>
          <w:lang w:eastAsia="it-IT"/>
        </w:rPr>
        <w:t xml:space="preserve">di </w:t>
      </w:r>
      <w:r w:rsidR="00BB4CC4" w:rsidRPr="00CF5597">
        <w:rPr>
          <w:rFonts w:cs="Helvetica"/>
        </w:rPr>
        <w:t>principio attivo</w:t>
      </w:r>
      <w:r w:rsidR="004241AC" w:rsidRPr="00CF5597">
        <w:t>.</w:t>
      </w:r>
    </w:p>
    <w:p w:rsidR="0030600B" w:rsidRDefault="0030600B" w:rsidP="00CF5597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CF5597">
        <w:rPr>
          <w:rFonts w:eastAsia="Calibri" w:cs="Calibri"/>
          <w:color w:val="000000"/>
          <w:lang w:eastAsia="it-IT"/>
        </w:rPr>
        <w:t>Fenofibrato</w:t>
      </w:r>
      <w:proofErr w:type="spellEnd"/>
      <w:r w:rsidRPr="00CF5597">
        <w:rPr>
          <w:rFonts w:eastAsia="Calibri" w:cs="Calibri"/>
          <w:color w:val="000000"/>
          <w:lang w:eastAsia="it-IT"/>
        </w:rPr>
        <w:t xml:space="preserve"> EG</w:t>
      </w:r>
      <w:r w:rsidR="00B9671B" w:rsidRPr="00CF5597">
        <w:rPr>
          <w:rFonts w:eastAsia="Calibri" w:cs="Calibri"/>
          <w:color w:val="000000"/>
          <w:lang w:eastAsia="it-IT"/>
        </w:rPr>
        <w:t xml:space="preserve"> </w:t>
      </w:r>
      <w:r w:rsidR="00013020" w:rsidRPr="00CF5597">
        <w:rPr>
          <w:rFonts w:eastAsia="Calibri" w:cs="Calibri"/>
          <w:color w:val="000000"/>
          <w:lang w:eastAsia="it-IT"/>
        </w:rPr>
        <w:t>è un “medicinale generico”, cioè è analogo ad un “medicinale di riferimento”</w:t>
      </w:r>
      <w:r w:rsidRPr="00CF5597">
        <w:rPr>
          <w:rFonts w:eastAsia="Calibri" w:cs="Calibri"/>
          <w:color w:val="000000"/>
          <w:lang w:eastAsia="it-IT"/>
        </w:rPr>
        <w:t xml:space="preserve">, </w:t>
      </w:r>
      <w:proofErr w:type="spellStart"/>
      <w:r w:rsidRPr="00BF51B2">
        <w:rPr>
          <w:rFonts w:eastAsia="Calibri" w:cs="Calibri"/>
          <w:color w:val="000000"/>
          <w:lang w:eastAsia="it-IT"/>
        </w:rPr>
        <w:t>Fulcrosupra</w:t>
      </w:r>
      <w:proofErr w:type="spellEnd"/>
      <w:r w:rsidRPr="00BF51B2">
        <w:rPr>
          <w:rFonts w:eastAsia="Calibri" w:cs="Calibri"/>
          <w:color w:val="000000"/>
          <w:lang w:eastAsia="it-IT"/>
        </w:rPr>
        <w:t>,</w:t>
      </w:r>
      <w:r w:rsidR="00A61113" w:rsidRPr="00BF51B2">
        <w:rPr>
          <w:rFonts w:eastAsia="Calibri" w:cs="Calibri"/>
          <w:color w:val="000000"/>
          <w:lang w:eastAsia="it-IT"/>
        </w:rPr>
        <w:t xml:space="preserve"> </w:t>
      </w:r>
      <w:r w:rsidR="00013020" w:rsidRPr="00BF51B2">
        <w:rPr>
          <w:rFonts w:eastAsia="Calibri" w:cs="Calibri"/>
          <w:color w:val="000000"/>
          <w:lang w:eastAsia="it-IT"/>
        </w:rPr>
        <w:t xml:space="preserve">autorizzato in </w:t>
      </w:r>
      <w:r w:rsidR="00E83F8D" w:rsidRPr="00BF51B2">
        <w:rPr>
          <w:rFonts w:eastAsia="Calibri" w:cs="Calibri"/>
          <w:color w:val="000000"/>
          <w:lang w:eastAsia="it-IT"/>
        </w:rPr>
        <w:t>Italia</w:t>
      </w:r>
      <w:r w:rsidR="00A61113" w:rsidRPr="00BF51B2">
        <w:rPr>
          <w:rFonts w:eastAsia="Calibri" w:cs="Calibri"/>
          <w:color w:val="000000"/>
          <w:lang w:eastAsia="it-IT"/>
        </w:rPr>
        <w:t xml:space="preserve"> con procedura </w:t>
      </w:r>
      <w:r w:rsidRPr="00BF51B2">
        <w:rPr>
          <w:rFonts w:eastAsia="Calibri" w:cs="Calibri"/>
          <w:color w:val="000000"/>
          <w:lang w:eastAsia="it-IT"/>
        </w:rPr>
        <w:t xml:space="preserve">decentrata con la Germania come stato di riferimento </w:t>
      </w:r>
      <w:r w:rsidR="00DC2CA3" w:rsidRPr="00BF51B2">
        <w:rPr>
          <w:rFonts w:eastAsia="Calibri" w:cs="Calibri"/>
          <w:color w:val="000000"/>
          <w:lang w:eastAsia="it-IT"/>
        </w:rPr>
        <w:t>(</w:t>
      </w:r>
      <w:hyperlink r:id="rId6" w:history="1">
        <w:r w:rsidR="00DC2CA3" w:rsidRPr="00BF51B2">
          <w:rPr>
            <w:rStyle w:val="Collegamentoipertestuale"/>
            <w:rFonts w:eastAsia="Calibri" w:cs="Calibri"/>
            <w:lang w:eastAsia="it-IT"/>
          </w:rPr>
          <w:t>http://www.bfarm.de/EN/Home/home_node.html</w:t>
        </w:r>
      </w:hyperlink>
      <w:r w:rsidR="00DC2CA3" w:rsidRPr="00BF51B2">
        <w:rPr>
          <w:rFonts w:eastAsia="Calibri" w:cs="Calibri"/>
          <w:color w:val="000000"/>
          <w:lang w:eastAsia="it-IT"/>
        </w:rPr>
        <w:t>)</w:t>
      </w:r>
      <w:r w:rsidRPr="00BF51B2">
        <w:rPr>
          <w:rFonts w:eastAsia="Calibri" w:cs="Calibri"/>
          <w:color w:val="000000"/>
          <w:lang w:eastAsia="it-IT"/>
        </w:rPr>
        <w:t>. Sul sito dell’Agenzia Italiana del Farmaco (AIFA) (</w:t>
      </w:r>
      <w:hyperlink r:id="rId7" w:history="1">
        <w:r w:rsidRPr="00BF51B2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BF51B2">
        <w:rPr>
          <w:rFonts w:eastAsia="Calibri" w:cs="Calibri"/>
          <w:lang w:eastAsia="it-IT"/>
        </w:rPr>
        <w:t>)</w:t>
      </w:r>
      <w:r w:rsidRPr="00BF51B2">
        <w:t xml:space="preserve"> </w:t>
      </w:r>
      <w:r w:rsidRPr="00BF51B2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 w:rsidRPr="00BF51B2">
        <w:rPr>
          <w:rFonts w:eastAsia="Calibri" w:cs="Calibri"/>
          <w:color w:val="000000"/>
          <w:lang w:eastAsia="it-IT"/>
        </w:rPr>
        <w:t>Fulcrosupra</w:t>
      </w:r>
      <w:proofErr w:type="spellEnd"/>
      <w:r w:rsidRPr="00BF51B2">
        <w:rPr>
          <w:rFonts w:eastAsia="Calibri" w:cs="Calibri"/>
          <w:color w:val="000000"/>
          <w:lang w:eastAsia="it-IT"/>
        </w:rPr>
        <w:t>.</w:t>
      </w:r>
    </w:p>
    <w:p w:rsidR="00CF5597" w:rsidRPr="00CF5597" w:rsidRDefault="0030600B" w:rsidP="00CF5597">
      <w:pPr>
        <w:pStyle w:val="Paragraph"/>
        <w:spacing w:after="0"/>
        <w:jc w:val="both"/>
        <w:rPr>
          <w:rStyle w:val="Instructions"/>
          <w:rFonts w:asciiTheme="minorHAnsi" w:hAnsiTheme="minorHAnsi"/>
          <w:sz w:val="22"/>
          <w:szCs w:val="22"/>
          <w:lang w:val="it-IT"/>
        </w:rPr>
      </w:pPr>
      <w:proofErr w:type="spellStart"/>
      <w:r w:rsidRPr="00CF5597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>Fenofibrato</w:t>
      </w:r>
      <w:proofErr w:type="spellEnd"/>
      <w:r w:rsidRPr="00CF5597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 xml:space="preserve"> EG</w:t>
      </w:r>
      <w:r w:rsidR="00B9671B" w:rsidRPr="00CF5597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 xml:space="preserve"> </w:t>
      </w:r>
      <w:r w:rsidR="00452364" w:rsidRPr="00CF5597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>si usa</w:t>
      </w:r>
      <w:r w:rsidR="00A61113" w:rsidRPr="00CF5597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 xml:space="preserve"> negli adulti </w:t>
      </w:r>
      <w:r w:rsidR="00CF5597" w:rsidRPr="00CF5597">
        <w:rPr>
          <w:rFonts w:asciiTheme="minorHAnsi" w:hAnsiTheme="minorHAnsi"/>
          <w:sz w:val="22"/>
          <w:szCs w:val="22"/>
          <w:lang w:val="it-IT"/>
        </w:rPr>
        <w:t>per abbassare il livello di grassi (lipidi) nel sangue</w:t>
      </w:r>
      <w:r w:rsidR="002D1437">
        <w:rPr>
          <w:rFonts w:asciiTheme="minorHAnsi" w:hAnsiTheme="minorHAnsi"/>
          <w:sz w:val="22"/>
          <w:szCs w:val="22"/>
          <w:lang w:val="it-IT"/>
        </w:rPr>
        <w:t>:</w:t>
      </w:r>
      <w:r w:rsidR="00CF5597" w:rsidRPr="00CF5597">
        <w:rPr>
          <w:rFonts w:asciiTheme="minorHAnsi" w:hAnsiTheme="minorHAnsi"/>
          <w:sz w:val="22"/>
          <w:szCs w:val="22"/>
          <w:lang w:val="it-IT"/>
        </w:rPr>
        <w:t xml:space="preserve"> </w:t>
      </w:r>
      <w:r w:rsidR="002D1437">
        <w:rPr>
          <w:rFonts w:asciiTheme="minorHAnsi" w:hAnsiTheme="minorHAnsi"/>
          <w:sz w:val="22"/>
          <w:szCs w:val="22"/>
          <w:lang w:val="it-IT"/>
        </w:rPr>
        <w:t>a</w:t>
      </w:r>
      <w:r w:rsidR="00CF5597" w:rsidRPr="00CF5597">
        <w:rPr>
          <w:rFonts w:asciiTheme="minorHAnsi" w:hAnsiTheme="minorHAnsi"/>
          <w:sz w:val="22"/>
          <w:szCs w:val="22"/>
          <w:lang w:val="it-IT"/>
        </w:rPr>
        <w:t xml:space="preserve">d esempio, i grassi noti come trigliceridi. </w:t>
      </w:r>
      <w:r w:rsidR="00CF5597" w:rsidRPr="00CF5597">
        <w:rPr>
          <w:rStyle w:val="Instructions"/>
          <w:rFonts w:asciiTheme="minorHAnsi" w:hAnsiTheme="minorHAnsi"/>
          <w:sz w:val="22"/>
          <w:szCs w:val="22"/>
          <w:lang w:val="it-IT"/>
        </w:rPr>
        <w:t xml:space="preserve"> </w:t>
      </w:r>
    </w:p>
    <w:p w:rsidR="00A61113" w:rsidRPr="00CF5597" w:rsidRDefault="00CF5597" w:rsidP="00CF5597">
      <w:pPr>
        <w:adjustRightInd w:val="0"/>
        <w:spacing w:after="0" w:line="240" w:lineRule="auto"/>
        <w:jc w:val="both"/>
        <w:rPr>
          <w:iCs/>
          <w:color w:val="0000FF"/>
        </w:rPr>
      </w:pPr>
      <w:proofErr w:type="spellStart"/>
      <w:r w:rsidRPr="00CF5597">
        <w:rPr>
          <w:iCs/>
          <w:color w:val="000000"/>
        </w:rPr>
        <w:t>Fenofibrato</w:t>
      </w:r>
      <w:proofErr w:type="spellEnd"/>
      <w:r w:rsidRPr="00CF5597">
        <w:rPr>
          <w:iCs/>
          <w:color w:val="000000"/>
        </w:rPr>
        <w:t xml:space="preserve"> EG è impiegato, insieme a una dieta a basso contenuto di grassi e ad altri trattamenti non medici, come esercizio fisico e perdita di peso, per ridurre i livelli di grassi nel sangue. Può essere usato in aggiunta ad altri medicinali (statine) in alcune circostanze in cui i livelli di grassi nel sangue non siano controllati solamente con una statina.</w:t>
      </w:r>
    </w:p>
    <w:p w:rsidR="004241AC" w:rsidRPr="00CF5597" w:rsidRDefault="004241AC" w:rsidP="00CF55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2937E3" w:rsidRPr="00CF5597" w:rsidRDefault="002937E3" w:rsidP="00CF55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CF5597" w:rsidRDefault="004241AC" w:rsidP="00CF55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CF5597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30600B" w:rsidRPr="00CF5597">
        <w:rPr>
          <w:rFonts w:eastAsia="Calibri" w:cs="Calibri"/>
          <w:b/>
          <w:bCs/>
          <w:color w:val="000000"/>
          <w:lang w:eastAsia="it-IT"/>
        </w:rPr>
        <w:t>Fenofibrato</w:t>
      </w:r>
      <w:proofErr w:type="spellEnd"/>
      <w:r w:rsidR="0030600B" w:rsidRPr="00CF5597">
        <w:rPr>
          <w:rFonts w:eastAsia="Calibri" w:cs="Calibri"/>
          <w:b/>
          <w:bCs/>
          <w:color w:val="000000"/>
          <w:lang w:eastAsia="it-IT"/>
        </w:rPr>
        <w:t xml:space="preserve"> EG</w:t>
      </w:r>
      <w:r w:rsidRPr="00CF5597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CF5597" w:rsidRDefault="0030600B" w:rsidP="00CF55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CF5597">
        <w:rPr>
          <w:rFonts w:eastAsia="Calibri" w:cs="Calibri"/>
          <w:color w:val="000000"/>
          <w:lang w:eastAsia="it-IT"/>
        </w:rPr>
        <w:t>Fenofibrato</w:t>
      </w:r>
      <w:proofErr w:type="spellEnd"/>
      <w:r w:rsidRPr="00CF5597">
        <w:rPr>
          <w:rFonts w:eastAsia="Calibri" w:cs="Calibri"/>
          <w:color w:val="000000"/>
          <w:lang w:eastAsia="it-IT"/>
        </w:rPr>
        <w:t xml:space="preserve"> EG</w:t>
      </w:r>
      <w:r w:rsidR="00B9671B" w:rsidRPr="00CF5597">
        <w:rPr>
          <w:rFonts w:eastAsia="Calibri" w:cs="Calibri"/>
          <w:color w:val="000000"/>
          <w:lang w:eastAsia="it-IT"/>
        </w:rPr>
        <w:t xml:space="preserve"> </w:t>
      </w:r>
      <w:r w:rsidR="004241AC" w:rsidRPr="00CF5597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30600B" w:rsidRPr="00CF5597" w:rsidRDefault="00874733" w:rsidP="00CF5597">
      <w:pPr>
        <w:tabs>
          <w:tab w:val="left" w:pos="0"/>
        </w:tabs>
        <w:spacing w:after="0" w:line="240" w:lineRule="auto"/>
        <w:jc w:val="both"/>
      </w:pPr>
      <w:r w:rsidRPr="00CF5597">
        <w:t>Generalmente, l</w:t>
      </w:r>
      <w:r w:rsidR="004241AC" w:rsidRPr="00CF5597">
        <w:t xml:space="preserve">a dose </w:t>
      </w:r>
      <w:r w:rsidR="00F6357B" w:rsidRPr="00CF5597">
        <w:t xml:space="preserve">giornaliera </w:t>
      </w:r>
      <w:r w:rsidRPr="00CF5597">
        <w:t xml:space="preserve">raccomandata </w:t>
      </w:r>
      <w:r w:rsidR="00F6357B" w:rsidRPr="00CF5597">
        <w:t xml:space="preserve">è di </w:t>
      </w:r>
      <w:r w:rsidR="0030600B" w:rsidRPr="00CF5597">
        <w:t>un compressa da 145 mg</w:t>
      </w:r>
      <w:r w:rsidR="00F6357B" w:rsidRPr="00CF5597">
        <w:t xml:space="preserve">. </w:t>
      </w:r>
    </w:p>
    <w:p w:rsidR="004241AC" w:rsidRPr="002937E3" w:rsidRDefault="0030600B" w:rsidP="00F6357B">
      <w:pPr>
        <w:tabs>
          <w:tab w:val="left" w:pos="0"/>
        </w:tabs>
        <w:spacing w:after="0" w:line="240" w:lineRule="auto"/>
        <w:jc w:val="both"/>
      </w:pPr>
      <w:r>
        <w:t>Nei pazienti con problemi non gravi ai reni è possibile che il dosaggio sia più basso.</w:t>
      </w:r>
    </w:p>
    <w:p w:rsidR="006C7E98" w:rsidRDefault="00F6357B" w:rsidP="00F6357B">
      <w:pPr>
        <w:tabs>
          <w:tab w:val="left" w:pos="0"/>
        </w:tabs>
        <w:spacing w:after="0" w:line="240" w:lineRule="auto"/>
        <w:jc w:val="both"/>
      </w:pPr>
      <w:r>
        <w:t>I</w:t>
      </w:r>
      <w:r w:rsidR="00730C29" w:rsidRPr="002937E3">
        <w:t xml:space="preserve"> pazienti </w:t>
      </w:r>
      <w:r w:rsidR="006C7E98" w:rsidRPr="002937E3">
        <w:t xml:space="preserve">con </w:t>
      </w:r>
      <w:r>
        <w:t xml:space="preserve">problemi </w:t>
      </w:r>
      <w:r w:rsidRPr="002937E3">
        <w:t>al fegato</w:t>
      </w:r>
      <w:r>
        <w:t xml:space="preserve"> e con</w:t>
      </w:r>
      <w:r w:rsidRPr="002937E3">
        <w:t xml:space="preserve"> </w:t>
      </w:r>
      <w:r>
        <w:t xml:space="preserve">gravi </w:t>
      </w:r>
      <w:r w:rsidR="006C7E98" w:rsidRPr="002937E3">
        <w:t xml:space="preserve">problemi al rene </w:t>
      </w:r>
      <w:r>
        <w:t>non devono usare questo medicinale</w:t>
      </w:r>
      <w:r w:rsidR="006C7E98" w:rsidRPr="002937E3">
        <w:t>.</w:t>
      </w:r>
    </w:p>
    <w:p w:rsidR="00F6357B" w:rsidRDefault="0030600B" w:rsidP="00F6357B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t>Fenofibrato</w:t>
      </w:r>
      <w:proofErr w:type="spellEnd"/>
      <w:r>
        <w:t xml:space="preserve"> EG</w:t>
      </w:r>
      <w:r w:rsidR="00F6357B">
        <w:t xml:space="preserve"> non deve essere impiegato nei bambini e negli adolescenti di età inferiore ai 18 anni </w:t>
      </w:r>
      <w:r w:rsidR="003B27A1">
        <w:t>poiché</w:t>
      </w:r>
      <w:r w:rsidR="00F6357B">
        <w:t xml:space="preserve"> non ci sono dati disponibili sulla sicurezza e sull’efficacia di </w:t>
      </w:r>
      <w:proofErr w:type="spellStart"/>
      <w:r>
        <w:t>fenofibrato</w:t>
      </w:r>
      <w:proofErr w:type="spellEnd"/>
      <w:r w:rsidR="00F6357B">
        <w:t xml:space="preserve"> </w:t>
      </w:r>
      <w:r>
        <w:t>in questi pazienti.</w:t>
      </w:r>
    </w:p>
    <w:p w:rsidR="00F6357B" w:rsidRPr="00B564B6" w:rsidRDefault="0030600B" w:rsidP="00F6357B">
      <w:pPr>
        <w:autoSpaceDE w:val="0"/>
        <w:autoSpaceDN w:val="0"/>
        <w:adjustRightInd w:val="0"/>
        <w:spacing w:after="0" w:line="240" w:lineRule="auto"/>
        <w:jc w:val="both"/>
        <w:rPr>
          <w:lang w:bidi="he-IL"/>
        </w:rPr>
      </w:pPr>
      <w:r>
        <w:t xml:space="preserve">Le compresse devono essere deglutite intere con un po’ di acqua, </w:t>
      </w:r>
      <w:r w:rsidR="00F6357B">
        <w:t>indipendentemente dal cibo.</w:t>
      </w:r>
    </w:p>
    <w:p w:rsidR="00F6357B" w:rsidRPr="002937E3" w:rsidRDefault="00F6357B" w:rsidP="00F6357B">
      <w:pPr>
        <w:tabs>
          <w:tab w:val="left" w:pos="0"/>
        </w:tabs>
        <w:spacing w:after="0" w:line="240" w:lineRule="auto"/>
        <w:jc w:val="both"/>
      </w:pPr>
    </w:p>
    <w:p w:rsidR="004241AC" w:rsidRPr="00B40F40" w:rsidRDefault="004241AC" w:rsidP="00B40F4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B40F40" w:rsidRDefault="004241AC" w:rsidP="00B40F4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40F4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30600B" w:rsidRPr="00B40F40">
        <w:rPr>
          <w:rFonts w:eastAsia="Calibri" w:cs="Calibri"/>
          <w:b/>
          <w:bCs/>
          <w:color w:val="000000"/>
          <w:lang w:eastAsia="it-IT"/>
        </w:rPr>
        <w:t>Fenofibrato</w:t>
      </w:r>
      <w:proofErr w:type="spellEnd"/>
      <w:r w:rsidR="0030600B" w:rsidRPr="00B40F40">
        <w:rPr>
          <w:rFonts w:eastAsia="Calibri" w:cs="Calibri"/>
          <w:b/>
          <w:bCs/>
          <w:color w:val="000000"/>
          <w:lang w:eastAsia="it-IT"/>
        </w:rPr>
        <w:t xml:space="preserve"> EG</w:t>
      </w:r>
      <w:r w:rsidRPr="00B40F4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B40F40" w:rsidRPr="00B40F40" w:rsidRDefault="0030600B" w:rsidP="00B40F40">
      <w:pPr>
        <w:suppressAutoHyphens/>
        <w:spacing w:after="0" w:line="240" w:lineRule="auto"/>
        <w:jc w:val="both"/>
      </w:pPr>
      <w:proofErr w:type="spellStart"/>
      <w:r w:rsidRPr="00B40F40">
        <w:rPr>
          <w:rFonts w:eastAsia="Calibri" w:cs="Calibri"/>
          <w:bCs/>
          <w:color w:val="000000"/>
          <w:lang w:eastAsia="it-IT"/>
        </w:rPr>
        <w:t>Fenofibrato</w:t>
      </w:r>
      <w:proofErr w:type="spellEnd"/>
      <w:r w:rsidRPr="00B40F40">
        <w:rPr>
          <w:rFonts w:eastAsia="Calibri" w:cs="Calibri"/>
          <w:bCs/>
          <w:color w:val="000000"/>
          <w:lang w:eastAsia="it-IT"/>
        </w:rPr>
        <w:t xml:space="preserve"> EG</w:t>
      </w:r>
      <w:r w:rsidR="00B27F42" w:rsidRPr="00B40F40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="00DC2CA3" w:rsidRPr="00B40F40">
        <w:t>C10AB05</w:t>
      </w:r>
      <w:r w:rsidR="00B27F42" w:rsidRPr="00B40F40">
        <w:rPr>
          <w:lang w:eastAsia="it-IT"/>
        </w:rPr>
        <w:t>,</w:t>
      </w:r>
      <w:r w:rsidR="00E43089" w:rsidRPr="00B40F40">
        <w:rPr>
          <w:rFonts w:eastAsia="DejaVuSans" w:cs="DejaVuSans"/>
        </w:rPr>
        <w:t xml:space="preserve"> </w:t>
      </w:r>
      <w:r w:rsidR="004241AC" w:rsidRPr="00B40F40">
        <w:rPr>
          <w:rFonts w:eastAsia="Calibri" w:cs="Calibri"/>
          <w:color w:val="000000"/>
          <w:lang w:eastAsia="it-IT"/>
        </w:rPr>
        <w:t>contiene i</w:t>
      </w:r>
      <w:r w:rsidR="00EF062E" w:rsidRPr="00B40F40">
        <w:rPr>
          <w:rFonts w:eastAsia="Calibri" w:cs="Calibri"/>
          <w:color w:val="000000"/>
          <w:lang w:eastAsia="it-IT"/>
        </w:rPr>
        <w:t>l</w:t>
      </w:r>
      <w:r w:rsidR="004241AC" w:rsidRPr="00B40F40">
        <w:rPr>
          <w:rFonts w:eastAsia="Calibri" w:cs="Calibri"/>
          <w:color w:val="000000"/>
          <w:lang w:eastAsia="it-IT"/>
        </w:rPr>
        <w:t xml:space="preserve"> principi</w:t>
      </w:r>
      <w:r w:rsidR="00EF062E" w:rsidRPr="00B40F40">
        <w:rPr>
          <w:rFonts w:eastAsia="Calibri" w:cs="Calibri"/>
          <w:color w:val="000000"/>
          <w:lang w:eastAsia="it-IT"/>
        </w:rPr>
        <w:t>o</w:t>
      </w:r>
      <w:r w:rsidR="004241AC" w:rsidRPr="00B40F40">
        <w:rPr>
          <w:rFonts w:eastAsia="Calibri" w:cs="Calibri"/>
          <w:color w:val="000000"/>
          <w:lang w:eastAsia="it-IT"/>
        </w:rPr>
        <w:t xml:space="preserve"> attiv</w:t>
      </w:r>
      <w:r w:rsidR="00EF062E" w:rsidRPr="00B40F40">
        <w:rPr>
          <w:rFonts w:eastAsia="Calibri" w:cs="Calibri"/>
          <w:color w:val="000000"/>
          <w:lang w:eastAsia="it-IT"/>
        </w:rPr>
        <w:t>o</w:t>
      </w:r>
      <w:r w:rsidR="004241AC" w:rsidRPr="00B40F4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B40F40">
        <w:rPr>
          <w:rFonts w:eastAsia="Calibri" w:cs="Calibri"/>
          <w:color w:val="000000"/>
          <w:lang w:eastAsia="it-IT"/>
        </w:rPr>
        <w:t>fenofibrato</w:t>
      </w:r>
      <w:proofErr w:type="spellEnd"/>
      <w:r w:rsidR="00B27F42" w:rsidRPr="00B40F40">
        <w:rPr>
          <w:rFonts w:eastAsia="Calibri" w:cs="Calibri"/>
          <w:color w:val="000000"/>
          <w:lang w:eastAsia="it-IT"/>
        </w:rPr>
        <w:t xml:space="preserve"> che </w:t>
      </w:r>
      <w:r w:rsidR="00B40F40" w:rsidRPr="00B40F40">
        <w:t xml:space="preserve">è un derivato dell’acido </w:t>
      </w:r>
      <w:proofErr w:type="spellStart"/>
      <w:r w:rsidR="00B40F40" w:rsidRPr="00B40F40">
        <w:t>fibrico</w:t>
      </w:r>
      <w:proofErr w:type="spellEnd"/>
      <w:r w:rsidR="00B40F40" w:rsidRPr="00B40F40">
        <w:t xml:space="preserve"> ed agisce attivando la lipolisi (scissione dei grassi</w:t>
      </w:r>
      <w:r w:rsidR="00674059">
        <w:t>)</w:t>
      </w:r>
      <w:r w:rsidR="00B40F40" w:rsidRPr="00B40F40">
        <w:t xml:space="preserve"> e l’eliminazione delle particelle ricche in trigliceridi dal sangue; inoltre</w:t>
      </w:r>
      <w:r w:rsidR="00B40F40">
        <w:t>,</w:t>
      </w:r>
      <w:r w:rsidR="00B40F40" w:rsidRPr="00B40F40">
        <w:t xml:space="preserve"> il </w:t>
      </w:r>
      <w:proofErr w:type="spellStart"/>
      <w:r w:rsidR="00B40F40" w:rsidRPr="00B40F40">
        <w:t>fenofibrato</w:t>
      </w:r>
      <w:proofErr w:type="spellEnd"/>
      <w:r w:rsidR="00B40F40" w:rsidRPr="00B40F40">
        <w:t xml:space="preserve"> </w:t>
      </w:r>
      <w:r w:rsidR="00B40F40">
        <w:t xml:space="preserve">agisce sui livelli di colesterolo, </w:t>
      </w:r>
      <w:r w:rsidR="00B40F40" w:rsidRPr="00B40F40">
        <w:t>aumenta</w:t>
      </w:r>
      <w:r w:rsidR="00B40F40">
        <w:t xml:space="preserve">ndo </w:t>
      </w:r>
      <w:r w:rsidR="00B40F40" w:rsidRPr="00B40F40">
        <w:t>la sintesi di alcune proteine che favorisco la riduzione delle lipoproteine a densità molto bassa (VLDL) e densità bassa (LDL) e l’aumento delle frazioni di lipoproteine ad alta densità (HDL</w:t>
      </w:r>
      <w:r w:rsidR="00674059">
        <w:t>)</w:t>
      </w:r>
      <w:r w:rsidR="00B40F40" w:rsidRPr="00B40F40">
        <w:t>.</w:t>
      </w:r>
    </w:p>
    <w:p w:rsidR="00156BA7" w:rsidRPr="00B40F40" w:rsidRDefault="00156BA7" w:rsidP="00B40F40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BA7D67" w:rsidRPr="00B40F40" w:rsidRDefault="00BA7D67" w:rsidP="00B40F4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B40F40" w:rsidRDefault="004241AC" w:rsidP="00B40F4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40F40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30600B" w:rsidRPr="00B40F40">
        <w:rPr>
          <w:rFonts w:eastAsia="Calibri" w:cs="Calibri"/>
          <w:b/>
          <w:bCs/>
          <w:color w:val="000000"/>
          <w:lang w:eastAsia="it-IT"/>
        </w:rPr>
        <w:t>Fenofibrato</w:t>
      </w:r>
      <w:proofErr w:type="spellEnd"/>
      <w:r w:rsidR="0030600B" w:rsidRPr="00B40F40">
        <w:rPr>
          <w:rFonts w:eastAsia="Calibri" w:cs="Calibri"/>
          <w:b/>
          <w:bCs/>
          <w:color w:val="000000"/>
          <w:lang w:eastAsia="it-IT"/>
        </w:rPr>
        <w:t xml:space="preserve"> EG</w:t>
      </w:r>
      <w:r w:rsidRPr="00B40F40">
        <w:rPr>
          <w:rFonts w:eastAsia="Calibri" w:cs="Calibri"/>
          <w:b/>
          <w:bCs/>
          <w:lang w:eastAsia="it-IT"/>
        </w:rPr>
        <w:t xml:space="preserve">? </w:t>
      </w:r>
    </w:p>
    <w:p w:rsidR="004241AC" w:rsidRPr="00B40F40" w:rsidRDefault="004241AC" w:rsidP="00B40F40">
      <w:pPr>
        <w:spacing w:after="0" w:line="240" w:lineRule="auto"/>
        <w:jc w:val="both"/>
        <w:rPr>
          <w:rFonts w:ascii="Calibri" w:hAnsi="Calibri" w:cs="Arial"/>
        </w:rPr>
      </w:pPr>
      <w:r w:rsidRPr="00B40F40">
        <w:rPr>
          <w:rFonts w:cs="Arial"/>
        </w:rPr>
        <w:t xml:space="preserve">Poiché </w:t>
      </w:r>
      <w:proofErr w:type="spellStart"/>
      <w:r w:rsidR="0030600B" w:rsidRPr="00B40F40">
        <w:rPr>
          <w:rFonts w:cs="Arial"/>
        </w:rPr>
        <w:t>Fenofibrato</w:t>
      </w:r>
      <w:proofErr w:type="spellEnd"/>
      <w:r w:rsidR="0030600B" w:rsidRPr="00B40F40">
        <w:rPr>
          <w:rFonts w:cs="Arial"/>
        </w:rPr>
        <w:t xml:space="preserve"> EG</w:t>
      </w:r>
      <w:r w:rsidR="00B9671B" w:rsidRPr="00B40F40">
        <w:rPr>
          <w:rFonts w:cs="Arial"/>
        </w:rPr>
        <w:t xml:space="preserve"> </w:t>
      </w:r>
      <w:r w:rsidR="00013020" w:rsidRPr="00B40F40">
        <w:rPr>
          <w:rFonts w:cs="Arial"/>
        </w:rPr>
        <w:t>è un medicinale generico</w:t>
      </w:r>
      <w:r w:rsidRPr="00B40F40">
        <w:rPr>
          <w:rFonts w:cs="Arial"/>
        </w:rPr>
        <w:t>, è stato sufficiente effettuare prove cliniche per determinare</w:t>
      </w:r>
      <w:r w:rsidRPr="00B40F40">
        <w:rPr>
          <w:rFonts w:cs="Arial"/>
          <w:b/>
        </w:rPr>
        <w:t xml:space="preserve"> </w:t>
      </w:r>
      <w:r w:rsidRPr="00B40F40">
        <w:rPr>
          <w:rFonts w:cs="Arial"/>
        </w:rPr>
        <w:t xml:space="preserve">la bioequivalenza rispetto </w:t>
      </w:r>
      <w:r w:rsidR="00013020" w:rsidRPr="00B40F40">
        <w:rPr>
          <w:rFonts w:cs="Arial"/>
        </w:rPr>
        <w:t>al</w:t>
      </w:r>
      <w:r w:rsidRPr="00B40F40">
        <w:rPr>
          <w:rFonts w:cs="Arial"/>
        </w:rPr>
        <w:t xml:space="preserve"> medicinal</w:t>
      </w:r>
      <w:r w:rsidR="00013020" w:rsidRPr="00B40F40">
        <w:rPr>
          <w:rFonts w:cs="Arial"/>
        </w:rPr>
        <w:t>e</w:t>
      </w:r>
      <w:r w:rsidR="00BF51B2">
        <w:rPr>
          <w:rFonts w:cs="Arial"/>
        </w:rPr>
        <w:t xml:space="preserve"> </w:t>
      </w:r>
      <w:proofErr w:type="spellStart"/>
      <w:r w:rsidR="00BF51B2">
        <w:rPr>
          <w:rFonts w:cs="Arial"/>
        </w:rPr>
        <w:t>Lipanthyl</w:t>
      </w:r>
      <w:proofErr w:type="spellEnd"/>
      <w:r w:rsidR="00013020" w:rsidRPr="00B40F40">
        <w:rPr>
          <w:rFonts w:cs="Arial"/>
        </w:rPr>
        <w:t xml:space="preserve"> </w:t>
      </w:r>
      <w:r w:rsidR="00BF51B2">
        <w:rPr>
          <w:rFonts w:cs="Arial"/>
        </w:rPr>
        <w:t xml:space="preserve">(medicinale autorizzato in Francia, corrispondente in Italia al medicinale </w:t>
      </w:r>
      <w:r w:rsidRPr="00B40F40">
        <w:rPr>
          <w:rFonts w:cs="Arial"/>
        </w:rPr>
        <w:t xml:space="preserve">di riferimento </w:t>
      </w:r>
      <w:proofErr w:type="spellStart"/>
      <w:r w:rsidR="00B40F40">
        <w:rPr>
          <w:rFonts w:cs="Arial"/>
        </w:rPr>
        <w:t>Fulcrosupra</w:t>
      </w:r>
      <w:proofErr w:type="spellEnd"/>
      <w:r w:rsidR="00BF51B2">
        <w:rPr>
          <w:rFonts w:cs="Arial"/>
        </w:rPr>
        <w:t>)</w:t>
      </w:r>
      <w:r w:rsidR="00013020" w:rsidRPr="00B40F40">
        <w:rPr>
          <w:rFonts w:cs="Arial"/>
        </w:rPr>
        <w:t>. Due medicinali sono</w:t>
      </w:r>
      <w:r w:rsidR="00013020" w:rsidRPr="00B40F40">
        <w:rPr>
          <w:rFonts w:ascii="Calibri" w:hAnsi="Calibri" w:cs="Arial"/>
        </w:rPr>
        <w:t xml:space="preserve"> </w:t>
      </w:r>
      <w:proofErr w:type="spellStart"/>
      <w:r w:rsidR="00013020" w:rsidRPr="00B40F40">
        <w:rPr>
          <w:rFonts w:ascii="Calibri" w:hAnsi="Calibri" w:cs="Arial"/>
        </w:rPr>
        <w:t>bioequivalenti</w:t>
      </w:r>
      <w:proofErr w:type="spellEnd"/>
      <w:r w:rsidR="00013020" w:rsidRPr="00B40F40">
        <w:rPr>
          <w:rFonts w:ascii="Calibri" w:hAnsi="Calibri" w:cs="Arial"/>
        </w:rPr>
        <w:t xml:space="preserve"> quando producono gli stessi livelli di principio attivo nell’organismo</w:t>
      </w:r>
      <w:r w:rsidRPr="00B40F40">
        <w:rPr>
          <w:rFonts w:ascii="Calibri" w:hAnsi="Calibri" w:cs="Arial"/>
        </w:rPr>
        <w:t xml:space="preserve">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F51B2" w:rsidRPr="002A3F14" w:rsidRDefault="00BF51B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30600B">
        <w:rPr>
          <w:rFonts w:eastAsia="Calibri" w:cs="Calibri"/>
          <w:b/>
          <w:bCs/>
          <w:color w:val="000000"/>
          <w:lang w:eastAsia="it-IT"/>
        </w:rPr>
        <w:t>Fenofibrato</w:t>
      </w:r>
      <w:proofErr w:type="spellEnd"/>
      <w:r w:rsidR="0030600B">
        <w:rPr>
          <w:rFonts w:eastAsia="Calibri" w:cs="Calibri"/>
          <w:b/>
          <w:bCs/>
          <w:color w:val="000000"/>
          <w:lang w:eastAsia="it-IT"/>
        </w:rPr>
        <w:t xml:space="preserve"> EG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Pr="002A3F14" w:rsidRDefault="0030600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Fenofibrato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EG</w:t>
      </w:r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 xml:space="preserve">è un medicinale </w:t>
      </w:r>
      <w:r w:rsidR="00013020">
        <w:rPr>
          <w:rFonts w:eastAsia="Calibri" w:cs="Calibri"/>
          <w:lang w:eastAsia="it-IT"/>
        </w:rPr>
        <w:t xml:space="preserve">generico ed è </w:t>
      </w:r>
      <w:proofErr w:type="spellStart"/>
      <w:r w:rsidR="00013020">
        <w:rPr>
          <w:rFonts w:eastAsia="Calibri" w:cs="Calibri"/>
          <w:lang w:eastAsia="it-IT"/>
        </w:rPr>
        <w:t>bioequivale</w:t>
      </w:r>
      <w:r w:rsidR="009B03DB">
        <w:rPr>
          <w:rFonts w:eastAsia="Calibri" w:cs="Calibri"/>
          <w:lang w:eastAsia="it-IT"/>
        </w:rPr>
        <w:t>n</w:t>
      </w:r>
      <w:r w:rsidR="00013020">
        <w:rPr>
          <w:rFonts w:eastAsia="Calibri" w:cs="Calibri"/>
          <w:lang w:eastAsia="it-IT"/>
        </w:rPr>
        <w:t>te</w:t>
      </w:r>
      <w:proofErr w:type="spellEnd"/>
      <w:r w:rsidR="00013020">
        <w:rPr>
          <w:rFonts w:eastAsia="Calibri" w:cs="Calibri"/>
          <w:lang w:eastAsia="it-IT"/>
        </w:rPr>
        <w:t xml:space="preserve"> al medicinale di riferimento</w:t>
      </w:r>
      <w:r w:rsidR="00BA7D67">
        <w:rPr>
          <w:rFonts w:eastAsia="Calibri" w:cs="Calibri"/>
          <w:lang w:eastAsia="it-IT"/>
        </w:rPr>
        <w:t>; pertanto,</w:t>
      </w:r>
      <w:r w:rsidR="00BA7D67" w:rsidRPr="002A3F14">
        <w:rPr>
          <w:rFonts w:eastAsia="Calibri" w:cs="Calibri"/>
          <w:lang w:eastAsia="it-IT"/>
        </w:rPr>
        <w:t xml:space="preserve"> </w:t>
      </w:r>
      <w:r w:rsidR="00013020">
        <w:rPr>
          <w:rFonts w:eastAsia="Calibri" w:cs="Calibri"/>
          <w:lang w:eastAsia="it-IT"/>
        </w:rPr>
        <w:t>i suoi</w:t>
      </w:r>
      <w:r w:rsidR="004241AC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13020">
        <w:rPr>
          <w:rFonts w:eastAsia="Calibri" w:cs="Calibri"/>
          <w:lang w:eastAsia="it-IT"/>
        </w:rPr>
        <w:t>l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</w:t>
      </w:r>
      <w:r w:rsidR="00013020">
        <w:rPr>
          <w:rFonts w:eastAsia="Calibri" w:cs="Calibri"/>
          <w:lang w:eastAsia="it-IT"/>
        </w:rPr>
        <w:t>e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30600B">
        <w:rPr>
          <w:rFonts w:eastAsia="Calibri" w:cs="Calibri"/>
          <w:b/>
          <w:bCs/>
          <w:color w:val="000000"/>
          <w:lang w:eastAsia="it-IT"/>
        </w:rPr>
        <w:t>Fenofibrato</w:t>
      </w:r>
      <w:proofErr w:type="spellEnd"/>
      <w:r w:rsidR="0030600B">
        <w:rPr>
          <w:rFonts w:eastAsia="Calibri" w:cs="Calibri"/>
          <w:b/>
          <w:bCs/>
          <w:color w:val="000000"/>
          <w:lang w:eastAsia="it-IT"/>
        </w:rPr>
        <w:t xml:space="preserve"> EG</w:t>
      </w:r>
      <w:r w:rsidR="00B9671B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>La Commissione Tecnico Scientifica (CTS)</w:t>
      </w:r>
      <w:r>
        <w:rPr>
          <w:rFonts w:eastAsia="Calibri" w:cs="Calibri"/>
          <w:lang w:eastAsia="it-IT"/>
        </w:rPr>
        <w:t>,</w:t>
      </w:r>
      <w:r w:rsidRPr="002A3F14">
        <w:rPr>
          <w:rFonts w:eastAsia="Calibri" w:cs="Calibri"/>
          <w:lang w:eastAsia="it-IT"/>
        </w:rPr>
        <w:t xml:space="preserve"> nella </w:t>
      </w:r>
      <w:r w:rsidRPr="00CA3A1E">
        <w:rPr>
          <w:rFonts w:eastAsia="Calibri" w:cs="Calibri"/>
          <w:lang w:eastAsia="it-IT"/>
        </w:rPr>
        <w:t xml:space="preserve">seduta </w:t>
      </w:r>
      <w:r w:rsidRPr="00894640">
        <w:rPr>
          <w:rFonts w:eastAsia="Calibri" w:cs="Calibri"/>
          <w:lang w:eastAsia="it-IT"/>
        </w:rPr>
        <w:t xml:space="preserve">del </w:t>
      </w:r>
      <w:r w:rsidR="00156BA7" w:rsidRPr="00894640">
        <w:rPr>
          <w:rFonts w:eastAsia="Calibri" w:cs="Calibri"/>
          <w:lang w:eastAsia="it-IT"/>
        </w:rPr>
        <w:t>13-14 luglio</w:t>
      </w:r>
      <w:r w:rsidR="002937E3" w:rsidRPr="00894640">
        <w:rPr>
          <w:rFonts w:eastAsia="Calibri" w:cs="Calibri"/>
          <w:lang w:eastAsia="it-IT"/>
        </w:rPr>
        <w:t xml:space="preserve"> 2015</w:t>
      </w:r>
      <w:r w:rsidRPr="00894640">
        <w:rPr>
          <w:rFonts w:eastAsia="Calibri" w:cs="Calibri"/>
          <w:lang w:eastAsia="it-IT"/>
        </w:rPr>
        <w:t>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D20170">
        <w:rPr>
          <w:rFonts w:eastAsia="Calibri" w:cs="Calibri"/>
          <w:lang w:eastAsia="it-IT"/>
        </w:rPr>
        <w:t>del</w:t>
      </w:r>
      <w:r>
        <w:rPr>
          <w:rFonts w:eastAsia="Calibri" w:cs="Calibri"/>
          <w:lang w:eastAsia="it-IT"/>
        </w:rPr>
        <w:t xml:space="preserve"> medicinal</w:t>
      </w:r>
      <w:r w:rsidR="00D20170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di riferimento </w:t>
      </w:r>
      <w:proofErr w:type="spellStart"/>
      <w:r w:rsidR="00B40F40">
        <w:rPr>
          <w:rFonts w:eastAsia="Calibri" w:cs="Calibri"/>
          <w:lang w:eastAsia="it-IT"/>
        </w:rPr>
        <w:t>Fulcrosupra</w:t>
      </w:r>
      <w:proofErr w:type="spellEnd"/>
      <w:r>
        <w:rPr>
          <w:rFonts w:eastAsia="Calibri" w:cs="Calibri"/>
          <w:lang w:eastAsia="it-IT"/>
        </w:rPr>
        <w:t xml:space="preserve">, i benefici di </w:t>
      </w:r>
      <w:proofErr w:type="spellStart"/>
      <w:r w:rsidR="0030600B">
        <w:rPr>
          <w:rFonts w:eastAsia="Calibri" w:cs="Calibri"/>
          <w:lang w:eastAsia="it-IT"/>
        </w:rPr>
        <w:t>Fenofibrato</w:t>
      </w:r>
      <w:proofErr w:type="spellEnd"/>
      <w:r w:rsidR="0030600B">
        <w:rPr>
          <w:rFonts w:eastAsia="Calibri" w:cs="Calibri"/>
          <w:lang w:eastAsia="it-IT"/>
        </w:rPr>
        <w:t xml:space="preserve"> EG</w:t>
      </w:r>
      <w:r w:rsidR="00B9671B">
        <w:rPr>
          <w:rFonts w:eastAsia="Calibri" w:cs="Calibri"/>
          <w:lang w:eastAsia="it-IT"/>
        </w:rPr>
        <w:t xml:space="preserve"> </w:t>
      </w:r>
      <w:r w:rsidR="001C1A8E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</w:t>
      </w:r>
      <w:r w:rsidRPr="0011250C">
        <w:rPr>
          <w:rFonts w:eastAsia="Calibri" w:cs="Calibri"/>
          <w:lang w:eastAsia="it-IT"/>
        </w:rPr>
        <w:t>d</w:t>
      </w:r>
      <w:r w:rsidR="00BB4CC4">
        <w:rPr>
          <w:rFonts w:eastAsia="Calibri" w:cs="Calibri"/>
          <w:lang w:eastAsia="it-IT"/>
        </w:rPr>
        <w:t xml:space="preserve">i prescrizione di cui al punto </w:t>
      </w:r>
      <w:r w:rsidRPr="0011250C">
        <w:rPr>
          <w:rFonts w:eastAsia="Calibri" w:cs="Calibri"/>
          <w:lang w:eastAsia="it-IT"/>
        </w:rPr>
        <w:t xml:space="preserve">2) di questo Riassunto e la classe di rimborsabilità del </w:t>
      </w:r>
      <w:r w:rsidRPr="005E18C6">
        <w:rPr>
          <w:rFonts w:eastAsia="Calibri" w:cs="Calibri"/>
          <w:lang w:eastAsia="it-IT"/>
        </w:rPr>
        <w:t>medicinale</w:t>
      </w:r>
      <w:r w:rsidR="00D20170" w:rsidRPr="005E18C6">
        <w:rPr>
          <w:rFonts w:eastAsia="Calibri" w:cs="Calibri"/>
          <w:lang w:eastAsia="it-IT"/>
        </w:rPr>
        <w:t xml:space="preserve"> </w:t>
      </w:r>
      <w:r w:rsidRPr="002937E3">
        <w:rPr>
          <w:rFonts w:eastAsia="Calibri" w:cs="Calibri"/>
          <w:highlight w:val="yellow"/>
          <w:lang w:eastAsia="it-IT"/>
        </w:rPr>
        <w:t>(</w:t>
      </w:r>
      <w:r w:rsidR="0011250C" w:rsidRPr="00A31BE5">
        <w:rPr>
          <w:rFonts w:eastAsia="Calibri" w:cs="Calibri"/>
          <w:lang w:eastAsia="it-IT"/>
        </w:rPr>
        <w:t xml:space="preserve">A con nota </w:t>
      </w:r>
      <w:r w:rsidR="00E038D0" w:rsidRPr="00A31BE5">
        <w:rPr>
          <w:rFonts w:eastAsia="Calibri" w:cs="Calibri"/>
          <w:lang w:eastAsia="it-IT"/>
        </w:rPr>
        <w:t>13</w:t>
      </w:r>
      <w:r w:rsidR="00BB7117" w:rsidRPr="00A31BE5">
        <w:rPr>
          <w:rFonts w:eastAsia="Calibri" w:cs="Calibri"/>
          <w:lang w:eastAsia="it-IT"/>
        </w:rPr>
        <w:t>: la nota stabilisce per quali pazienti il medicinale è rimborsato dal Servizio Sanitario Nazionale</w:t>
      </w:r>
      <w:r w:rsidRPr="00A31BE5">
        <w:rPr>
          <w:rFonts w:eastAsia="Calibri" w:cs="Calibri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30600B">
        <w:rPr>
          <w:rFonts w:eastAsia="Calibri" w:cs="Calibri"/>
          <w:b/>
          <w:bCs/>
          <w:color w:val="000000"/>
          <w:lang w:eastAsia="it-IT"/>
        </w:rPr>
        <w:t>Fenofibrato</w:t>
      </w:r>
      <w:proofErr w:type="spellEnd"/>
      <w:r w:rsidR="0030600B">
        <w:rPr>
          <w:rFonts w:eastAsia="Calibri" w:cs="Calibri"/>
          <w:b/>
          <w:bCs/>
          <w:color w:val="000000"/>
          <w:lang w:eastAsia="it-IT"/>
        </w:rPr>
        <w:t xml:space="preserve"> EG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B9034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30600B">
        <w:rPr>
          <w:rFonts w:eastAsia="Calibri" w:cs="Calibri"/>
          <w:lang w:eastAsia="it-IT"/>
        </w:rPr>
        <w:t>Fenofibrato</w:t>
      </w:r>
      <w:proofErr w:type="spellEnd"/>
      <w:r w:rsidR="0030600B">
        <w:rPr>
          <w:rFonts w:eastAsia="Calibri" w:cs="Calibri"/>
          <w:lang w:eastAsia="it-IT"/>
        </w:rPr>
        <w:t xml:space="preserve"> EG</w:t>
      </w:r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30600B">
        <w:rPr>
          <w:rFonts w:eastAsia="Calibri" w:cs="Calibri"/>
          <w:b/>
          <w:bCs/>
          <w:color w:val="000000"/>
          <w:lang w:eastAsia="it-IT"/>
        </w:rPr>
        <w:t>Fenofibrato</w:t>
      </w:r>
      <w:proofErr w:type="spellEnd"/>
      <w:r w:rsidR="0030600B">
        <w:rPr>
          <w:rFonts w:eastAsia="Calibri" w:cs="Calibri"/>
          <w:b/>
          <w:bCs/>
          <w:color w:val="000000"/>
          <w:lang w:eastAsia="it-IT"/>
        </w:rPr>
        <w:t xml:space="preserve"> EG</w:t>
      </w:r>
    </w:p>
    <w:p w:rsidR="004241AC" w:rsidRPr="00CA3A1E" w:rsidRDefault="00A31BE5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Il 9 novembre</w:t>
      </w:r>
      <w:r w:rsidR="004241AC">
        <w:rPr>
          <w:rFonts w:eastAsia="Calibri" w:cs="Calibri"/>
          <w:bCs/>
          <w:iCs/>
          <w:lang w:eastAsia="it-IT"/>
        </w:rPr>
        <w:t xml:space="preserve"> </w:t>
      </w:r>
      <w:r w:rsidR="004241AC" w:rsidRPr="00CA3A1E">
        <w:rPr>
          <w:rFonts w:eastAsia="Calibri" w:cs="Calibri"/>
          <w:bCs/>
          <w:iCs/>
          <w:lang w:eastAsia="it-IT"/>
        </w:rPr>
        <w:t xml:space="preserve">2015 l’AIFA ha rilasciato l’autorizzazione all’immissione in commercio di </w:t>
      </w:r>
      <w:proofErr w:type="spellStart"/>
      <w:r w:rsidR="0030600B">
        <w:rPr>
          <w:rFonts w:eastAsia="Calibri" w:cs="Calibri"/>
          <w:bCs/>
          <w:color w:val="000000"/>
          <w:lang w:eastAsia="it-IT"/>
        </w:rPr>
        <w:t>Fenofibrato</w:t>
      </w:r>
      <w:proofErr w:type="spellEnd"/>
      <w:r w:rsidR="0030600B">
        <w:rPr>
          <w:rFonts w:eastAsia="Calibri" w:cs="Calibri"/>
          <w:bCs/>
          <w:color w:val="000000"/>
          <w:lang w:eastAsia="it-IT"/>
        </w:rPr>
        <w:t xml:space="preserve"> EG</w:t>
      </w:r>
      <w:r w:rsidR="004241AC" w:rsidRPr="00CA3A1E">
        <w:rPr>
          <w:rFonts w:eastAsia="Calibri" w:cs="Calibri"/>
          <w:bCs/>
          <w:lang w:eastAsia="it-IT"/>
        </w:rPr>
        <w:t xml:space="preserve">. </w:t>
      </w:r>
    </w:p>
    <w:p w:rsidR="00AB54C2" w:rsidRDefault="00AB54C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B54C2" w:rsidRDefault="00AB54C2" w:rsidP="00AB54C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30600B">
        <w:rPr>
          <w:rFonts w:eastAsia="Calibri" w:cs="Calibri"/>
          <w:bCs/>
          <w:color w:val="000000"/>
          <w:lang w:eastAsia="it-IT"/>
        </w:rPr>
        <w:t>Fenofibrato</w:t>
      </w:r>
      <w:proofErr w:type="spellEnd"/>
      <w:r w:rsidR="0030600B">
        <w:rPr>
          <w:rFonts w:eastAsia="Calibri" w:cs="Calibri"/>
          <w:bCs/>
          <w:color w:val="000000"/>
          <w:lang w:eastAsia="it-IT"/>
        </w:rPr>
        <w:t xml:space="preserve"> EG</w:t>
      </w:r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2748E4">
        <w:rPr>
          <w:rFonts w:eastAsia="Calibri" w:cs="Calibri"/>
          <w:lang w:eastAsia="it-IT"/>
        </w:rPr>
        <w:t>(</w:t>
      </w:r>
      <w:hyperlink r:id="rId8" w:history="1">
        <w:r w:rsidR="002748E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2748E4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3B27A1">
        <w:rPr>
          <w:rFonts w:eastAsia="Calibri" w:cs="Calibri"/>
          <w:lang w:eastAsia="it-IT"/>
        </w:rPr>
        <w:t>01.09.2015</w:t>
      </w:r>
      <w:r w:rsidRPr="002A3F14">
        <w:rPr>
          <w:rFonts w:eastAsia="Calibri" w:cs="Calibri"/>
          <w:lang w:eastAsia="it-IT"/>
        </w:rPr>
        <w:t xml:space="preserve">. </w:t>
      </w: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937E3" w:rsidRPr="002A3F14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</w:pPr>
    </w:p>
    <w:p w:rsidR="00A31BE5" w:rsidRDefault="00A31BE5" w:rsidP="00AB54C2">
      <w:pPr>
        <w:spacing w:after="0" w:line="240" w:lineRule="auto"/>
        <w:jc w:val="center"/>
        <w:rPr>
          <w:b/>
          <w:sz w:val="28"/>
        </w:rPr>
      </w:pPr>
    </w:p>
    <w:p w:rsidR="00AB54C2" w:rsidRDefault="00AB54C2" w:rsidP="00AB54C2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Pr="0033523E" w:rsidRDefault="00AB54C2" w:rsidP="00AB54C2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Pr="008206E7" w:rsidRDefault="00AB54C2" w:rsidP="00AB54C2">
      <w:pPr>
        <w:pStyle w:val="Paragrafoelenco"/>
        <w:numPr>
          <w:ilvl w:val="0"/>
          <w:numId w:val="6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AB54C2" w:rsidRPr="002A3F14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AB54C2" w:rsidRPr="0033523E" w:rsidRDefault="00AB54C2" w:rsidP="00AB54C2">
      <w:pPr>
        <w:pStyle w:val="Paragrafoelenco"/>
        <w:rPr>
          <w:b/>
        </w:rPr>
      </w:pPr>
    </w:p>
    <w:p w:rsidR="00AB54C2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AB54C2" w:rsidRPr="0033523E" w:rsidRDefault="00AB54C2" w:rsidP="00AB54C2">
      <w:pPr>
        <w:pStyle w:val="Paragrafoelenco"/>
        <w:rPr>
          <w:b/>
        </w:rPr>
      </w:pPr>
    </w:p>
    <w:p w:rsidR="00AB54C2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AB54C2" w:rsidRPr="0033523E" w:rsidRDefault="00AB54C2" w:rsidP="00AB54C2">
      <w:pPr>
        <w:pStyle w:val="Paragrafoelenco"/>
        <w:rPr>
          <w:b/>
        </w:rPr>
      </w:pPr>
    </w:p>
    <w:p w:rsidR="00AB54C2" w:rsidRPr="002E4DCB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AB54C2" w:rsidRDefault="00AB54C2" w:rsidP="00AB54C2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AB54C2" w:rsidRPr="00BC23ED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BF51B2" w:rsidRDefault="00BF51B2" w:rsidP="00AB54C2"/>
    <w:p w:rsidR="00AB54C2" w:rsidRDefault="00AB54C2" w:rsidP="00AB54C2"/>
    <w:p w:rsidR="00AB54C2" w:rsidRPr="008206E7" w:rsidRDefault="00AB54C2" w:rsidP="00AB54C2">
      <w:pPr>
        <w:pStyle w:val="Paragrafoelenco"/>
        <w:numPr>
          <w:ilvl w:val="0"/>
          <w:numId w:val="7"/>
        </w:numPr>
        <w:spacing w:after="0" w:line="240" w:lineRule="auto"/>
        <w:rPr>
          <w:b/>
        </w:rPr>
      </w:pPr>
      <w:r w:rsidRPr="008206E7">
        <w:rPr>
          <w:b/>
        </w:rPr>
        <w:lastRenderedPageBreak/>
        <w:t>INTRODUZIONE</w:t>
      </w:r>
    </w:p>
    <w:p w:rsidR="00AB54C2" w:rsidRPr="00CF5597" w:rsidRDefault="00AB54C2" w:rsidP="00CF5597">
      <w:pPr>
        <w:autoSpaceDE w:val="0"/>
        <w:autoSpaceDN w:val="0"/>
        <w:adjustRightInd w:val="0"/>
        <w:spacing w:after="0" w:line="240" w:lineRule="auto"/>
        <w:jc w:val="both"/>
      </w:pPr>
      <w:r w:rsidRPr="00CF5597">
        <w:t xml:space="preserve">Sulla base dei dati di qualità, sicurezza ed efficacia, l’AIFA ha rilasciato a </w:t>
      </w:r>
      <w:r w:rsidR="003B6178">
        <w:t>EG</w:t>
      </w:r>
      <w:r w:rsidRPr="00CF5597">
        <w:t xml:space="preserve"> l’autorizzazione all’immissione in </w:t>
      </w:r>
      <w:r w:rsidRPr="00A31BE5">
        <w:t xml:space="preserve">commercio (AIC) per il medicinale </w:t>
      </w:r>
      <w:proofErr w:type="spellStart"/>
      <w:r w:rsidR="0030600B" w:rsidRPr="00A31BE5">
        <w:t>Fenofibrato</w:t>
      </w:r>
      <w:proofErr w:type="spellEnd"/>
      <w:r w:rsidR="0030600B" w:rsidRPr="00A31BE5">
        <w:t xml:space="preserve"> EG</w:t>
      </w:r>
      <w:r w:rsidR="00B9671B" w:rsidRPr="00A31BE5">
        <w:t xml:space="preserve"> </w:t>
      </w:r>
      <w:r w:rsidRPr="00A31BE5">
        <w:rPr>
          <w:rFonts w:eastAsia="Calibri" w:cs="Calibri"/>
          <w:bCs/>
          <w:iCs/>
          <w:lang w:eastAsia="it-IT"/>
        </w:rPr>
        <w:t xml:space="preserve">il </w:t>
      </w:r>
      <w:r w:rsidR="00A31BE5" w:rsidRPr="00A31BE5">
        <w:rPr>
          <w:rFonts w:eastAsia="Calibri" w:cs="Calibri"/>
          <w:bCs/>
          <w:iCs/>
          <w:lang w:eastAsia="it-IT"/>
        </w:rPr>
        <w:t>9 novembre</w:t>
      </w:r>
      <w:r w:rsidRPr="00A31BE5">
        <w:rPr>
          <w:rFonts w:eastAsia="Calibri" w:cs="Calibri"/>
          <w:bCs/>
          <w:iCs/>
          <w:lang w:eastAsia="it-IT"/>
        </w:rPr>
        <w:t xml:space="preserve"> 2015</w:t>
      </w:r>
      <w:r w:rsidRPr="00A31BE5">
        <w:t>.</w:t>
      </w:r>
      <w:r w:rsidRPr="00CF5597">
        <w:t xml:space="preserve">  </w:t>
      </w:r>
    </w:p>
    <w:p w:rsidR="00AB54C2" w:rsidRPr="00CF5597" w:rsidRDefault="00AB54C2" w:rsidP="00CF5597">
      <w:pPr>
        <w:spacing w:after="0" w:line="240" w:lineRule="auto"/>
        <w:jc w:val="both"/>
      </w:pPr>
    </w:p>
    <w:p w:rsidR="00AB54C2" w:rsidRPr="00CF5597" w:rsidRDefault="0030600B" w:rsidP="00CF55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CF5597">
        <w:rPr>
          <w:rFonts w:eastAsia="Calibri" w:cs="Calibri"/>
          <w:color w:val="000000"/>
          <w:lang w:eastAsia="it-IT"/>
        </w:rPr>
        <w:t>Fenofibrato</w:t>
      </w:r>
      <w:proofErr w:type="spellEnd"/>
      <w:r w:rsidRPr="00CF5597">
        <w:rPr>
          <w:rFonts w:eastAsia="Calibri" w:cs="Calibri"/>
          <w:color w:val="000000"/>
          <w:lang w:eastAsia="it-IT"/>
        </w:rPr>
        <w:t xml:space="preserve"> EG</w:t>
      </w:r>
      <w:r w:rsidR="00B9671B" w:rsidRPr="00CF5597">
        <w:rPr>
          <w:rFonts w:eastAsia="Calibri" w:cs="Calibri"/>
          <w:color w:val="000000"/>
          <w:lang w:eastAsia="it-IT"/>
        </w:rPr>
        <w:t xml:space="preserve"> </w:t>
      </w:r>
      <w:r w:rsidR="00AB54C2" w:rsidRPr="00CF5597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AB54C2" w:rsidRPr="00CF5597" w:rsidRDefault="00AB54C2" w:rsidP="00CF5597">
      <w:pPr>
        <w:spacing w:after="0" w:line="240" w:lineRule="auto"/>
        <w:jc w:val="both"/>
      </w:pPr>
    </w:p>
    <w:p w:rsidR="00AB54C2" w:rsidRPr="00CF5597" w:rsidRDefault="00AB54C2" w:rsidP="00CF5597">
      <w:pPr>
        <w:spacing w:after="0" w:line="240" w:lineRule="auto"/>
        <w:jc w:val="both"/>
      </w:pPr>
      <w:r w:rsidRPr="00CF5597">
        <w:t xml:space="preserve">Questa procedura è stata presentata ai sensi dell’art. 10(1) della Direttiva 2001/83/EU </w:t>
      </w:r>
      <w:proofErr w:type="spellStart"/>
      <w:r w:rsidRPr="00CF5597">
        <w:t>s.m.i.</w:t>
      </w:r>
      <w:proofErr w:type="spellEnd"/>
    </w:p>
    <w:p w:rsidR="00AB54C2" w:rsidRPr="00CF5597" w:rsidRDefault="00AB54C2" w:rsidP="00CF5597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AB54C2" w:rsidRPr="00CF5597" w:rsidRDefault="0030600B" w:rsidP="00CF5597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CF5597">
        <w:rPr>
          <w:rFonts w:eastAsia="Calibri" w:cs="Calibri"/>
          <w:bCs/>
          <w:color w:val="000000"/>
          <w:lang w:eastAsia="it-IT"/>
        </w:rPr>
        <w:t>Fenofibrato</w:t>
      </w:r>
      <w:proofErr w:type="spellEnd"/>
      <w:r w:rsidRPr="00CF5597">
        <w:rPr>
          <w:rFonts w:eastAsia="Calibri" w:cs="Calibri"/>
          <w:bCs/>
          <w:color w:val="000000"/>
          <w:lang w:eastAsia="it-IT"/>
        </w:rPr>
        <w:t xml:space="preserve"> EG</w:t>
      </w:r>
      <w:r w:rsidR="00B9671B" w:rsidRPr="00CF5597">
        <w:rPr>
          <w:rFonts w:eastAsia="Calibri" w:cs="Calibri"/>
          <w:bCs/>
          <w:color w:val="000000"/>
          <w:lang w:eastAsia="it-IT"/>
        </w:rPr>
        <w:t xml:space="preserve"> </w:t>
      </w:r>
      <w:r w:rsidR="00AB54C2" w:rsidRPr="00CF5597">
        <w:rPr>
          <w:rFonts w:eastAsia="Calibri" w:cs="Calibri"/>
          <w:color w:val="000000"/>
          <w:lang w:eastAsia="it-IT"/>
        </w:rPr>
        <w:t xml:space="preserve">è un medicinale </w:t>
      </w:r>
      <w:r w:rsidR="00B27F42" w:rsidRPr="00CF5597">
        <w:rPr>
          <w:rFonts w:eastAsia="Calibri" w:cs="Calibri"/>
          <w:color w:val="000000"/>
          <w:lang w:eastAsia="it-IT"/>
        </w:rPr>
        <w:t xml:space="preserve">generico </w:t>
      </w:r>
      <w:r w:rsidR="00AB54C2" w:rsidRPr="00CF5597">
        <w:rPr>
          <w:rFonts w:eastAsia="Calibri" w:cs="Calibri"/>
          <w:color w:val="000000"/>
          <w:lang w:eastAsia="it-IT"/>
        </w:rPr>
        <w:t xml:space="preserve">contenente il principio attivo </w:t>
      </w:r>
      <w:proofErr w:type="spellStart"/>
      <w:r w:rsidRPr="00CF5597">
        <w:rPr>
          <w:rFonts w:eastAsia="Calibri" w:cs="Calibri"/>
          <w:color w:val="000000"/>
          <w:lang w:eastAsia="it-IT"/>
        </w:rPr>
        <w:t>fenofibrato</w:t>
      </w:r>
      <w:proofErr w:type="spellEnd"/>
      <w:r w:rsidR="00AB54C2" w:rsidRPr="00CF5597">
        <w:rPr>
          <w:rFonts w:eastAsia="Calibri" w:cs="Calibri"/>
          <w:color w:val="000000"/>
          <w:lang w:eastAsia="it-IT"/>
        </w:rPr>
        <w:t xml:space="preserve"> presente nel medicinale di riferimento </w:t>
      </w:r>
      <w:proofErr w:type="spellStart"/>
      <w:r w:rsidR="00B40F40" w:rsidRPr="00CF5597">
        <w:rPr>
          <w:rFonts w:eastAsia="Calibri" w:cs="Calibri"/>
          <w:color w:val="000000"/>
          <w:lang w:eastAsia="it-IT"/>
        </w:rPr>
        <w:t>Fulcrosupra</w:t>
      </w:r>
      <w:proofErr w:type="spellEnd"/>
      <w:r w:rsidR="00AB54C2" w:rsidRPr="00CF5597">
        <w:rPr>
          <w:rFonts w:eastAsia="Calibri" w:cs="Calibri"/>
          <w:color w:val="000000"/>
          <w:lang w:eastAsia="it-IT"/>
        </w:rPr>
        <w:t>, autorizzato in Italia da più di 10 anni.</w:t>
      </w:r>
    </w:p>
    <w:p w:rsidR="00AB54C2" w:rsidRPr="00CF5597" w:rsidRDefault="00AB54C2" w:rsidP="00CF5597">
      <w:pPr>
        <w:spacing w:after="0" w:line="240" w:lineRule="auto"/>
        <w:jc w:val="both"/>
        <w:rPr>
          <w:highlight w:val="yellow"/>
        </w:rPr>
      </w:pPr>
    </w:p>
    <w:p w:rsidR="00CF5597" w:rsidRPr="00CF5597" w:rsidRDefault="0030600B" w:rsidP="00CF5597">
      <w:pPr>
        <w:suppressAutoHyphens/>
        <w:spacing w:after="0" w:line="240" w:lineRule="auto"/>
        <w:jc w:val="both"/>
      </w:pPr>
      <w:proofErr w:type="spellStart"/>
      <w:r w:rsidRPr="00CF5597">
        <w:rPr>
          <w:rFonts w:eastAsia="Calibri" w:cs="Calibri"/>
          <w:bCs/>
          <w:color w:val="000000"/>
          <w:lang w:eastAsia="it-IT"/>
        </w:rPr>
        <w:t>Fenofibrato</w:t>
      </w:r>
      <w:proofErr w:type="spellEnd"/>
      <w:r w:rsidRPr="00CF5597">
        <w:rPr>
          <w:rFonts w:eastAsia="Calibri" w:cs="Calibri"/>
          <w:bCs/>
          <w:color w:val="000000"/>
          <w:lang w:eastAsia="it-IT"/>
        </w:rPr>
        <w:t xml:space="preserve"> EG</w:t>
      </w:r>
      <w:r w:rsidR="00AB54C2" w:rsidRPr="00CF5597">
        <w:rPr>
          <w:rFonts w:eastAsia="Calibri" w:cs="Calibri"/>
          <w:bCs/>
          <w:color w:val="000000"/>
          <w:lang w:eastAsia="it-IT"/>
        </w:rPr>
        <w:t xml:space="preserve">, </w:t>
      </w:r>
      <w:r w:rsidR="00AB54C2" w:rsidRPr="00CF5597">
        <w:rPr>
          <w:color w:val="000000"/>
        </w:rPr>
        <w:t>il cui c</w:t>
      </w:r>
      <w:r w:rsidR="00AB54C2" w:rsidRPr="00CF5597">
        <w:rPr>
          <w:iCs/>
        </w:rPr>
        <w:t xml:space="preserve">odice ATC è </w:t>
      </w:r>
      <w:r w:rsidR="00CF5597" w:rsidRPr="00CF5597">
        <w:t>C10AB05</w:t>
      </w:r>
      <w:r w:rsidR="00AB54C2" w:rsidRPr="00CF5597">
        <w:rPr>
          <w:rFonts w:eastAsia="DejaVuSans" w:cs="DejaVuSans"/>
        </w:rPr>
        <w:t>,</w:t>
      </w:r>
      <w:r w:rsidR="00AB54C2" w:rsidRPr="00CF5597">
        <w:rPr>
          <w:rFonts w:eastAsia="Calibri" w:cs="Calibri"/>
          <w:bCs/>
          <w:color w:val="000000"/>
          <w:lang w:eastAsia="it-IT"/>
        </w:rPr>
        <w:t xml:space="preserve"> </w:t>
      </w:r>
      <w:r w:rsidR="00AB54C2" w:rsidRPr="00CF5597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Pr="00CF5597">
        <w:rPr>
          <w:rFonts w:eastAsia="Calibri" w:cs="Calibri"/>
          <w:color w:val="000000"/>
          <w:lang w:eastAsia="it-IT"/>
        </w:rPr>
        <w:t>fenofibrato</w:t>
      </w:r>
      <w:proofErr w:type="spellEnd"/>
      <w:r w:rsidR="00AB54C2" w:rsidRPr="00CF5597">
        <w:rPr>
          <w:rFonts w:eastAsia="Calibri" w:cs="Calibri"/>
          <w:bCs/>
          <w:color w:val="000000"/>
          <w:lang w:eastAsia="it-IT"/>
        </w:rPr>
        <w:t xml:space="preserve"> </w:t>
      </w:r>
      <w:r w:rsidR="00CF5597">
        <w:rPr>
          <w:rFonts w:eastAsia="Calibri" w:cs="Calibri"/>
          <w:bCs/>
          <w:color w:val="000000"/>
          <w:lang w:eastAsia="it-IT"/>
        </w:rPr>
        <w:t xml:space="preserve">che </w:t>
      </w:r>
      <w:r w:rsidR="00CF5597" w:rsidRPr="00CF5597">
        <w:t xml:space="preserve">è un derivato dell’acido </w:t>
      </w:r>
      <w:proofErr w:type="spellStart"/>
      <w:r w:rsidR="00CF5597" w:rsidRPr="00CF5597">
        <w:t>fibrico</w:t>
      </w:r>
      <w:proofErr w:type="spellEnd"/>
      <w:r w:rsidR="00CF5597" w:rsidRPr="00CF5597">
        <w:t xml:space="preserve"> i cui effetti sulla modificazione dell’assetto lipidico sono mediati dall’attivazione dell’alfa recettore attivante la proliferazione dei </w:t>
      </w:r>
      <w:proofErr w:type="spellStart"/>
      <w:r w:rsidR="00CF5597" w:rsidRPr="00CF5597">
        <w:t>perossisomi</w:t>
      </w:r>
      <w:proofErr w:type="spellEnd"/>
      <w:r w:rsidR="00CF5597" w:rsidRPr="00CF5597">
        <w:t xml:space="preserve"> (</w:t>
      </w:r>
      <w:proofErr w:type="spellStart"/>
      <w:r w:rsidR="00CF5597" w:rsidRPr="00CF5597">
        <w:t>Peroxisome</w:t>
      </w:r>
      <w:proofErr w:type="spellEnd"/>
      <w:r w:rsidR="00CF5597" w:rsidRPr="00CF5597">
        <w:t xml:space="preserve"> </w:t>
      </w:r>
      <w:proofErr w:type="spellStart"/>
      <w:r w:rsidR="00CF5597" w:rsidRPr="00CF5597">
        <w:t>Proliferator</w:t>
      </w:r>
      <w:proofErr w:type="spellEnd"/>
      <w:r w:rsidR="00CF5597" w:rsidRPr="00CF5597">
        <w:t xml:space="preserve"> </w:t>
      </w:r>
      <w:proofErr w:type="spellStart"/>
      <w:r w:rsidR="00CF5597" w:rsidRPr="00CF5597">
        <w:t>Activated</w:t>
      </w:r>
      <w:proofErr w:type="spellEnd"/>
      <w:r w:rsidR="00CF5597" w:rsidRPr="00CF5597">
        <w:t xml:space="preserve"> </w:t>
      </w:r>
      <w:proofErr w:type="spellStart"/>
      <w:r w:rsidR="00CF5597" w:rsidRPr="00CF5597">
        <w:t>Receptor</w:t>
      </w:r>
      <w:proofErr w:type="spellEnd"/>
      <w:r w:rsidR="00CF5597" w:rsidRPr="00CF5597">
        <w:t xml:space="preserve"> </w:t>
      </w:r>
      <w:proofErr w:type="spellStart"/>
      <w:r w:rsidR="00CF5597" w:rsidRPr="00CF5597">
        <w:t>type</w:t>
      </w:r>
      <w:proofErr w:type="spellEnd"/>
      <w:r w:rsidR="00CF5597" w:rsidRPr="00CF5597">
        <w:t xml:space="preserve"> alfa (PPAR</w:t>
      </w:r>
      <w:r w:rsidR="00CF5597" w:rsidRPr="00CF5597">
        <w:sym w:font="Symbol" w:char="F061"/>
      </w:r>
      <w:r w:rsidR="00CF5597" w:rsidRPr="00CF5597">
        <w:t>).</w:t>
      </w:r>
      <w:r w:rsidR="00CF5597">
        <w:t xml:space="preserve"> </w:t>
      </w:r>
      <w:r w:rsidR="00CF5597" w:rsidRPr="00CF5597">
        <w:t>Attraverso l’attivazione del PPAR</w:t>
      </w:r>
      <w:r w:rsidR="00CF5597" w:rsidRPr="00CF5597">
        <w:sym w:font="Symbol" w:char="F061"/>
      </w:r>
      <w:r w:rsidR="00CF5597" w:rsidRPr="00CF5597">
        <w:t xml:space="preserve">, il </w:t>
      </w:r>
      <w:proofErr w:type="spellStart"/>
      <w:r w:rsidR="00CF5597" w:rsidRPr="00CF5597">
        <w:t>fenofibrato</w:t>
      </w:r>
      <w:proofErr w:type="spellEnd"/>
      <w:r w:rsidR="00CF5597" w:rsidRPr="00CF5597">
        <w:t xml:space="preserve"> aumenta la lipolisi e l’eliminazione delle particelle </w:t>
      </w:r>
      <w:proofErr w:type="spellStart"/>
      <w:r w:rsidR="00CF5597" w:rsidRPr="00CF5597">
        <w:t>aterogeniche</w:t>
      </w:r>
      <w:proofErr w:type="spellEnd"/>
      <w:r w:rsidR="00CF5597" w:rsidRPr="00CF5597">
        <w:t xml:space="preserve"> ricche in trigliceridi dal plasma, attivando la lipasi </w:t>
      </w:r>
      <w:proofErr w:type="spellStart"/>
      <w:r w:rsidR="00CF5597" w:rsidRPr="00CF5597">
        <w:t>lipoproteica</w:t>
      </w:r>
      <w:proofErr w:type="spellEnd"/>
      <w:r w:rsidR="00CF5597" w:rsidRPr="00CF5597">
        <w:t xml:space="preserve"> e riducendo la produzione di </w:t>
      </w:r>
      <w:proofErr w:type="spellStart"/>
      <w:r w:rsidR="00CF5597" w:rsidRPr="00CF5597">
        <w:t>apoproteina</w:t>
      </w:r>
      <w:proofErr w:type="spellEnd"/>
      <w:r w:rsidR="00CF5597" w:rsidRPr="00CF5597">
        <w:t xml:space="preserve"> CIII. L’attivazione del PPAR</w:t>
      </w:r>
      <w:r w:rsidR="00CF5597" w:rsidRPr="00CF5597">
        <w:sym w:font="Symbol" w:char="F061"/>
      </w:r>
      <w:r w:rsidR="00CF5597" w:rsidRPr="00CF5597">
        <w:t xml:space="preserve"> induce anche un aumento della sintesi delle </w:t>
      </w:r>
      <w:proofErr w:type="spellStart"/>
      <w:r w:rsidR="00CF5597" w:rsidRPr="00CF5597">
        <w:t>apoproteine</w:t>
      </w:r>
      <w:proofErr w:type="spellEnd"/>
      <w:r w:rsidR="00CF5597" w:rsidRPr="00CF5597">
        <w:t xml:space="preserve"> AI e AII.</w:t>
      </w:r>
    </w:p>
    <w:p w:rsidR="00CF5597" w:rsidRPr="00CF5597" w:rsidRDefault="00CF5597" w:rsidP="00CF5597">
      <w:pPr>
        <w:suppressAutoHyphens/>
        <w:spacing w:after="0" w:line="240" w:lineRule="auto"/>
        <w:jc w:val="both"/>
      </w:pPr>
      <w:r w:rsidRPr="00CF5597">
        <w:t xml:space="preserve">L’effetto sulle lipoproteine porta ad una riduzione delle frazioni a densità molto bassa e bassa (VLDL e LDL) contenenti </w:t>
      </w:r>
      <w:proofErr w:type="spellStart"/>
      <w:r w:rsidRPr="00CF5597">
        <w:t>apoproteina</w:t>
      </w:r>
      <w:proofErr w:type="spellEnd"/>
      <w:r w:rsidRPr="00CF5597">
        <w:t xml:space="preserve"> B e ad un aumento delle frazioni di lipoproteine ad alta densità (HDL) contenenti </w:t>
      </w:r>
      <w:proofErr w:type="spellStart"/>
      <w:r w:rsidRPr="00CF5597">
        <w:t>apoproteine</w:t>
      </w:r>
      <w:proofErr w:type="spellEnd"/>
      <w:r w:rsidRPr="00CF5597">
        <w:t xml:space="preserve"> AI e AII.</w:t>
      </w:r>
    </w:p>
    <w:p w:rsidR="00CF5597" w:rsidRPr="00CF5597" w:rsidRDefault="00CF5597" w:rsidP="00CF5597">
      <w:pPr>
        <w:suppressAutoHyphens/>
        <w:spacing w:after="0" w:line="240" w:lineRule="auto"/>
        <w:jc w:val="both"/>
      </w:pPr>
      <w:r w:rsidRPr="00CF5597">
        <w:t xml:space="preserve">Inoltre, attraverso la modulazione della sintesi e del catabolismo delle frazioni di VLDL, il </w:t>
      </w:r>
      <w:proofErr w:type="spellStart"/>
      <w:r w:rsidRPr="00CF5597">
        <w:t>fenofibrato</w:t>
      </w:r>
      <w:proofErr w:type="spellEnd"/>
      <w:r w:rsidRPr="00CF5597">
        <w:t xml:space="preserve"> aumenta la </w:t>
      </w:r>
      <w:proofErr w:type="spellStart"/>
      <w:r w:rsidRPr="00CF5597">
        <w:t>clearance</w:t>
      </w:r>
      <w:proofErr w:type="spellEnd"/>
      <w:r w:rsidRPr="00CF5597">
        <w:t xml:space="preserve"> delle LDL e riduce le LDL piccole e dense, i livelli delle quali sono elevati nel fenotipo per le lipoproteine </w:t>
      </w:r>
      <w:proofErr w:type="spellStart"/>
      <w:r w:rsidRPr="00CF5597">
        <w:t>aterogeniche</w:t>
      </w:r>
      <w:proofErr w:type="spellEnd"/>
      <w:r w:rsidRPr="00CF5597">
        <w:t>, un’alterazione comune nei pazienti a rischio  di malattia cardiaca coronarica.</w:t>
      </w:r>
    </w:p>
    <w:p w:rsidR="00CF5597" w:rsidRPr="00CF5597" w:rsidRDefault="00CF5597" w:rsidP="00CF5597">
      <w:pPr>
        <w:spacing w:after="0" w:line="240" w:lineRule="auto"/>
        <w:jc w:val="both"/>
        <w:rPr>
          <w:lang w:eastAsia="it-IT"/>
        </w:rPr>
      </w:pPr>
      <w:r w:rsidRPr="00CF5597">
        <w:rPr>
          <w:lang w:eastAsia="it-IT"/>
        </w:rPr>
        <w:t xml:space="preserve">A causa del suo effetto sul colesterolo LDL e sui trigliceridi, il trattamento con </w:t>
      </w:r>
      <w:proofErr w:type="spellStart"/>
      <w:r w:rsidRPr="00CF5597">
        <w:rPr>
          <w:lang w:eastAsia="it-IT"/>
        </w:rPr>
        <w:t>fenofibrato</w:t>
      </w:r>
      <w:proofErr w:type="spellEnd"/>
      <w:r w:rsidRPr="00CF5597">
        <w:rPr>
          <w:lang w:eastAsia="it-IT"/>
        </w:rPr>
        <w:t xml:space="preserve"> può essere utile nei pazienti </w:t>
      </w:r>
      <w:proofErr w:type="spellStart"/>
      <w:r w:rsidRPr="00CF5597">
        <w:rPr>
          <w:lang w:eastAsia="it-IT"/>
        </w:rPr>
        <w:t>ipercolesterolemici</w:t>
      </w:r>
      <w:proofErr w:type="spellEnd"/>
      <w:r w:rsidRPr="00CF5597">
        <w:rPr>
          <w:lang w:eastAsia="it-IT"/>
        </w:rPr>
        <w:t xml:space="preserve">, con o senza </w:t>
      </w:r>
      <w:proofErr w:type="spellStart"/>
      <w:r w:rsidRPr="00CF5597">
        <w:rPr>
          <w:lang w:eastAsia="it-IT"/>
        </w:rPr>
        <w:t>ipertrigliceridemia</w:t>
      </w:r>
      <w:proofErr w:type="spellEnd"/>
      <w:r w:rsidRPr="00CF5597">
        <w:rPr>
          <w:lang w:eastAsia="it-IT"/>
        </w:rPr>
        <w:t>, inclusa l’</w:t>
      </w:r>
      <w:proofErr w:type="spellStart"/>
      <w:r w:rsidRPr="00CF5597">
        <w:rPr>
          <w:lang w:eastAsia="it-IT"/>
        </w:rPr>
        <w:t>iperlipoproteinemia</w:t>
      </w:r>
      <w:proofErr w:type="spellEnd"/>
      <w:r w:rsidRPr="00CF5597">
        <w:rPr>
          <w:lang w:eastAsia="it-IT"/>
        </w:rPr>
        <w:t xml:space="preserve"> secondaria come nel diabete mellito di tipo 2.</w:t>
      </w:r>
    </w:p>
    <w:p w:rsidR="00CF5597" w:rsidRPr="00CF5597" w:rsidRDefault="00CF5597" w:rsidP="00CF5597">
      <w:pPr>
        <w:suppressAutoHyphens/>
        <w:spacing w:after="0" w:line="240" w:lineRule="auto"/>
        <w:jc w:val="both"/>
      </w:pPr>
    </w:p>
    <w:p w:rsidR="00BA08FD" w:rsidRPr="00CF5597" w:rsidRDefault="0030600B" w:rsidP="00CF5597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CF5597">
        <w:rPr>
          <w:rFonts w:eastAsia="Calibri" w:cs="Calibri"/>
          <w:color w:val="000000"/>
          <w:lang w:eastAsia="it-IT"/>
        </w:rPr>
        <w:t>Fenofibrato</w:t>
      </w:r>
      <w:proofErr w:type="spellEnd"/>
      <w:r w:rsidRPr="00CF5597">
        <w:rPr>
          <w:rFonts w:eastAsia="Calibri" w:cs="Calibri"/>
          <w:color w:val="000000"/>
          <w:lang w:eastAsia="it-IT"/>
        </w:rPr>
        <w:t xml:space="preserve"> EG</w:t>
      </w:r>
      <w:r w:rsidR="00B9671B" w:rsidRPr="00CF5597">
        <w:rPr>
          <w:rFonts w:eastAsia="Calibri" w:cs="Calibri"/>
          <w:color w:val="000000"/>
          <w:lang w:eastAsia="it-IT"/>
        </w:rPr>
        <w:t xml:space="preserve"> </w:t>
      </w:r>
      <w:r w:rsidR="00AB54C2" w:rsidRPr="00CF5597">
        <w:rPr>
          <w:rFonts w:cs="Helvetica"/>
        </w:rPr>
        <w:t>è utilizzato</w:t>
      </w:r>
      <w:r w:rsidR="00BA08FD" w:rsidRPr="00CF5597">
        <w:rPr>
          <w:rFonts w:eastAsia="Calibri" w:cs="Calibri"/>
          <w:color w:val="000000"/>
          <w:lang w:eastAsia="it-IT"/>
        </w:rPr>
        <w:t xml:space="preserve"> </w:t>
      </w:r>
      <w:r w:rsidR="00CF5597" w:rsidRPr="0030600B">
        <w:rPr>
          <w:rFonts w:eastAsia="Calibri" w:cs="Calibri"/>
          <w:color w:val="000000"/>
          <w:lang w:eastAsia="it-IT"/>
        </w:rPr>
        <w:t xml:space="preserve">negli adulti </w:t>
      </w:r>
      <w:r w:rsidR="00CF5597">
        <w:rPr>
          <w:rFonts w:eastAsia="Calibri" w:cs="Calibri"/>
          <w:color w:val="000000"/>
          <w:lang w:eastAsia="it-IT"/>
        </w:rPr>
        <w:t>per il t</w:t>
      </w:r>
      <w:r w:rsidR="00CF5597" w:rsidRPr="0030600B">
        <w:rPr>
          <w:iCs/>
          <w:color w:val="000000"/>
        </w:rPr>
        <w:t>rattamento dell’</w:t>
      </w:r>
      <w:proofErr w:type="spellStart"/>
      <w:r w:rsidR="00CF5597" w:rsidRPr="0030600B">
        <w:rPr>
          <w:iCs/>
          <w:color w:val="000000"/>
        </w:rPr>
        <w:t>ipertrigliceridemia</w:t>
      </w:r>
      <w:proofErr w:type="spellEnd"/>
      <w:r w:rsidR="00CF5597" w:rsidRPr="0030600B">
        <w:rPr>
          <w:iCs/>
          <w:color w:val="000000"/>
        </w:rPr>
        <w:t xml:space="preserve"> grave con o senza bassi livelli di colesterolo HDL</w:t>
      </w:r>
      <w:r w:rsidR="00CF5597">
        <w:rPr>
          <w:iCs/>
          <w:color w:val="000000"/>
        </w:rPr>
        <w:t>; dell’</w:t>
      </w:r>
      <w:proofErr w:type="spellStart"/>
      <w:r w:rsidR="00CF5597">
        <w:rPr>
          <w:iCs/>
          <w:color w:val="000000"/>
        </w:rPr>
        <w:t>i</w:t>
      </w:r>
      <w:r w:rsidR="00CF5597" w:rsidRPr="0030600B">
        <w:rPr>
          <w:iCs/>
          <w:color w:val="000000"/>
        </w:rPr>
        <w:t>perlipidemia</w:t>
      </w:r>
      <w:proofErr w:type="spellEnd"/>
      <w:r w:rsidR="00CF5597" w:rsidRPr="0030600B">
        <w:rPr>
          <w:iCs/>
          <w:color w:val="000000"/>
        </w:rPr>
        <w:t xml:space="preserve"> mista quando una statina è controindicata o non tollerata</w:t>
      </w:r>
      <w:r w:rsidR="00CF5597">
        <w:rPr>
          <w:iCs/>
          <w:color w:val="000000"/>
        </w:rPr>
        <w:t>; dell’</w:t>
      </w:r>
      <w:proofErr w:type="spellStart"/>
      <w:r w:rsidR="00CF5597">
        <w:rPr>
          <w:iCs/>
          <w:color w:val="000000"/>
        </w:rPr>
        <w:t>i</w:t>
      </w:r>
      <w:r w:rsidR="00CF5597" w:rsidRPr="0030600B">
        <w:rPr>
          <w:iCs/>
          <w:color w:val="000000"/>
        </w:rPr>
        <w:t>perlipidemia</w:t>
      </w:r>
      <w:proofErr w:type="spellEnd"/>
      <w:r w:rsidR="00CF5597" w:rsidRPr="0030600B">
        <w:rPr>
          <w:iCs/>
          <w:color w:val="000000"/>
        </w:rPr>
        <w:t xml:space="preserve"> mista nei pazienti ad alto rischio cardiovascolare, in aggiunta a una statina, quando i livelli di trigliceridi e di colesterolo HDL non sono adeguatamente controllati.</w:t>
      </w:r>
    </w:p>
    <w:p w:rsidR="00BA08FD" w:rsidRPr="00CF5597" w:rsidRDefault="00BA08FD" w:rsidP="00CF5597">
      <w:pPr>
        <w:spacing w:after="0" w:line="240" w:lineRule="auto"/>
        <w:jc w:val="both"/>
      </w:pPr>
    </w:p>
    <w:p w:rsidR="00AB54C2" w:rsidRPr="00CF5597" w:rsidRDefault="00AB54C2" w:rsidP="00CF5597">
      <w:pPr>
        <w:spacing w:after="0" w:line="240" w:lineRule="auto"/>
        <w:jc w:val="both"/>
      </w:pPr>
      <w:r w:rsidRPr="00CF5597">
        <w:t xml:space="preserve">Poiché </w:t>
      </w:r>
      <w:proofErr w:type="spellStart"/>
      <w:r w:rsidR="0030600B" w:rsidRPr="00CF5597">
        <w:t>Fenofibrato</w:t>
      </w:r>
      <w:proofErr w:type="spellEnd"/>
      <w:r w:rsidR="0030600B" w:rsidRPr="00CF5597">
        <w:t xml:space="preserve"> EG</w:t>
      </w:r>
      <w:r w:rsidR="00B9671B" w:rsidRPr="00CF5597">
        <w:t xml:space="preserve"> </w:t>
      </w:r>
      <w:r w:rsidRPr="00CF5597">
        <w:t xml:space="preserve">contiene un principio attivo noto non sono stati forniti nuovi dati non clinici e clinici: questo approccio è accettabile poiché il medicinale di riferimento </w:t>
      </w:r>
      <w:proofErr w:type="spellStart"/>
      <w:r w:rsidR="00B40F40" w:rsidRPr="00CF5597">
        <w:t>Fulcrosupra</w:t>
      </w:r>
      <w:proofErr w:type="spellEnd"/>
      <w:r w:rsidRPr="00CF5597">
        <w:t xml:space="preserve"> è autorizzato in Italia da oltre 10 anni.</w:t>
      </w:r>
    </w:p>
    <w:p w:rsidR="00AB54C2" w:rsidRPr="00CF5597" w:rsidRDefault="00AB54C2" w:rsidP="00CF5597">
      <w:pPr>
        <w:spacing w:after="0" w:line="240" w:lineRule="auto"/>
        <w:jc w:val="both"/>
      </w:pPr>
      <w:r w:rsidRPr="00CF5597">
        <w:t xml:space="preserve">La richiesta di AIC è supportata da uno studio di bioequivalenza che ha confrontato i profili farmacocinetici del medicinale test </w:t>
      </w:r>
      <w:proofErr w:type="spellStart"/>
      <w:r w:rsidR="0030600B" w:rsidRPr="00CF5597">
        <w:t>Fenofibrato</w:t>
      </w:r>
      <w:proofErr w:type="spellEnd"/>
      <w:r w:rsidR="0030600B" w:rsidRPr="00CF5597">
        <w:t xml:space="preserve"> EG</w:t>
      </w:r>
      <w:r w:rsidR="00B9671B" w:rsidRPr="00CF5597">
        <w:t xml:space="preserve"> </w:t>
      </w:r>
      <w:r w:rsidRPr="00CF5597">
        <w:t xml:space="preserve">e quelli del medicinale </w:t>
      </w:r>
      <w:proofErr w:type="spellStart"/>
      <w:r w:rsidR="00BF51B2">
        <w:rPr>
          <w:rFonts w:cs="Arial"/>
        </w:rPr>
        <w:t>Lipanthyl</w:t>
      </w:r>
      <w:proofErr w:type="spellEnd"/>
      <w:r w:rsidR="00BF51B2" w:rsidRPr="00B40F40">
        <w:rPr>
          <w:rFonts w:cs="Arial"/>
        </w:rPr>
        <w:t xml:space="preserve"> </w:t>
      </w:r>
      <w:r w:rsidR="00BF51B2">
        <w:rPr>
          <w:rFonts w:cs="Arial"/>
        </w:rPr>
        <w:t xml:space="preserve">(medicinale autorizzato in Francia, corrispondente al medicinale </w:t>
      </w:r>
      <w:r w:rsidR="00BF51B2" w:rsidRPr="00B40F40">
        <w:rPr>
          <w:rFonts w:cs="Arial"/>
        </w:rPr>
        <w:t xml:space="preserve">di riferimento </w:t>
      </w:r>
      <w:proofErr w:type="spellStart"/>
      <w:r w:rsidR="00BF51B2">
        <w:rPr>
          <w:rFonts w:cs="Arial"/>
        </w:rPr>
        <w:t>Fulcrosupra</w:t>
      </w:r>
      <w:proofErr w:type="spellEnd"/>
      <w:r w:rsidR="00BF51B2">
        <w:rPr>
          <w:rFonts w:cs="Arial"/>
        </w:rPr>
        <w:t xml:space="preserve"> autorizzato in Italia)</w:t>
      </w:r>
      <w:r w:rsidR="00BF51B2" w:rsidRPr="00B40F40">
        <w:rPr>
          <w:rFonts w:cs="Arial"/>
        </w:rPr>
        <w:t>.</w:t>
      </w:r>
    </w:p>
    <w:p w:rsidR="00AB54C2" w:rsidRPr="00CF5597" w:rsidRDefault="00AB54C2" w:rsidP="00CF5597">
      <w:pPr>
        <w:spacing w:after="0" w:line="240" w:lineRule="auto"/>
        <w:jc w:val="both"/>
      </w:pPr>
      <w:r w:rsidRPr="00CF5597">
        <w:t>Lo studio di bioequivalenza è stato condotto in conformità alle linee guida di Buona Pratica Clinica (</w:t>
      </w:r>
      <w:proofErr w:type="spellStart"/>
      <w:r w:rsidRPr="00CF5597">
        <w:rPr>
          <w:i/>
        </w:rPr>
        <w:t>Good</w:t>
      </w:r>
      <w:proofErr w:type="spellEnd"/>
      <w:r w:rsidRPr="00CF5597">
        <w:rPr>
          <w:i/>
        </w:rPr>
        <w:t xml:space="preserve"> </w:t>
      </w:r>
      <w:proofErr w:type="spellStart"/>
      <w:r w:rsidRPr="00CF5597">
        <w:rPr>
          <w:i/>
        </w:rPr>
        <w:t>Clinical</w:t>
      </w:r>
      <w:proofErr w:type="spellEnd"/>
      <w:r w:rsidRPr="00CF5597">
        <w:rPr>
          <w:i/>
        </w:rPr>
        <w:t xml:space="preserve"> </w:t>
      </w:r>
      <w:proofErr w:type="spellStart"/>
      <w:r w:rsidRPr="00CF5597">
        <w:rPr>
          <w:i/>
        </w:rPr>
        <w:t>Practice</w:t>
      </w:r>
      <w:proofErr w:type="spellEnd"/>
      <w:r w:rsidRPr="00CF5597">
        <w:t xml:space="preserve"> - GCP).</w:t>
      </w:r>
    </w:p>
    <w:p w:rsidR="00AB54C2" w:rsidRPr="00CF5597" w:rsidRDefault="00AB54C2" w:rsidP="00CF5597">
      <w:pPr>
        <w:spacing w:after="0" w:line="240" w:lineRule="auto"/>
        <w:jc w:val="both"/>
      </w:pPr>
    </w:p>
    <w:p w:rsidR="00826C22" w:rsidRPr="00CF5597" w:rsidRDefault="00AB54C2" w:rsidP="00CF5597">
      <w:pPr>
        <w:spacing w:after="0" w:line="240" w:lineRule="auto"/>
        <w:jc w:val="both"/>
      </w:pPr>
      <w:r w:rsidRPr="00CF5597">
        <w:t>Le officine coinvolte nella produzione sono conformi alle linee guida di Buona Pratica di Fabbricazione (</w:t>
      </w:r>
      <w:proofErr w:type="spellStart"/>
      <w:r w:rsidRPr="00CF5597">
        <w:rPr>
          <w:i/>
        </w:rPr>
        <w:t>Good</w:t>
      </w:r>
      <w:proofErr w:type="spellEnd"/>
      <w:r w:rsidRPr="00CF5597">
        <w:rPr>
          <w:i/>
        </w:rPr>
        <w:t xml:space="preserve"> Manufacturing </w:t>
      </w:r>
      <w:proofErr w:type="spellStart"/>
      <w:r w:rsidRPr="00CF5597">
        <w:rPr>
          <w:i/>
        </w:rPr>
        <w:t>Practice</w:t>
      </w:r>
      <w:proofErr w:type="spellEnd"/>
      <w:r w:rsidRPr="00CF5597">
        <w:t xml:space="preserve"> - GMP). </w:t>
      </w:r>
      <w:r w:rsidR="00826C22" w:rsidRPr="00CF5597">
        <w:t xml:space="preserve">Le autorità </w:t>
      </w:r>
      <w:r w:rsidR="009635D4" w:rsidRPr="00CF5597">
        <w:t>regolatorie</w:t>
      </w:r>
      <w:r w:rsidR="00826C22" w:rsidRPr="00CF5597">
        <w:t xml:space="preserve"> europee competenti hanno rilasciato i certificati GMP per i siti di produzione.</w:t>
      </w:r>
    </w:p>
    <w:p w:rsidR="00AB54C2" w:rsidRPr="00CF5597" w:rsidRDefault="00AB54C2" w:rsidP="00CF5597">
      <w:pPr>
        <w:spacing w:after="0" w:line="240" w:lineRule="auto"/>
        <w:jc w:val="both"/>
        <w:rPr>
          <w:highlight w:val="yellow"/>
        </w:rPr>
      </w:pPr>
    </w:p>
    <w:p w:rsidR="00AB54C2" w:rsidRPr="00CF5597" w:rsidRDefault="00AB54C2" w:rsidP="00CF5597">
      <w:pPr>
        <w:spacing w:after="0" w:line="240" w:lineRule="auto"/>
        <w:jc w:val="both"/>
      </w:pPr>
      <w:r w:rsidRPr="00CF5597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CF5597">
        <w:rPr>
          <w:i/>
        </w:rPr>
        <w:t>Risk</w:t>
      </w:r>
      <w:proofErr w:type="spellEnd"/>
      <w:r w:rsidRPr="00CF5597">
        <w:rPr>
          <w:i/>
        </w:rPr>
        <w:t xml:space="preserve"> Management </w:t>
      </w:r>
      <w:proofErr w:type="spellStart"/>
      <w:r w:rsidRPr="00CF5597">
        <w:rPr>
          <w:i/>
        </w:rPr>
        <w:t>Plan</w:t>
      </w:r>
      <w:proofErr w:type="spellEnd"/>
      <w:r w:rsidRPr="00CF5597">
        <w:t xml:space="preserve"> – RMP) accettabile.</w:t>
      </w:r>
    </w:p>
    <w:p w:rsidR="00AB54C2" w:rsidRPr="00CF5597" w:rsidRDefault="00AB54C2" w:rsidP="00CF5597">
      <w:pPr>
        <w:spacing w:after="0" w:line="240" w:lineRule="auto"/>
        <w:jc w:val="both"/>
      </w:pPr>
    </w:p>
    <w:p w:rsidR="00AB54C2" w:rsidRPr="00CF5597" w:rsidRDefault="00AB54C2" w:rsidP="00CF5597">
      <w:pPr>
        <w:spacing w:after="0" w:line="240" w:lineRule="auto"/>
        <w:jc w:val="both"/>
      </w:pPr>
      <w:r w:rsidRPr="00CF5597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30600B" w:rsidRPr="00CF5597">
        <w:t>Fenofibrato</w:t>
      </w:r>
      <w:proofErr w:type="spellEnd"/>
      <w:r w:rsidR="0030600B" w:rsidRPr="00CF5597">
        <w:t xml:space="preserve"> EG</w:t>
      </w:r>
      <w:r w:rsidR="00B9671B" w:rsidRPr="00CF5597">
        <w:t xml:space="preserve"> </w:t>
      </w:r>
      <w:r w:rsidRPr="00CF5597">
        <w:t>contiene</w:t>
      </w:r>
      <w:r w:rsidR="00B27F42" w:rsidRPr="00CF5597">
        <w:t xml:space="preserve"> un </w:t>
      </w:r>
      <w:r w:rsidRPr="00CF5597">
        <w:t xml:space="preserve"> principi</w:t>
      </w:r>
      <w:r w:rsidR="00B27F42" w:rsidRPr="00CF5597">
        <w:t>o</w:t>
      </w:r>
      <w:r w:rsidRPr="00CF5597">
        <w:t xml:space="preserve"> attiv</w:t>
      </w:r>
      <w:r w:rsidR="00B27F42" w:rsidRPr="00CF5597">
        <w:t>o noto presente</w:t>
      </w:r>
      <w:r w:rsidRPr="00CF5597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AB54C2" w:rsidRPr="00CF5597" w:rsidRDefault="00AB54C2" w:rsidP="00CF5597">
      <w:pPr>
        <w:spacing w:after="0" w:line="240" w:lineRule="auto"/>
        <w:jc w:val="both"/>
      </w:pPr>
    </w:p>
    <w:p w:rsidR="00AB54C2" w:rsidRPr="00CF5597" w:rsidRDefault="00AB54C2" w:rsidP="00CF5597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CF5597">
        <w:rPr>
          <w:b/>
        </w:rPr>
        <w:t xml:space="preserve">ASPETTI </w:t>
      </w:r>
      <w:proofErr w:type="spellStart"/>
      <w:r w:rsidRPr="00CF5597">
        <w:rPr>
          <w:b/>
        </w:rPr>
        <w:t>DI</w:t>
      </w:r>
      <w:proofErr w:type="spellEnd"/>
      <w:r w:rsidRPr="00CF5597">
        <w:rPr>
          <w:b/>
        </w:rPr>
        <w:t xml:space="preserve"> QUALITA’</w:t>
      </w:r>
    </w:p>
    <w:p w:rsidR="00AB54C2" w:rsidRPr="00CF5597" w:rsidRDefault="00AB54C2" w:rsidP="00CF5597">
      <w:pPr>
        <w:spacing w:after="0" w:line="240" w:lineRule="auto"/>
        <w:jc w:val="both"/>
      </w:pPr>
      <w:r w:rsidRPr="00CF5597">
        <w:rPr>
          <w:b/>
        </w:rPr>
        <w:t xml:space="preserve">II.1 PRINCIPIO ATTIVO </w:t>
      </w:r>
      <w:r w:rsidR="0030600B" w:rsidRPr="00CF5597">
        <w:rPr>
          <w:b/>
        </w:rPr>
        <w:t>FENOFIBRATO</w:t>
      </w:r>
      <w:r w:rsidR="00BA08FD" w:rsidRPr="00CF5597">
        <w:rPr>
          <w:b/>
        </w:rPr>
        <w:t xml:space="preserve"> </w:t>
      </w:r>
    </w:p>
    <w:p w:rsidR="00AB54C2" w:rsidRPr="00CF5597" w:rsidRDefault="00AB54C2" w:rsidP="00CF5597">
      <w:pPr>
        <w:autoSpaceDE w:val="0"/>
        <w:autoSpaceDN w:val="0"/>
        <w:adjustRightInd w:val="0"/>
        <w:spacing w:after="0" w:line="240" w:lineRule="auto"/>
      </w:pPr>
      <w:r w:rsidRPr="00CF5597">
        <w:rPr>
          <w:u w:val="single"/>
        </w:rPr>
        <w:t>Nome chimico</w:t>
      </w:r>
      <w:r w:rsidRPr="00CF5597">
        <w:t xml:space="preserve">: </w:t>
      </w:r>
      <w:r w:rsidR="00CF5597" w:rsidRPr="00CF5597">
        <w:rPr>
          <w:rFonts w:cs="Arial"/>
        </w:rPr>
        <w:t>1-Methylethyl 2-[4-(4-chlorobenzoyl)</w:t>
      </w:r>
      <w:proofErr w:type="spellStart"/>
      <w:r w:rsidR="00CF5597" w:rsidRPr="00CF5597">
        <w:rPr>
          <w:rFonts w:cs="Arial"/>
        </w:rPr>
        <w:t>phenoxy</w:t>
      </w:r>
      <w:proofErr w:type="spellEnd"/>
      <w:r w:rsidR="00CF5597" w:rsidRPr="00CF5597">
        <w:rPr>
          <w:rFonts w:cs="Arial"/>
        </w:rPr>
        <w:t>]-2-methylpropanoate</w:t>
      </w:r>
    </w:p>
    <w:p w:rsidR="00AB54C2" w:rsidRPr="00CF5597" w:rsidRDefault="00AB54C2" w:rsidP="00CF5597">
      <w:pPr>
        <w:spacing w:after="0" w:line="240" w:lineRule="auto"/>
        <w:jc w:val="both"/>
        <w:rPr>
          <w:noProof/>
          <w:highlight w:val="yellow"/>
          <w:lang w:eastAsia="it-IT"/>
        </w:rPr>
      </w:pPr>
      <w:r w:rsidRPr="00CF5597">
        <w:rPr>
          <w:u w:val="single"/>
        </w:rPr>
        <w:t>Struttura</w:t>
      </w:r>
      <w:r w:rsidRPr="00CF5597">
        <w:t>:</w:t>
      </w:r>
    </w:p>
    <w:p w:rsidR="00AB54C2" w:rsidRPr="00CF5597" w:rsidRDefault="00CF5597" w:rsidP="00CF5597">
      <w:pPr>
        <w:spacing w:after="0" w:line="240" w:lineRule="auto"/>
        <w:jc w:val="center"/>
        <w:rPr>
          <w:noProof/>
          <w:lang w:eastAsia="it-IT"/>
        </w:rPr>
      </w:pPr>
      <w:r w:rsidRPr="00CF5597">
        <w:rPr>
          <w:rFonts w:cs="Arial"/>
          <w:noProof/>
          <w:lang w:eastAsia="it-IT"/>
        </w:rPr>
        <w:drawing>
          <wp:inline distT="0" distB="0" distL="0" distR="0">
            <wp:extent cx="1348574" cy="476950"/>
            <wp:effectExtent l="19050" t="0" r="3976" b="0"/>
            <wp:docPr id="2" name="Immagine 1" descr="P:\_dp\804\XML-IN\Images\cf1322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4\XML-IN\Images\cf1322-b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575" cy="47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9EF" w:rsidRPr="00CF5597" w:rsidRDefault="00EE29EF" w:rsidP="00CF5597">
      <w:pPr>
        <w:spacing w:after="0" w:line="240" w:lineRule="auto"/>
        <w:jc w:val="center"/>
        <w:rPr>
          <w:highlight w:val="yellow"/>
        </w:rPr>
      </w:pPr>
    </w:p>
    <w:p w:rsidR="00EE29EF" w:rsidRPr="00CF5597" w:rsidRDefault="00AB54C2" w:rsidP="00CF5597">
      <w:pPr>
        <w:spacing w:after="0" w:line="240" w:lineRule="auto"/>
        <w:rPr>
          <w:rStyle w:val="s1"/>
          <w:rFonts w:asciiTheme="minorHAnsi" w:hAnsiTheme="minorHAnsi" w:cstheme="minorBidi"/>
        </w:rPr>
      </w:pPr>
      <w:r w:rsidRPr="00CF5597">
        <w:rPr>
          <w:u w:val="single"/>
        </w:rPr>
        <w:t>Formula molecolare</w:t>
      </w:r>
      <w:r w:rsidRPr="00CF5597">
        <w:t>:</w:t>
      </w:r>
      <w:r w:rsidRPr="00CF5597">
        <w:rPr>
          <w:rStyle w:val="s1"/>
          <w:rFonts w:asciiTheme="minorHAnsi" w:hAnsiTheme="minorHAnsi"/>
        </w:rPr>
        <w:t xml:space="preserve"> </w:t>
      </w:r>
      <w:r w:rsidR="00CF5597" w:rsidRPr="00CF5597">
        <w:rPr>
          <w:rFonts w:cs="Arial"/>
        </w:rPr>
        <w:t>C</w:t>
      </w:r>
      <w:r w:rsidR="00CF5597" w:rsidRPr="00CF5597">
        <w:rPr>
          <w:rFonts w:cs="Arial"/>
          <w:vertAlign w:val="subscript"/>
        </w:rPr>
        <w:t>20</w:t>
      </w:r>
      <w:r w:rsidR="00CF5597" w:rsidRPr="00CF5597">
        <w:rPr>
          <w:rFonts w:cs="Arial"/>
        </w:rPr>
        <w:t>H</w:t>
      </w:r>
      <w:r w:rsidR="00CF5597" w:rsidRPr="00CF5597">
        <w:rPr>
          <w:rFonts w:cs="Arial"/>
          <w:vertAlign w:val="subscript"/>
        </w:rPr>
        <w:t>21</w:t>
      </w:r>
      <w:r w:rsidR="00CF5597" w:rsidRPr="00CF5597">
        <w:rPr>
          <w:rFonts w:cs="Arial"/>
        </w:rPr>
        <w:t>ClO</w:t>
      </w:r>
    </w:p>
    <w:p w:rsidR="00AB54C2" w:rsidRPr="00CF5597" w:rsidRDefault="00AB54C2" w:rsidP="00CF5597">
      <w:pPr>
        <w:spacing w:after="0" w:line="240" w:lineRule="auto"/>
        <w:jc w:val="both"/>
      </w:pPr>
      <w:r w:rsidRPr="00CF5597">
        <w:rPr>
          <w:u w:val="single"/>
        </w:rPr>
        <w:t>Peso molecolare</w:t>
      </w:r>
      <w:r w:rsidRPr="00CF5597">
        <w:t>:</w:t>
      </w:r>
      <w:r w:rsidRPr="00CF5597">
        <w:rPr>
          <w:rFonts w:cs="Arial"/>
          <w:color w:val="252525"/>
          <w:shd w:val="clear" w:color="auto" w:fill="F9F9F9"/>
        </w:rPr>
        <w:t xml:space="preserve"> </w:t>
      </w:r>
      <w:r w:rsidR="00CF5597" w:rsidRPr="00CF5597">
        <w:rPr>
          <w:rFonts w:cs="Arial"/>
        </w:rPr>
        <w:t>360.8</w:t>
      </w:r>
      <w:r w:rsidR="00D92307">
        <w:rPr>
          <w:rFonts w:cs="Arial"/>
        </w:rPr>
        <w:t xml:space="preserve"> </w:t>
      </w:r>
      <w:r w:rsidRPr="00CF5597">
        <w:rPr>
          <w:rStyle w:val="s1"/>
          <w:rFonts w:asciiTheme="minorHAnsi" w:hAnsiTheme="minorHAnsi"/>
        </w:rPr>
        <w:t>g/mol</w:t>
      </w:r>
    </w:p>
    <w:p w:rsidR="00AB54C2" w:rsidRPr="00CF5597" w:rsidRDefault="00AB54C2" w:rsidP="00CF5597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CF5597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CF5597">
        <w:rPr>
          <w:rFonts w:asciiTheme="minorHAnsi" w:hAnsiTheme="minorHAnsi"/>
          <w:b w:val="0"/>
          <w:sz w:val="22"/>
          <w:szCs w:val="22"/>
        </w:rPr>
        <w:t xml:space="preserve">: </w:t>
      </w:r>
      <w:r w:rsidR="00EE29EF" w:rsidRPr="00CF5597">
        <w:rPr>
          <w:rStyle w:val="s1"/>
          <w:rFonts w:asciiTheme="minorHAnsi" w:hAnsiTheme="minorHAnsi"/>
          <w:b w:val="0"/>
          <w:sz w:val="22"/>
          <w:szCs w:val="22"/>
        </w:rPr>
        <w:t>[</w:t>
      </w:r>
      <w:r w:rsidR="00CF5597" w:rsidRPr="00CF5597">
        <w:rPr>
          <w:rFonts w:asciiTheme="minorHAnsi" w:hAnsiTheme="minorHAnsi" w:cs="Arial"/>
          <w:b w:val="0"/>
          <w:sz w:val="22"/>
          <w:szCs w:val="22"/>
        </w:rPr>
        <w:t>49562-28-9</w:t>
      </w:r>
      <w:r w:rsidR="00EE29EF" w:rsidRPr="00CF5597">
        <w:rPr>
          <w:rStyle w:val="s1"/>
          <w:rFonts w:asciiTheme="minorHAnsi" w:hAnsiTheme="minorHAnsi"/>
          <w:b w:val="0"/>
          <w:sz w:val="22"/>
          <w:szCs w:val="22"/>
        </w:rPr>
        <w:t>]</w:t>
      </w:r>
    </w:p>
    <w:p w:rsidR="00AB54C2" w:rsidRPr="00CF5597" w:rsidRDefault="00AB54C2" w:rsidP="00CF5597">
      <w:pPr>
        <w:spacing w:after="0" w:line="240" w:lineRule="auto"/>
        <w:jc w:val="both"/>
      </w:pPr>
      <w:r w:rsidRPr="00CF5597">
        <w:rPr>
          <w:u w:val="single"/>
        </w:rPr>
        <w:t>Aspetto</w:t>
      </w:r>
      <w:r w:rsidRPr="00CF5597">
        <w:t xml:space="preserve">: polvere </w:t>
      </w:r>
      <w:r w:rsidR="00CF5597" w:rsidRPr="00CF5597">
        <w:t xml:space="preserve">cristallina </w:t>
      </w:r>
      <w:r w:rsidRPr="00CF5597">
        <w:t>bianca o quasi bianca</w:t>
      </w:r>
      <w:r w:rsidR="00BA08FD" w:rsidRPr="00CF5597">
        <w:t>.</w:t>
      </w:r>
    </w:p>
    <w:p w:rsidR="00AB54C2" w:rsidRPr="00CF5597" w:rsidRDefault="00AB54C2" w:rsidP="00CF5597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CF5597">
        <w:rPr>
          <w:u w:val="single"/>
        </w:rPr>
        <w:t>Solubilità</w:t>
      </w:r>
      <w:r w:rsidRPr="00CF5597">
        <w:t xml:space="preserve">: </w:t>
      </w:r>
      <w:r w:rsidR="00CF5597" w:rsidRPr="00CF5597">
        <w:t>praticamente</w:t>
      </w:r>
      <w:r w:rsidRPr="00CF5597">
        <w:t xml:space="preserve"> insolubile in acqua</w:t>
      </w:r>
      <w:r w:rsidRPr="00CF5597">
        <w:rPr>
          <w:rStyle w:val="s1"/>
          <w:rFonts w:asciiTheme="minorHAnsi" w:hAnsiTheme="minorHAnsi"/>
        </w:rPr>
        <w:t>, molto solubile in</w:t>
      </w:r>
      <w:r w:rsidR="00EE29EF" w:rsidRPr="00CF5597">
        <w:rPr>
          <w:rStyle w:val="s1"/>
          <w:rFonts w:asciiTheme="minorHAnsi" w:hAnsiTheme="minorHAnsi"/>
        </w:rPr>
        <w:t xml:space="preserve"> </w:t>
      </w:r>
      <w:r w:rsidR="00CF5597" w:rsidRPr="00CF5597">
        <w:rPr>
          <w:rStyle w:val="s1"/>
          <w:rFonts w:asciiTheme="minorHAnsi" w:hAnsiTheme="minorHAnsi"/>
        </w:rPr>
        <w:t>metilene cloruro, poco solubile in etanolo 96%.</w:t>
      </w:r>
    </w:p>
    <w:p w:rsidR="00BA08FD" w:rsidRPr="00CF5597" w:rsidRDefault="00BA08FD" w:rsidP="00CF5597">
      <w:pPr>
        <w:spacing w:after="0" w:line="240" w:lineRule="auto"/>
        <w:jc w:val="both"/>
      </w:pPr>
      <w:r w:rsidRPr="00A14990">
        <w:rPr>
          <w:u w:val="single"/>
        </w:rPr>
        <w:t>Polimorfismo</w:t>
      </w:r>
      <w:r w:rsidRPr="00A14990">
        <w:t>: il principio attivo presenta polimorfismo.</w:t>
      </w:r>
    </w:p>
    <w:p w:rsidR="00CF5597" w:rsidRPr="00CF5597" w:rsidRDefault="00CF5597" w:rsidP="00CF5597">
      <w:pPr>
        <w:spacing w:after="0" w:line="240" w:lineRule="auto"/>
        <w:jc w:val="both"/>
      </w:pPr>
    </w:p>
    <w:p w:rsidR="009F16FA" w:rsidRPr="00A14990" w:rsidRDefault="009F16FA" w:rsidP="00CF5597">
      <w:pPr>
        <w:spacing w:after="0" w:line="240" w:lineRule="auto"/>
        <w:jc w:val="both"/>
      </w:pPr>
      <w:r w:rsidRPr="00A14990">
        <w:t xml:space="preserve">Il principio attivo </w:t>
      </w:r>
      <w:proofErr w:type="spellStart"/>
      <w:r w:rsidR="0030600B" w:rsidRPr="00A14990">
        <w:t>fenofibrato</w:t>
      </w:r>
      <w:proofErr w:type="spellEnd"/>
      <w:r w:rsidRPr="00A14990">
        <w:t xml:space="preserve"> è presente in Farmacopea Europea e il </w:t>
      </w:r>
      <w:proofErr w:type="spellStart"/>
      <w:r w:rsidRPr="00A14990">
        <w:t>Direttorato</w:t>
      </w:r>
      <w:proofErr w:type="spellEnd"/>
      <w:r w:rsidRPr="00A14990">
        <w:t xml:space="preserve"> Europeo per la Qualità dei Medicinali (</w:t>
      </w:r>
      <w:proofErr w:type="spellStart"/>
      <w:r w:rsidRPr="00A14990">
        <w:rPr>
          <w:i/>
        </w:rPr>
        <w:t>European</w:t>
      </w:r>
      <w:proofErr w:type="spellEnd"/>
      <w:r w:rsidRPr="00A14990">
        <w:rPr>
          <w:i/>
        </w:rPr>
        <w:t xml:space="preserve"> </w:t>
      </w:r>
      <w:proofErr w:type="spellStart"/>
      <w:r w:rsidRPr="00A14990">
        <w:rPr>
          <w:i/>
        </w:rPr>
        <w:t>Directorate</w:t>
      </w:r>
      <w:proofErr w:type="spellEnd"/>
      <w:r w:rsidRPr="00A14990">
        <w:rPr>
          <w:i/>
        </w:rPr>
        <w:t xml:space="preserve"> </w:t>
      </w:r>
      <w:proofErr w:type="spellStart"/>
      <w:r w:rsidRPr="00A14990">
        <w:rPr>
          <w:i/>
        </w:rPr>
        <w:t>for</w:t>
      </w:r>
      <w:proofErr w:type="spellEnd"/>
      <w:r w:rsidRPr="00A14990">
        <w:rPr>
          <w:i/>
        </w:rPr>
        <w:t xml:space="preserve"> </w:t>
      </w:r>
      <w:proofErr w:type="spellStart"/>
      <w:r w:rsidRPr="00A14990">
        <w:rPr>
          <w:i/>
        </w:rPr>
        <w:t>Quality</w:t>
      </w:r>
      <w:proofErr w:type="spellEnd"/>
      <w:r w:rsidRPr="00A14990">
        <w:rPr>
          <w:i/>
        </w:rPr>
        <w:t xml:space="preserve"> </w:t>
      </w:r>
      <w:proofErr w:type="spellStart"/>
      <w:r w:rsidRPr="00A14990">
        <w:rPr>
          <w:i/>
        </w:rPr>
        <w:t>of</w:t>
      </w:r>
      <w:proofErr w:type="spellEnd"/>
      <w:r w:rsidRPr="00A14990">
        <w:rPr>
          <w:i/>
        </w:rPr>
        <w:t xml:space="preserve"> </w:t>
      </w:r>
      <w:proofErr w:type="spellStart"/>
      <w:r w:rsidRPr="00A14990">
        <w:rPr>
          <w:i/>
        </w:rPr>
        <w:t>Medicnals</w:t>
      </w:r>
      <w:proofErr w:type="spellEnd"/>
      <w:r w:rsidRPr="00A14990">
        <w:t xml:space="preserve"> – EDQM) ha rilasciato </w:t>
      </w:r>
      <w:r w:rsidR="00A14990" w:rsidRPr="00A14990">
        <w:t>al</w:t>
      </w:r>
      <w:r w:rsidRPr="00A14990">
        <w:t xml:space="preserve"> produttor</w:t>
      </w:r>
      <w:r w:rsidR="00A14990" w:rsidRPr="00A14990">
        <w:t>e</w:t>
      </w:r>
      <w:r w:rsidRPr="00A14990">
        <w:t xml:space="preserve"> </w:t>
      </w:r>
      <w:r w:rsidR="002937E3" w:rsidRPr="00A14990">
        <w:t>di principio attivo</w:t>
      </w:r>
      <w:r w:rsidR="00BA08FD" w:rsidRPr="00A14990">
        <w:t xml:space="preserve"> </w:t>
      </w:r>
      <w:r w:rsidRPr="00A14990">
        <w:t>il certificato di conformità alla Farmacopea Europea.</w:t>
      </w:r>
    </w:p>
    <w:p w:rsidR="009F16FA" w:rsidRPr="00A14990" w:rsidRDefault="00A14990" w:rsidP="00CF5597">
      <w:pPr>
        <w:spacing w:after="0" w:line="240" w:lineRule="auto"/>
        <w:jc w:val="both"/>
      </w:pPr>
      <w:r w:rsidRPr="00A14990">
        <w:t>T</w:t>
      </w:r>
      <w:r w:rsidR="009F16FA" w:rsidRPr="00A14990">
        <w:t xml:space="preserve">utti gli aspetti di produzione e controllo sono coperti dal certificato di conformità alla Farmacopea Europea. Il principio attivo è confezionato in </w:t>
      </w:r>
      <w:r w:rsidR="008A69E3" w:rsidRPr="00A14990">
        <w:t xml:space="preserve">sacca </w:t>
      </w:r>
      <w:r w:rsidR="009F16FA" w:rsidRPr="00A14990">
        <w:t xml:space="preserve">di polietilene. </w:t>
      </w:r>
      <w:proofErr w:type="spellStart"/>
      <w:r w:rsidR="009F16FA" w:rsidRPr="00A14990">
        <w:t>ll</w:t>
      </w:r>
      <w:proofErr w:type="spellEnd"/>
      <w:r w:rsidR="009F16FA" w:rsidRPr="00A14990">
        <w:t xml:space="preserve"> periodo di </w:t>
      </w:r>
      <w:proofErr w:type="spellStart"/>
      <w:r w:rsidR="009F16FA" w:rsidRPr="00A14990">
        <w:t>retest</w:t>
      </w:r>
      <w:proofErr w:type="spellEnd"/>
      <w:r w:rsidR="009F16FA" w:rsidRPr="00A14990">
        <w:t xml:space="preserve"> è definito in 4 anni. </w:t>
      </w:r>
    </w:p>
    <w:p w:rsidR="00AB54C2" w:rsidRPr="00A14990" w:rsidRDefault="00AB54C2" w:rsidP="00EE29EF">
      <w:pPr>
        <w:spacing w:after="0" w:line="240" w:lineRule="auto"/>
        <w:jc w:val="both"/>
      </w:pPr>
    </w:p>
    <w:p w:rsidR="00AB54C2" w:rsidRPr="00A14990" w:rsidRDefault="00AB54C2" w:rsidP="00AB54C2">
      <w:pPr>
        <w:spacing w:after="0" w:line="240" w:lineRule="auto"/>
        <w:jc w:val="both"/>
        <w:rPr>
          <w:highlight w:val="yellow"/>
        </w:rPr>
      </w:pPr>
    </w:p>
    <w:p w:rsidR="00AB54C2" w:rsidRPr="00A14990" w:rsidRDefault="00AB54C2" w:rsidP="00AB54C2">
      <w:pPr>
        <w:spacing w:after="0" w:line="240" w:lineRule="auto"/>
        <w:jc w:val="both"/>
        <w:rPr>
          <w:b/>
        </w:rPr>
      </w:pPr>
      <w:r w:rsidRPr="00A14990">
        <w:rPr>
          <w:b/>
        </w:rPr>
        <w:t>II.2 PRODOTTO FINITO</w:t>
      </w:r>
    </w:p>
    <w:p w:rsidR="00AB54C2" w:rsidRPr="00A14990" w:rsidRDefault="00AB54C2" w:rsidP="00AB54C2">
      <w:pPr>
        <w:spacing w:after="0" w:line="240" w:lineRule="auto"/>
        <w:jc w:val="both"/>
        <w:rPr>
          <w:b/>
        </w:rPr>
      </w:pPr>
      <w:r w:rsidRPr="00A14990">
        <w:rPr>
          <w:b/>
        </w:rPr>
        <w:t>Descrizione e composizione</w:t>
      </w:r>
    </w:p>
    <w:p w:rsidR="00AB54C2" w:rsidRPr="00A14990" w:rsidRDefault="0030600B" w:rsidP="00AB54C2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A14990">
        <w:rPr>
          <w:rFonts w:eastAsia="Calibri" w:cs="Calibri"/>
          <w:color w:val="000000"/>
          <w:lang w:eastAsia="it-IT"/>
        </w:rPr>
        <w:t>Fenofibrato</w:t>
      </w:r>
      <w:proofErr w:type="spellEnd"/>
      <w:r w:rsidRPr="00A14990">
        <w:rPr>
          <w:rFonts w:eastAsia="Calibri" w:cs="Calibri"/>
          <w:color w:val="000000"/>
          <w:lang w:eastAsia="it-IT"/>
        </w:rPr>
        <w:t xml:space="preserve"> EG</w:t>
      </w:r>
      <w:r w:rsidR="00B9671B" w:rsidRPr="00A14990">
        <w:rPr>
          <w:rFonts w:eastAsia="Calibri" w:cs="Calibri"/>
          <w:color w:val="000000"/>
          <w:lang w:eastAsia="it-IT"/>
        </w:rPr>
        <w:t xml:space="preserve"> </w:t>
      </w:r>
      <w:r w:rsidR="00AB54C2" w:rsidRPr="00A14990">
        <w:rPr>
          <w:rFonts w:eastAsia="Calibri" w:cs="Calibri"/>
          <w:color w:val="000000"/>
          <w:lang w:eastAsia="it-IT"/>
        </w:rPr>
        <w:t xml:space="preserve">è disponibile in </w:t>
      </w:r>
      <w:r w:rsidR="00A14990" w:rsidRPr="00A14990">
        <w:rPr>
          <w:rFonts w:eastAsia="Calibri" w:cs="Calibri"/>
          <w:color w:val="000000"/>
          <w:lang w:eastAsia="it-IT"/>
        </w:rPr>
        <w:t>compresse</w:t>
      </w:r>
      <w:r w:rsidR="000062DD" w:rsidRPr="00A14990">
        <w:rPr>
          <w:rFonts w:eastAsia="Calibri" w:cs="Calibri"/>
          <w:color w:val="000000"/>
          <w:lang w:eastAsia="it-IT"/>
        </w:rPr>
        <w:t xml:space="preserve"> contenenti </w:t>
      </w:r>
      <w:r w:rsidR="00A14990" w:rsidRPr="00A14990">
        <w:rPr>
          <w:rFonts w:eastAsia="Calibri" w:cs="Calibri"/>
          <w:color w:val="000000"/>
          <w:lang w:eastAsia="it-IT"/>
        </w:rPr>
        <w:t>145</w:t>
      </w:r>
      <w:r w:rsidR="000062DD" w:rsidRPr="00A14990">
        <w:rPr>
          <w:rFonts w:eastAsia="Calibri" w:cs="Calibri"/>
          <w:color w:val="000000"/>
          <w:lang w:eastAsia="it-IT"/>
        </w:rPr>
        <w:t xml:space="preserve"> mg</w:t>
      </w:r>
      <w:r w:rsidR="00AB54C2" w:rsidRPr="00A14990">
        <w:rPr>
          <w:rFonts w:eastAsia="Calibri" w:cs="Calibri"/>
          <w:color w:val="000000"/>
          <w:lang w:eastAsia="it-IT"/>
        </w:rPr>
        <w:t xml:space="preserve"> di </w:t>
      </w:r>
      <w:proofErr w:type="spellStart"/>
      <w:r w:rsidRPr="00A14990">
        <w:rPr>
          <w:rFonts w:eastAsia="Calibri" w:cs="Calibri"/>
          <w:color w:val="000000"/>
          <w:lang w:eastAsia="it-IT"/>
        </w:rPr>
        <w:t>fenofibrato</w:t>
      </w:r>
      <w:proofErr w:type="spellEnd"/>
      <w:r w:rsidR="00AB54C2" w:rsidRPr="00A14990">
        <w:rPr>
          <w:rFonts w:eastAsia="Calibri" w:cs="Calibri"/>
          <w:color w:val="000000"/>
          <w:lang w:eastAsia="it-IT"/>
        </w:rPr>
        <w:t>.</w:t>
      </w:r>
    </w:p>
    <w:p w:rsidR="000062DD" w:rsidRPr="00A14990" w:rsidRDefault="00A14990" w:rsidP="00A14990">
      <w:pPr>
        <w:pStyle w:val="BodytextAgency"/>
        <w:spacing w:after="0" w:line="240" w:lineRule="auto"/>
        <w:jc w:val="both"/>
        <w:rPr>
          <w:rFonts w:asciiTheme="minorHAnsi" w:hAnsiTheme="minorHAnsi"/>
          <w:sz w:val="22"/>
          <w:szCs w:val="22"/>
          <w:lang w:val="it-IT"/>
        </w:rPr>
      </w:pPr>
      <w:r w:rsidRPr="00A14990">
        <w:rPr>
          <w:rFonts w:asciiTheme="minorHAnsi" w:hAnsiTheme="minorHAnsi"/>
          <w:sz w:val="22"/>
          <w:szCs w:val="22"/>
          <w:lang w:val="it-IT"/>
        </w:rPr>
        <w:t>Le compresse sono bianche o quasi bianche, biconvesse, oblunghe, con “F” impressa su un lato e “145” impresso sull’altro.</w:t>
      </w:r>
    </w:p>
    <w:p w:rsidR="00A14990" w:rsidRPr="00A14990" w:rsidRDefault="009F16FA" w:rsidP="00070DFB">
      <w:pPr>
        <w:spacing w:after="0" w:line="240" w:lineRule="auto"/>
        <w:jc w:val="both"/>
      </w:pPr>
      <w:r w:rsidRPr="00A14990">
        <w:t xml:space="preserve">Gli eccipienti sono </w:t>
      </w:r>
      <w:r w:rsidR="00070DFB">
        <w:t>l</w:t>
      </w:r>
      <w:r w:rsidR="00A14990" w:rsidRPr="00A14990">
        <w:t xml:space="preserve">attosio anidro, </w:t>
      </w:r>
      <w:proofErr w:type="spellStart"/>
      <w:r w:rsidR="00A14990">
        <w:t>i</w:t>
      </w:r>
      <w:r w:rsidR="00A14990" w:rsidRPr="00A14990">
        <w:t>promellosa</w:t>
      </w:r>
      <w:proofErr w:type="spellEnd"/>
      <w:r w:rsidR="00A14990" w:rsidRPr="00A14990">
        <w:t>,</w:t>
      </w:r>
      <w:r w:rsidR="00A14990">
        <w:t xml:space="preserve"> </w:t>
      </w:r>
      <w:proofErr w:type="spellStart"/>
      <w:r w:rsidR="00A14990">
        <w:t>c</w:t>
      </w:r>
      <w:r w:rsidR="00A14990" w:rsidRPr="00A14990">
        <w:t>roscarmellosa</w:t>
      </w:r>
      <w:proofErr w:type="spellEnd"/>
      <w:r w:rsidR="00A14990" w:rsidRPr="00A14990">
        <w:t xml:space="preserve"> sodica</w:t>
      </w:r>
      <w:r w:rsidR="00A14990">
        <w:t>, s</w:t>
      </w:r>
      <w:r w:rsidR="00A14990" w:rsidRPr="00A14990">
        <w:t xml:space="preserve">odio </w:t>
      </w:r>
      <w:proofErr w:type="spellStart"/>
      <w:r w:rsidR="00A14990" w:rsidRPr="00A14990">
        <w:t>laurilsolfato</w:t>
      </w:r>
      <w:proofErr w:type="spellEnd"/>
      <w:r w:rsidR="00A14990" w:rsidRPr="00A14990">
        <w:t>,</w:t>
      </w:r>
      <w:r w:rsidR="00A14990">
        <w:t xml:space="preserve"> </w:t>
      </w:r>
      <w:proofErr w:type="spellStart"/>
      <w:r w:rsidR="00A14990">
        <w:t>s</w:t>
      </w:r>
      <w:r w:rsidR="00A14990" w:rsidRPr="00A14990">
        <w:t>imeticone</w:t>
      </w:r>
      <w:proofErr w:type="spellEnd"/>
      <w:r w:rsidR="00A14990" w:rsidRPr="00A14990">
        <w:t xml:space="preserve">, </w:t>
      </w:r>
      <w:r w:rsidR="00A14990">
        <w:t>m</w:t>
      </w:r>
      <w:r w:rsidR="00A14990" w:rsidRPr="00A14990">
        <w:t>agnesio stearato</w:t>
      </w:r>
    </w:p>
    <w:p w:rsidR="00070DFB" w:rsidRPr="00C97A20" w:rsidRDefault="009F16FA" w:rsidP="00070DFB">
      <w:pPr>
        <w:spacing w:after="0" w:line="240" w:lineRule="auto"/>
        <w:jc w:val="both"/>
      </w:pPr>
      <w:r w:rsidRPr="00070DFB">
        <w:t>Tutti gli eccipienti sono conformi alla relativa monografia di Farmacopea Europea</w:t>
      </w:r>
      <w:r w:rsidR="00A14990" w:rsidRPr="00070DFB">
        <w:t xml:space="preserve">, ad eccezione del </w:t>
      </w:r>
      <w:proofErr w:type="spellStart"/>
      <w:r w:rsidR="00A14990" w:rsidRPr="00070DFB">
        <w:t>simeticone</w:t>
      </w:r>
      <w:proofErr w:type="spellEnd"/>
      <w:r w:rsidR="00A14990" w:rsidRPr="00070DFB">
        <w:t xml:space="preserve"> </w:t>
      </w:r>
      <w:r w:rsidR="00070DFB" w:rsidRPr="00070DFB">
        <w:t>le cui specifiche sono state adeguatamente definite dal produttore.</w:t>
      </w:r>
    </w:p>
    <w:p w:rsidR="00070DFB" w:rsidRPr="00070DFB" w:rsidRDefault="00E2236C" w:rsidP="00070DFB">
      <w:pPr>
        <w:spacing w:after="0" w:line="240" w:lineRule="auto"/>
        <w:jc w:val="both"/>
      </w:pPr>
      <w:r w:rsidRPr="00070DFB">
        <w:t xml:space="preserve">Il solo eccipiente di originale animale è </w:t>
      </w:r>
      <w:r w:rsidR="00070DFB" w:rsidRPr="00070DFB">
        <w:t>il lattosio; è stata fornita una dichiarazione che nella sua produzione sono utilizzati animali sani della stessa qualità utilizzata per il consumo umano.</w:t>
      </w:r>
    </w:p>
    <w:p w:rsidR="00AB54C2" w:rsidRPr="00070DFB" w:rsidRDefault="00AB54C2" w:rsidP="00A9506F">
      <w:pPr>
        <w:spacing w:after="0" w:line="240" w:lineRule="auto"/>
        <w:jc w:val="both"/>
      </w:pPr>
      <w:r w:rsidRPr="00070DFB">
        <w:t>Nessun eccipiente è ottenuto da organismi geneticamente modificati; non sono presenti eccipienti mai utilizzati nell’uomo.</w:t>
      </w:r>
    </w:p>
    <w:p w:rsidR="00AB54C2" w:rsidRPr="00A14990" w:rsidRDefault="00AB54C2" w:rsidP="00A9506F">
      <w:pPr>
        <w:spacing w:after="0" w:line="240" w:lineRule="auto"/>
        <w:jc w:val="both"/>
        <w:rPr>
          <w:highlight w:val="yellow"/>
        </w:rPr>
      </w:pPr>
    </w:p>
    <w:p w:rsidR="00AB54C2" w:rsidRPr="00070DFB" w:rsidRDefault="00AB54C2" w:rsidP="00A9506F">
      <w:pPr>
        <w:spacing w:after="0" w:line="240" w:lineRule="auto"/>
        <w:jc w:val="both"/>
        <w:rPr>
          <w:b/>
        </w:rPr>
      </w:pPr>
      <w:r w:rsidRPr="00070DFB">
        <w:rPr>
          <w:b/>
        </w:rPr>
        <w:t>Sviluppo farmaceutico</w:t>
      </w:r>
    </w:p>
    <w:p w:rsidR="00AB54C2" w:rsidRPr="00070DFB" w:rsidRDefault="00AB54C2" w:rsidP="00A9506F">
      <w:pPr>
        <w:spacing w:after="0" w:line="240" w:lineRule="auto"/>
        <w:jc w:val="both"/>
      </w:pPr>
      <w:r w:rsidRPr="00070DFB">
        <w:t>Sono stati forniti dettagli dello sviluppo farmaceutico e questi sono stati ritenuti soddisfacenti.</w:t>
      </w:r>
    </w:p>
    <w:p w:rsidR="00AB54C2" w:rsidRPr="00070DFB" w:rsidRDefault="00AB54C2" w:rsidP="00A9506F">
      <w:pPr>
        <w:spacing w:after="0" w:line="240" w:lineRule="auto"/>
        <w:jc w:val="both"/>
      </w:pPr>
      <w:r w:rsidRPr="00070DFB">
        <w:t xml:space="preserve">Lo scopo era quello di ottenere un medicinale </w:t>
      </w:r>
      <w:proofErr w:type="spellStart"/>
      <w:r w:rsidRPr="00070DFB">
        <w:t>bioequivalente</w:t>
      </w:r>
      <w:proofErr w:type="spellEnd"/>
      <w:r w:rsidRPr="00070DFB">
        <w:t xml:space="preserve"> al medicinale </w:t>
      </w:r>
      <w:proofErr w:type="spellStart"/>
      <w:r w:rsidR="00BF51B2">
        <w:rPr>
          <w:rFonts w:cs="Arial"/>
        </w:rPr>
        <w:t>Lipanthyl</w:t>
      </w:r>
      <w:proofErr w:type="spellEnd"/>
      <w:r w:rsidR="00BF51B2" w:rsidRPr="00B40F40">
        <w:rPr>
          <w:rFonts w:cs="Arial"/>
        </w:rPr>
        <w:t xml:space="preserve"> </w:t>
      </w:r>
      <w:r w:rsidR="00BF51B2">
        <w:rPr>
          <w:rFonts w:cs="Arial"/>
        </w:rPr>
        <w:t xml:space="preserve">(medicinale autorizzato in Francia, corrispondente al medicinale </w:t>
      </w:r>
      <w:r w:rsidR="00BF51B2" w:rsidRPr="00B40F40">
        <w:rPr>
          <w:rFonts w:cs="Arial"/>
        </w:rPr>
        <w:t xml:space="preserve">di riferimento </w:t>
      </w:r>
      <w:proofErr w:type="spellStart"/>
      <w:r w:rsidR="00BF51B2">
        <w:rPr>
          <w:rFonts w:cs="Arial"/>
        </w:rPr>
        <w:t>Fulcrosupra</w:t>
      </w:r>
      <w:proofErr w:type="spellEnd"/>
      <w:r w:rsidR="00BF51B2">
        <w:rPr>
          <w:rFonts w:cs="Arial"/>
        </w:rPr>
        <w:t xml:space="preserve"> autorizzato in Italia)</w:t>
      </w:r>
      <w:r w:rsidR="00BF51B2" w:rsidRPr="00B40F40">
        <w:rPr>
          <w:rFonts w:cs="Arial"/>
        </w:rPr>
        <w:t>.</w:t>
      </w:r>
    </w:p>
    <w:p w:rsidR="00AB54C2" w:rsidRPr="00070DFB" w:rsidRDefault="00AB54C2" w:rsidP="00A9506F">
      <w:pPr>
        <w:spacing w:after="0" w:line="240" w:lineRule="auto"/>
        <w:jc w:val="both"/>
      </w:pPr>
      <w:r w:rsidRPr="00070DFB">
        <w:t>Sono stati forniti dati comparativi relativi al profilo di dissoluzione e al profilo di impurezze rispetto al medicinale di riferimento. I dati sono soddisfacenti.</w:t>
      </w:r>
    </w:p>
    <w:p w:rsidR="00097D78" w:rsidRPr="00070DFB" w:rsidRDefault="00097D78" w:rsidP="00A9506F">
      <w:pPr>
        <w:spacing w:after="0" w:line="240" w:lineRule="auto"/>
        <w:jc w:val="both"/>
      </w:pPr>
    </w:p>
    <w:p w:rsidR="00AB54C2" w:rsidRPr="00070DFB" w:rsidRDefault="00AB54C2" w:rsidP="00A9506F">
      <w:pPr>
        <w:spacing w:after="0" w:line="240" w:lineRule="auto"/>
        <w:jc w:val="both"/>
        <w:rPr>
          <w:b/>
        </w:rPr>
      </w:pPr>
      <w:r w:rsidRPr="00070DFB">
        <w:rPr>
          <w:b/>
        </w:rPr>
        <w:t xml:space="preserve">Produzione </w:t>
      </w:r>
    </w:p>
    <w:p w:rsidR="00AB54C2" w:rsidRPr="00070DFB" w:rsidRDefault="00AB54C2" w:rsidP="00AB54C2">
      <w:pPr>
        <w:spacing w:after="0" w:line="240" w:lineRule="auto"/>
        <w:jc w:val="both"/>
      </w:pPr>
      <w:r w:rsidRPr="00070DFB">
        <w:t>Sono stati forniti una descrizione del metodo di produzione e la relativa flow-chart.</w:t>
      </w:r>
    </w:p>
    <w:p w:rsidR="00AB54C2" w:rsidRPr="00070DFB" w:rsidRDefault="00AB54C2" w:rsidP="00AB54C2">
      <w:pPr>
        <w:spacing w:after="0" w:line="240" w:lineRule="auto"/>
        <w:jc w:val="both"/>
      </w:pPr>
      <w:r w:rsidRPr="00070DFB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AB54C2" w:rsidRPr="00070DFB" w:rsidRDefault="00AB54C2" w:rsidP="00AB54C2">
      <w:pPr>
        <w:spacing w:after="0" w:line="240" w:lineRule="auto"/>
        <w:jc w:val="both"/>
      </w:pPr>
    </w:p>
    <w:p w:rsidR="00AB54C2" w:rsidRPr="00070DFB" w:rsidRDefault="00AB54C2" w:rsidP="00AB54C2">
      <w:pPr>
        <w:spacing w:after="0" w:line="240" w:lineRule="auto"/>
        <w:jc w:val="both"/>
        <w:rPr>
          <w:b/>
        </w:rPr>
      </w:pPr>
      <w:r w:rsidRPr="00070DFB">
        <w:rPr>
          <w:b/>
        </w:rPr>
        <w:t>Specifiche del prodotto finito</w:t>
      </w:r>
    </w:p>
    <w:p w:rsidR="00AB54C2" w:rsidRPr="00070DFB" w:rsidRDefault="00AB54C2" w:rsidP="00AB54C2">
      <w:pPr>
        <w:spacing w:after="0" w:line="240" w:lineRule="auto"/>
        <w:jc w:val="both"/>
      </w:pPr>
      <w:r w:rsidRPr="00070DFB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2D1437">
        <w:t>il</w:t>
      </w:r>
      <w:r w:rsidRPr="00070DFB">
        <w:t xml:space="preserve"> prodotto finito: questi dati dimostrano che i lotti prodotti sono in accordo alle specifiche proposte. Sono stati forniti, infine, certificati analitici per gli standard di riferimento utilizzati.</w:t>
      </w:r>
    </w:p>
    <w:p w:rsidR="00AB54C2" w:rsidRPr="00A14990" w:rsidRDefault="00AB54C2" w:rsidP="00AB54C2">
      <w:pPr>
        <w:spacing w:after="0" w:line="240" w:lineRule="auto"/>
        <w:jc w:val="both"/>
        <w:rPr>
          <w:b/>
          <w:highlight w:val="yellow"/>
        </w:rPr>
      </w:pPr>
    </w:p>
    <w:p w:rsidR="00AB54C2" w:rsidRPr="00070DFB" w:rsidRDefault="00AB54C2" w:rsidP="00AB54C2">
      <w:pPr>
        <w:spacing w:after="0" w:line="240" w:lineRule="auto"/>
        <w:jc w:val="both"/>
        <w:rPr>
          <w:b/>
        </w:rPr>
      </w:pPr>
      <w:r w:rsidRPr="00070DFB">
        <w:rPr>
          <w:b/>
        </w:rPr>
        <w:t>Contenitore</w:t>
      </w:r>
    </w:p>
    <w:p w:rsidR="00AB54C2" w:rsidRPr="00070DFB" w:rsidRDefault="0030600B" w:rsidP="00AB54C2">
      <w:pPr>
        <w:spacing w:after="0" w:line="240" w:lineRule="auto"/>
        <w:jc w:val="both"/>
      </w:pPr>
      <w:proofErr w:type="spellStart"/>
      <w:r w:rsidRPr="00070DFB">
        <w:t>Fenofibrato</w:t>
      </w:r>
      <w:proofErr w:type="spellEnd"/>
      <w:r w:rsidRPr="00070DFB">
        <w:t xml:space="preserve"> EG</w:t>
      </w:r>
      <w:r w:rsidR="00B9671B" w:rsidRPr="00070DFB">
        <w:t xml:space="preserve"> </w:t>
      </w:r>
      <w:r w:rsidR="00AB54C2" w:rsidRPr="00070DFB">
        <w:t>è confezionato in</w:t>
      </w:r>
      <w:r w:rsidR="00E2236C" w:rsidRPr="00070DFB">
        <w:t xml:space="preserve"> blister</w:t>
      </w:r>
      <w:r w:rsidR="00070DFB" w:rsidRPr="00070DFB">
        <w:t xml:space="preserve"> di</w:t>
      </w:r>
      <w:r w:rsidR="00E2236C" w:rsidRPr="00070DFB">
        <w:t xml:space="preserve"> </w:t>
      </w:r>
      <w:r w:rsidR="00AB54C2" w:rsidRPr="00070DFB">
        <w:t>PVC/</w:t>
      </w:r>
      <w:r w:rsidR="00EF5475" w:rsidRPr="00070DFB">
        <w:t>PVDC</w:t>
      </w:r>
      <w:r w:rsidR="00DD27A5" w:rsidRPr="00070DFB">
        <w:t>/Alluminio</w:t>
      </w:r>
      <w:r w:rsidR="00AB54C2" w:rsidRPr="00070DFB">
        <w:t>. Sono state fornite specifiche e certificati analitici per tutti i componenti del confezionamento primario, che è adeguato per il medicinale.</w:t>
      </w:r>
    </w:p>
    <w:p w:rsidR="00AB54C2" w:rsidRPr="00070DFB" w:rsidRDefault="00AB54C2" w:rsidP="00AB54C2">
      <w:pPr>
        <w:spacing w:after="0" w:line="240" w:lineRule="auto"/>
        <w:jc w:val="both"/>
      </w:pPr>
    </w:p>
    <w:p w:rsidR="00AB54C2" w:rsidRPr="00070DFB" w:rsidRDefault="00AB54C2" w:rsidP="00AB54C2">
      <w:pPr>
        <w:spacing w:after="0" w:line="240" w:lineRule="auto"/>
        <w:jc w:val="both"/>
        <w:rPr>
          <w:b/>
        </w:rPr>
      </w:pPr>
      <w:r w:rsidRPr="00070DFB">
        <w:rPr>
          <w:b/>
        </w:rPr>
        <w:t>Stabilità</w:t>
      </w:r>
    </w:p>
    <w:p w:rsidR="00AB54C2" w:rsidRPr="00070DFB" w:rsidRDefault="00AB54C2" w:rsidP="00AB54C2">
      <w:pPr>
        <w:spacing w:after="0" w:line="240" w:lineRule="auto"/>
        <w:jc w:val="both"/>
      </w:pPr>
      <w:r w:rsidRPr="00070DFB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070DFB" w:rsidRPr="00070DFB">
        <w:t>3</w:t>
      </w:r>
      <w:r w:rsidRPr="00070DFB">
        <w:t xml:space="preserve"> anni  senza nessuna condizione particolare di conservazione</w:t>
      </w:r>
    </w:p>
    <w:p w:rsidR="00AB54C2" w:rsidRPr="00070DFB" w:rsidRDefault="00AB54C2" w:rsidP="00AB54C2">
      <w:pPr>
        <w:spacing w:after="0" w:line="240" w:lineRule="auto"/>
        <w:jc w:val="both"/>
      </w:pPr>
    </w:p>
    <w:p w:rsidR="00AB54C2" w:rsidRPr="00070DFB" w:rsidRDefault="00AB54C2" w:rsidP="00AB54C2">
      <w:pPr>
        <w:spacing w:after="0" w:line="240" w:lineRule="auto"/>
        <w:jc w:val="both"/>
        <w:rPr>
          <w:b/>
        </w:rPr>
      </w:pPr>
      <w:r w:rsidRPr="00070DFB">
        <w:rPr>
          <w:b/>
        </w:rPr>
        <w:t>II.3 Discussione sugli aspetti di qualità</w:t>
      </w:r>
    </w:p>
    <w:p w:rsidR="00AB54C2" w:rsidRPr="00070DFB" w:rsidRDefault="00AB54C2" w:rsidP="00AB54C2">
      <w:pPr>
        <w:spacing w:after="0" w:line="240" w:lineRule="auto"/>
        <w:jc w:val="both"/>
      </w:pPr>
      <w:r w:rsidRPr="00070DFB">
        <w:t xml:space="preserve">Tutte le criticità evidenziate nel corso della valutazione sono state risolte e la qualità di </w:t>
      </w:r>
      <w:proofErr w:type="spellStart"/>
      <w:r w:rsidR="0030600B" w:rsidRPr="00070DFB">
        <w:t>Fenofibrato</w:t>
      </w:r>
      <w:proofErr w:type="spellEnd"/>
      <w:r w:rsidR="0030600B" w:rsidRPr="00070DFB">
        <w:t xml:space="preserve"> EG</w:t>
      </w:r>
      <w:r w:rsidR="00B9671B" w:rsidRPr="00070DFB">
        <w:t xml:space="preserve"> </w:t>
      </w:r>
      <w:r w:rsidRPr="00070DFB">
        <w:t xml:space="preserve">è considerata adeguata. Non ci sono obiezioni per l’approvazione di </w:t>
      </w:r>
      <w:proofErr w:type="spellStart"/>
      <w:r w:rsidR="0030600B" w:rsidRPr="00070DFB">
        <w:t>Fenofibrato</w:t>
      </w:r>
      <w:proofErr w:type="spellEnd"/>
      <w:r w:rsidR="0030600B" w:rsidRPr="00070DFB">
        <w:t xml:space="preserve"> EG</w:t>
      </w:r>
      <w:r w:rsidR="00B9671B" w:rsidRPr="00070DFB">
        <w:t xml:space="preserve"> </w:t>
      </w:r>
      <w:r w:rsidRPr="00070DFB">
        <w:t>dal punto di vista chimico-farmaceutico.</w:t>
      </w:r>
    </w:p>
    <w:p w:rsidR="00AB54C2" w:rsidRPr="00A14990" w:rsidRDefault="00AB54C2" w:rsidP="00AB54C2">
      <w:pPr>
        <w:spacing w:after="0" w:line="240" w:lineRule="auto"/>
        <w:jc w:val="both"/>
        <w:rPr>
          <w:highlight w:val="yellow"/>
        </w:rPr>
      </w:pPr>
    </w:p>
    <w:p w:rsidR="00AB54C2" w:rsidRPr="00A14990" w:rsidRDefault="00AB54C2" w:rsidP="00AB54C2">
      <w:pPr>
        <w:spacing w:after="0" w:line="240" w:lineRule="auto"/>
        <w:jc w:val="both"/>
        <w:rPr>
          <w:highlight w:val="yellow"/>
        </w:rPr>
      </w:pPr>
    </w:p>
    <w:p w:rsidR="00AB54C2" w:rsidRPr="00070DFB" w:rsidRDefault="00AB54C2" w:rsidP="00AB54C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070DFB">
        <w:rPr>
          <w:b/>
        </w:rPr>
        <w:t>ASPETTI NON CLINICI</w:t>
      </w:r>
    </w:p>
    <w:p w:rsidR="00AB54C2" w:rsidRPr="00070DFB" w:rsidRDefault="00AB54C2" w:rsidP="00AB54C2">
      <w:pPr>
        <w:spacing w:after="0" w:line="240" w:lineRule="auto"/>
        <w:jc w:val="both"/>
      </w:pPr>
      <w:r w:rsidRPr="00070DFB">
        <w:t xml:space="preserve">Non sono stati condotti specifici studi non clinici, in quanto </w:t>
      </w:r>
      <w:proofErr w:type="spellStart"/>
      <w:r w:rsidR="0030600B" w:rsidRPr="00070DFB">
        <w:t>Fenofibrato</w:t>
      </w:r>
      <w:proofErr w:type="spellEnd"/>
      <w:r w:rsidR="0030600B" w:rsidRPr="00070DFB">
        <w:t xml:space="preserve"> EG</w:t>
      </w:r>
      <w:r w:rsidR="00B9671B" w:rsidRPr="00070DFB">
        <w:t xml:space="preserve"> </w:t>
      </w:r>
      <w:r w:rsidRPr="00070DFB">
        <w:t xml:space="preserve">contiene un principio attivo noto: questo approccio è accettabile poiché il medicinale di riferimento </w:t>
      </w:r>
      <w:proofErr w:type="spellStart"/>
      <w:r w:rsidR="00B40F40" w:rsidRPr="00070DFB">
        <w:t>Fulcrosupra</w:t>
      </w:r>
      <w:proofErr w:type="spellEnd"/>
      <w:r w:rsidRPr="00070DFB">
        <w:t xml:space="preserve"> è autorizzato in Italia da oltre 10 anni.</w:t>
      </w:r>
    </w:p>
    <w:p w:rsidR="00AB54C2" w:rsidRPr="00070DFB" w:rsidRDefault="00AB54C2" w:rsidP="00AB54C2">
      <w:pPr>
        <w:spacing w:after="0" w:line="240" w:lineRule="auto"/>
        <w:jc w:val="both"/>
      </w:pPr>
      <w:r w:rsidRPr="00070DFB">
        <w:t>Non ci sono obiezioni per l’approvazione dal punto di vista non clinico.</w:t>
      </w:r>
    </w:p>
    <w:p w:rsidR="00AB54C2" w:rsidRPr="00070DFB" w:rsidRDefault="00AB54C2" w:rsidP="00AB54C2">
      <w:pPr>
        <w:spacing w:after="0" w:line="240" w:lineRule="auto"/>
        <w:jc w:val="both"/>
      </w:pPr>
    </w:p>
    <w:p w:rsidR="00AB54C2" w:rsidRPr="00070DFB" w:rsidRDefault="00AB54C2" w:rsidP="00AB54C2">
      <w:pPr>
        <w:spacing w:after="0" w:line="240" w:lineRule="auto"/>
        <w:jc w:val="both"/>
      </w:pPr>
    </w:p>
    <w:p w:rsidR="00AB54C2" w:rsidRPr="00070DFB" w:rsidRDefault="00AB54C2" w:rsidP="00AB54C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070DFB">
        <w:rPr>
          <w:b/>
        </w:rPr>
        <w:t>ASPETTI CLINICI</w:t>
      </w:r>
    </w:p>
    <w:p w:rsidR="00AB54C2" w:rsidRPr="00A14990" w:rsidRDefault="00070DFB" w:rsidP="00E2236C">
      <w:pPr>
        <w:spacing w:after="0" w:line="240" w:lineRule="auto"/>
        <w:jc w:val="both"/>
        <w:rPr>
          <w:rFonts w:eastAsia="Times New Roman"/>
          <w:highlight w:val="yellow"/>
          <w:lang w:eastAsia="it-IT"/>
        </w:rPr>
      </w:pPr>
      <w:proofErr w:type="spellStart"/>
      <w:r w:rsidRPr="00CF5597">
        <w:rPr>
          <w:rFonts w:eastAsia="Calibri" w:cs="Calibri"/>
          <w:color w:val="000000"/>
          <w:lang w:eastAsia="it-IT"/>
        </w:rPr>
        <w:t>Fenofibrato</w:t>
      </w:r>
      <w:proofErr w:type="spellEnd"/>
      <w:r w:rsidRPr="00CF5597">
        <w:rPr>
          <w:rFonts w:eastAsia="Calibri" w:cs="Calibri"/>
          <w:color w:val="000000"/>
          <w:lang w:eastAsia="it-IT"/>
        </w:rPr>
        <w:t xml:space="preserve"> EG </w:t>
      </w:r>
      <w:r w:rsidRPr="00CF5597">
        <w:rPr>
          <w:rFonts w:cs="Helvetica"/>
        </w:rPr>
        <w:t>è utilizzato</w:t>
      </w:r>
      <w:r w:rsidRPr="00CF5597">
        <w:rPr>
          <w:rFonts w:eastAsia="Calibri" w:cs="Calibri"/>
          <w:color w:val="000000"/>
          <w:lang w:eastAsia="it-IT"/>
        </w:rPr>
        <w:t xml:space="preserve"> </w:t>
      </w:r>
      <w:r w:rsidRPr="0030600B">
        <w:rPr>
          <w:rFonts w:eastAsia="Calibri" w:cs="Calibri"/>
          <w:color w:val="000000"/>
          <w:lang w:eastAsia="it-IT"/>
        </w:rPr>
        <w:t xml:space="preserve">negli adulti </w:t>
      </w:r>
      <w:r>
        <w:rPr>
          <w:rFonts w:eastAsia="Calibri" w:cs="Calibri"/>
          <w:color w:val="000000"/>
          <w:lang w:eastAsia="it-IT"/>
        </w:rPr>
        <w:t>per il t</w:t>
      </w:r>
      <w:r w:rsidRPr="0030600B">
        <w:rPr>
          <w:iCs/>
          <w:color w:val="000000"/>
        </w:rPr>
        <w:t>rattamento dell’</w:t>
      </w:r>
      <w:proofErr w:type="spellStart"/>
      <w:r w:rsidRPr="0030600B">
        <w:rPr>
          <w:iCs/>
          <w:color w:val="000000"/>
        </w:rPr>
        <w:t>ipertrigliceridemia</w:t>
      </w:r>
      <w:proofErr w:type="spellEnd"/>
      <w:r w:rsidRPr="0030600B">
        <w:rPr>
          <w:iCs/>
          <w:color w:val="000000"/>
        </w:rPr>
        <w:t xml:space="preserve"> grave con o senza bassi livelli di colesterolo HDL</w:t>
      </w:r>
      <w:r>
        <w:rPr>
          <w:iCs/>
          <w:color w:val="000000"/>
        </w:rPr>
        <w:t>; dell’</w:t>
      </w:r>
      <w:proofErr w:type="spellStart"/>
      <w:r>
        <w:rPr>
          <w:iCs/>
          <w:color w:val="000000"/>
        </w:rPr>
        <w:t>i</w:t>
      </w:r>
      <w:r w:rsidRPr="0030600B">
        <w:rPr>
          <w:iCs/>
          <w:color w:val="000000"/>
        </w:rPr>
        <w:t>perlipidemia</w:t>
      </w:r>
      <w:proofErr w:type="spellEnd"/>
      <w:r w:rsidRPr="0030600B">
        <w:rPr>
          <w:iCs/>
          <w:color w:val="000000"/>
        </w:rPr>
        <w:t xml:space="preserve"> mista quando una statina è controindicata o non tollerata</w:t>
      </w:r>
      <w:r>
        <w:rPr>
          <w:iCs/>
          <w:color w:val="000000"/>
        </w:rPr>
        <w:t>; dell’</w:t>
      </w:r>
      <w:proofErr w:type="spellStart"/>
      <w:r>
        <w:rPr>
          <w:iCs/>
          <w:color w:val="000000"/>
        </w:rPr>
        <w:t>i</w:t>
      </w:r>
      <w:r w:rsidRPr="0030600B">
        <w:rPr>
          <w:iCs/>
          <w:color w:val="000000"/>
        </w:rPr>
        <w:t>perlipidemia</w:t>
      </w:r>
      <w:proofErr w:type="spellEnd"/>
      <w:r w:rsidRPr="0030600B">
        <w:rPr>
          <w:iCs/>
          <w:color w:val="000000"/>
        </w:rPr>
        <w:t xml:space="preserve"> mista nei pazienti ad alto rischio cardiovascolare, in aggiunta a una statina, quando i livelli di trigliceridi e di colesterolo HDL non sono adeguatamente controllati.</w:t>
      </w:r>
    </w:p>
    <w:p w:rsidR="00070DFB" w:rsidRDefault="00070DFB" w:rsidP="00AB54C2">
      <w:pPr>
        <w:spacing w:after="0" w:line="240" w:lineRule="auto"/>
        <w:ind w:right="6"/>
        <w:jc w:val="both"/>
        <w:rPr>
          <w:b/>
          <w:highlight w:val="yellow"/>
        </w:rPr>
      </w:pPr>
    </w:p>
    <w:p w:rsidR="00AB54C2" w:rsidRPr="00070DFB" w:rsidRDefault="00AB54C2" w:rsidP="00AB54C2">
      <w:pPr>
        <w:spacing w:after="0" w:line="240" w:lineRule="auto"/>
        <w:ind w:right="6"/>
        <w:jc w:val="both"/>
        <w:rPr>
          <w:b/>
        </w:rPr>
      </w:pPr>
      <w:r w:rsidRPr="00070DFB">
        <w:rPr>
          <w:b/>
        </w:rPr>
        <w:t>Posologia e modalità di somministrazione</w:t>
      </w:r>
    </w:p>
    <w:p w:rsidR="00AB54C2" w:rsidRPr="00070DFB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070DFB">
        <w:t>Le informazioni sulla posologia e sulle modalità di somministrazione sono riportate nel Riassunto delle Caratteristiche del Prodotto pubblicato sul sito dell’Agenzia Italiana del Farmaco - AIFA /</w:t>
      </w:r>
      <w:r w:rsidRPr="00070DFB">
        <w:rPr>
          <w:rFonts w:eastAsia="Calibri" w:cs="Calibri"/>
          <w:lang w:eastAsia="it-IT"/>
        </w:rPr>
        <w:t>(</w:t>
      </w:r>
      <w:hyperlink r:id="rId10" w:history="1">
        <w:r w:rsidRPr="00070DFB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070DFB">
        <w:rPr>
          <w:rFonts w:eastAsia="Calibri" w:cs="Calibri"/>
          <w:lang w:eastAsia="it-IT"/>
        </w:rPr>
        <w:t>).</w:t>
      </w:r>
    </w:p>
    <w:p w:rsidR="00AB54C2" w:rsidRPr="00070DFB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B54C2" w:rsidRPr="00070DFB" w:rsidRDefault="00AB54C2" w:rsidP="00AB54C2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070DFB">
        <w:rPr>
          <w:rFonts w:eastAsia="Calibri" w:cs="Calibri"/>
          <w:b/>
          <w:lang w:eastAsia="it-IT"/>
        </w:rPr>
        <w:t>Tossicologia</w:t>
      </w:r>
    </w:p>
    <w:p w:rsidR="00AB54C2" w:rsidRPr="00070DFB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070DFB">
        <w:rPr>
          <w:rFonts w:eastAsia="Calibri" w:cs="Calibri"/>
          <w:lang w:eastAsia="it-IT"/>
        </w:rPr>
        <w:t xml:space="preserve">La tossicologia di </w:t>
      </w:r>
      <w:proofErr w:type="spellStart"/>
      <w:r w:rsidR="0030600B" w:rsidRPr="00070DFB">
        <w:t>fenofibrato</w:t>
      </w:r>
      <w:proofErr w:type="spellEnd"/>
      <w:r w:rsidRPr="00070DFB">
        <w:t xml:space="preserve"> </w:t>
      </w:r>
      <w:r w:rsidRPr="00070DFB">
        <w:rPr>
          <w:rFonts w:eastAsia="Calibri" w:cs="Calibri"/>
          <w:lang w:eastAsia="it-IT"/>
        </w:rPr>
        <w:t>è ben conosciuta; non è stato necessario presentare ulteriori dati.</w:t>
      </w:r>
    </w:p>
    <w:p w:rsidR="00AB54C2" w:rsidRPr="00070DFB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B54C2" w:rsidRPr="00070DFB" w:rsidRDefault="00AB54C2" w:rsidP="00AB54C2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070DFB">
        <w:rPr>
          <w:rFonts w:eastAsia="Times New Roman" w:cs="Times New Roman"/>
          <w:b/>
        </w:rPr>
        <w:t>Farmacologia clinica</w:t>
      </w:r>
    </w:p>
    <w:p w:rsidR="00AB54C2" w:rsidRPr="00070DFB" w:rsidRDefault="00AB54C2" w:rsidP="00AB54C2">
      <w:pPr>
        <w:spacing w:after="0" w:line="240" w:lineRule="auto"/>
        <w:jc w:val="both"/>
      </w:pPr>
      <w:r w:rsidRPr="00070DFB">
        <w:rPr>
          <w:rFonts w:eastAsia="Calibri" w:cs="Calibri"/>
          <w:lang w:eastAsia="it-IT"/>
        </w:rPr>
        <w:t xml:space="preserve">La farmacologia clinica di </w:t>
      </w:r>
      <w:proofErr w:type="spellStart"/>
      <w:r w:rsidR="0030600B" w:rsidRPr="00070DFB">
        <w:t>fenofibrato</w:t>
      </w:r>
      <w:proofErr w:type="spellEnd"/>
      <w:r w:rsidRPr="00070DFB">
        <w:t xml:space="preserve"> </w:t>
      </w:r>
      <w:r w:rsidRPr="00070DFB">
        <w:rPr>
          <w:rFonts w:eastAsia="Calibri" w:cs="Calibri"/>
          <w:lang w:eastAsia="it-IT"/>
        </w:rPr>
        <w:t>è ben conosciuta.</w:t>
      </w:r>
      <w:r w:rsidRPr="00070DFB">
        <w:t xml:space="preserve"> Con l’eccezione dello studio di bioequivalenza, non sono stati condotti nuovi studi clinici di farmacodinamica e farmacocinetica, in quanto </w:t>
      </w:r>
      <w:proofErr w:type="spellStart"/>
      <w:r w:rsidR="0030600B" w:rsidRPr="00070DFB">
        <w:t>Fenofibrato</w:t>
      </w:r>
      <w:proofErr w:type="spellEnd"/>
      <w:r w:rsidR="0030600B" w:rsidRPr="00070DFB">
        <w:t xml:space="preserve"> EG</w:t>
      </w:r>
      <w:r w:rsidR="00B9671B" w:rsidRPr="00070DFB">
        <w:t xml:space="preserve"> </w:t>
      </w:r>
      <w:r w:rsidRPr="00070DFB">
        <w:t xml:space="preserve">contiene un principio attivo noto e presente nel medicinale </w:t>
      </w:r>
      <w:proofErr w:type="spellStart"/>
      <w:r w:rsidR="00B40F40" w:rsidRPr="00070DFB">
        <w:t>Fulcrosupra</w:t>
      </w:r>
      <w:proofErr w:type="spellEnd"/>
      <w:r w:rsidRPr="00070DFB">
        <w:t xml:space="preserve"> autorizzato in Italia da più di 10 anni.</w:t>
      </w:r>
    </w:p>
    <w:p w:rsidR="00AB54C2" w:rsidRPr="00A14990" w:rsidRDefault="00AB54C2" w:rsidP="00AB54C2">
      <w:pPr>
        <w:spacing w:after="0" w:line="240" w:lineRule="auto"/>
        <w:jc w:val="both"/>
        <w:rPr>
          <w:highlight w:val="yellow"/>
        </w:rPr>
      </w:pPr>
    </w:p>
    <w:p w:rsidR="00AB54C2" w:rsidRPr="00070DFB" w:rsidRDefault="00AB54C2" w:rsidP="00AB54C2">
      <w:pPr>
        <w:spacing w:after="0" w:line="240" w:lineRule="auto"/>
        <w:jc w:val="both"/>
        <w:rPr>
          <w:b/>
        </w:rPr>
      </w:pPr>
      <w:r w:rsidRPr="00070DFB">
        <w:rPr>
          <w:b/>
        </w:rPr>
        <w:t>Studio di bioequivalenza</w:t>
      </w:r>
    </w:p>
    <w:p w:rsidR="009F16FA" w:rsidRPr="000E6589" w:rsidRDefault="009F16FA" w:rsidP="009F16FA">
      <w:pPr>
        <w:spacing w:after="0" w:line="240" w:lineRule="auto"/>
        <w:jc w:val="both"/>
      </w:pPr>
      <w:r w:rsidRPr="000E6589">
        <w:t xml:space="preserve">La richiesta di AIC è supportata </w:t>
      </w:r>
      <w:r w:rsidR="00B44898" w:rsidRPr="000E6589">
        <w:t xml:space="preserve">da </w:t>
      </w:r>
      <w:r w:rsidR="000E6589" w:rsidRPr="000E6589">
        <w:t>uno</w:t>
      </w:r>
      <w:r w:rsidR="00B44898" w:rsidRPr="000E6589">
        <w:t xml:space="preserve"> studi</w:t>
      </w:r>
      <w:r w:rsidR="000E6589" w:rsidRPr="000E6589">
        <w:t>o</w:t>
      </w:r>
      <w:r w:rsidRPr="000E6589">
        <w:t xml:space="preserve"> di bioequivalenza</w:t>
      </w:r>
      <w:r w:rsidR="00B44898" w:rsidRPr="000E6589">
        <w:t xml:space="preserve"> </w:t>
      </w:r>
      <w:r w:rsidRPr="000E6589">
        <w:t xml:space="preserve">che ha confrontato i profili farmacocinetici di </w:t>
      </w:r>
      <w:proofErr w:type="spellStart"/>
      <w:r w:rsidR="0030600B" w:rsidRPr="000E6589">
        <w:t>Fenofibrato</w:t>
      </w:r>
      <w:proofErr w:type="spellEnd"/>
      <w:r w:rsidR="0030600B" w:rsidRPr="000E6589">
        <w:t xml:space="preserve"> EG</w:t>
      </w:r>
      <w:r w:rsidR="00B9671B" w:rsidRPr="000E6589">
        <w:t xml:space="preserve"> </w:t>
      </w:r>
      <w:r w:rsidRPr="000E6589">
        <w:t xml:space="preserve">e quelli del medicinale </w:t>
      </w:r>
      <w:proofErr w:type="spellStart"/>
      <w:r w:rsidR="00BF51B2">
        <w:rPr>
          <w:rFonts w:cs="Arial"/>
        </w:rPr>
        <w:t>Lipanthyl</w:t>
      </w:r>
      <w:proofErr w:type="spellEnd"/>
      <w:r w:rsidR="00BF51B2" w:rsidRPr="00B40F40">
        <w:rPr>
          <w:rFonts w:cs="Arial"/>
        </w:rPr>
        <w:t xml:space="preserve"> </w:t>
      </w:r>
      <w:r w:rsidR="00BF51B2">
        <w:rPr>
          <w:rFonts w:cs="Arial"/>
        </w:rPr>
        <w:t xml:space="preserve">(medicinale autorizzato in Francia, corrispondente al medicinale </w:t>
      </w:r>
      <w:r w:rsidR="00BF51B2" w:rsidRPr="00B40F40">
        <w:rPr>
          <w:rFonts w:cs="Arial"/>
        </w:rPr>
        <w:t xml:space="preserve">di riferimento </w:t>
      </w:r>
      <w:proofErr w:type="spellStart"/>
      <w:r w:rsidR="00BF51B2">
        <w:rPr>
          <w:rFonts w:cs="Arial"/>
        </w:rPr>
        <w:t>Fulcrosupra</w:t>
      </w:r>
      <w:proofErr w:type="spellEnd"/>
      <w:r w:rsidR="00BF51B2">
        <w:rPr>
          <w:rFonts w:cs="Arial"/>
        </w:rPr>
        <w:t xml:space="preserve"> autorizzato in Italia)</w:t>
      </w:r>
      <w:r w:rsidR="00BF51B2" w:rsidRPr="00B40F40">
        <w:rPr>
          <w:rFonts w:cs="Arial"/>
        </w:rPr>
        <w:t>.</w:t>
      </w:r>
    </w:p>
    <w:p w:rsidR="009F16FA" w:rsidRPr="000E6589" w:rsidRDefault="000E6589" w:rsidP="009F16FA">
      <w:pPr>
        <w:pStyle w:val="Paragrafoelenco"/>
        <w:spacing w:after="0" w:line="240" w:lineRule="auto"/>
        <w:ind w:left="0"/>
        <w:jc w:val="both"/>
      </w:pPr>
      <w:r w:rsidRPr="000E6589">
        <w:t>Lo s</w:t>
      </w:r>
      <w:r w:rsidR="00B44898" w:rsidRPr="000E6589">
        <w:t>tudi</w:t>
      </w:r>
      <w:r w:rsidRPr="000E6589">
        <w:t>o</w:t>
      </w:r>
      <w:r w:rsidR="009F16FA" w:rsidRPr="000E6589">
        <w:t xml:space="preserve"> era caratterizzat</w:t>
      </w:r>
      <w:r w:rsidR="00674059">
        <w:t xml:space="preserve">o </w:t>
      </w:r>
      <w:r w:rsidR="009F16FA" w:rsidRPr="000E6589">
        <w:t>da un appropriato disegno e</w:t>
      </w:r>
      <w:r w:rsidRPr="000E6589">
        <w:t xml:space="preserve">d è </w:t>
      </w:r>
      <w:r w:rsidR="009F16FA" w:rsidRPr="000E6589">
        <w:t>stat</w:t>
      </w:r>
      <w:r w:rsidRPr="000E6589">
        <w:t>o</w:t>
      </w:r>
      <w:r w:rsidR="009F16FA" w:rsidRPr="000E6589">
        <w:t xml:space="preserve"> condott</w:t>
      </w:r>
      <w:r w:rsidRPr="000E6589">
        <w:t>o</w:t>
      </w:r>
      <w:r w:rsidR="009F16FA" w:rsidRPr="000E6589">
        <w:t xml:space="preserve"> in accordo ai principi GCP. Sono stati forniti certificati analitici per medicinale test e medicinale di riferimento.</w:t>
      </w:r>
    </w:p>
    <w:p w:rsidR="009F16FA" w:rsidRPr="000E6589" w:rsidRDefault="009F16FA" w:rsidP="00B44898">
      <w:pPr>
        <w:spacing w:after="0" w:line="240" w:lineRule="auto"/>
        <w:jc w:val="both"/>
        <w:rPr>
          <w:rFonts w:cs="Arial"/>
        </w:rPr>
      </w:pPr>
      <w:r w:rsidRPr="000E6589">
        <w:t xml:space="preserve">Lo studio di bioequivalenza è uno studio comparativo, </w:t>
      </w:r>
      <w:r w:rsidR="00DD27A5" w:rsidRPr="000E6589">
        <w:t>aperto</w:t>
      </w:r>
      <w:r w:rsidRPr="000E6589">
        <w:t>,  randomizzato, a dose singola (</w:t>
      </w:r>
      <w:r w:rsidR="000E6589" w:rsidRPr="000E6589">
        <w:t>145</w:t>
      </w:r>
      <w:r w:rsidRPr="000E6589">
        <w:t xml:space="preserve"> mg), 2-periodi, crossover condotto in </w:t>
      </w:r>
      <w:r w:rsidR="00E2236C" w:rsidRPr="000E6589">
        <w:t xml:space="preserve">32 </w:t>
      </w:r>
      <w:r w:rsidRPr="000E6589">
        <w:t xml:space="preserve">volontari sani di entrambi i sessi con somministrazione a digiuno. </w:t>
      </w:r>
      <w:r w:rsidRPr="000E6589">
        <w:rPr>
          <w:rFonts w:cs="Arial"/>
        </w:rPr>
        <w:t>Dopo una notte di digiuno</w:t>
      </w:r>
      <w:r w:rsidR="00DD27A5" w:rsidRPr="000E6589">
        <w:rPr>
          <w:rFonts w:cs="Arial"/>
        </w:rPr>
        <w:t xml:space="preserve"> (circa 10 ore)</w:t>
      </w:r>
      <w:r w:rsidRPr="000E6589">
        <w:rPr>
          <w:rFonts w:cs="Arial"/>
        </w:rPr>
        <w:t>, il medicinale è stato somministrato con acqua</w:t>
      </w:r>
      <w:r w:rsidR="00DD27A5" w:rsidRPr="000E6589">
        <w:rPr>
          <w:rFonts w:cs="Arial"/>
        </w:rPr>
        <w:t>; il digiuno è proseguito per altre 4 ore dopo la somministrazione</w:t>
      </w:r>
      <w:r w:rsidRPr="000E6589">
        <w:rPr>
          <w:rFonts w:cs="Arial"/>
        </w:rPr>
        <w:t xml:space="preserve">. </w:t>
      </w:r>
      <w:r w:rsidRPr="000E6589">
        <w:t xml:space="preserve">Un soddisfacente periodo di wash-out di </w:t>
      </w:r>
      <w:r w:rsidR="000E6589">
        <w:rPr>
          <w:rFonts w:cs="Arial"/>
        </w:rPr>
        <w:t>21</w:t>
      </w:r>
      <w:r w:rsidRPr="000E6589">
        <w:rPr>
          <w:rFonts w:cs="Arial"/>
        </w:rPr>
        <w:t xml:space="preserve"> giorni è stato previsto tra le somministrazioni in ogni gruppo.</w:t>
      </w:r>
    </w:p>
    <w:p w:rsidR="009F16FA" w:rsidRPr="000E6589" w:rsidRDefault="009F16FA" w:rsidP="00B44898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0E6589">
        <w:rPr>
          <w:rFonts w:cs="Arial"/>
        </w:rPr>
        <w:lastRenderedPageBreak/>
        <w:t>Campioni di sangue sono stati prelevati al tempo zero (</w:t>
      </w:r>
      <w:proofErr w:type="spellStart"/>
      <w:r w:rsidRPr="000E6589">
        <w:rPr>
          <w:rFonts w:cs="Arial"/>
        </w:rPr>
        <w:t>pre-dose</w:t>
      </w:r>
      <w:proofErr w:type="spellEnd"/>
      <w:r w:rsidRPr="000E6589">
        <w:rPr>
          <w:rFonts w:cs="Arial"/>
        </w:rPr>
        <w:t xml:space="preserve">) e a specificati tempi fino a </w:t>
      </w:r>
      <w:r w:rsidR="000E6589" w:rsidRPr="000E6589">
        <w:rPr>
          <w:rFonts w:cs="Arial"/>
        </w:rPr>
        <w:t xml:space="preserve">96 </w:t>
      </w:r>
      <w:r w:rsidRPr="000E6589">
        <w:rPr>
          <w:rFonts w:cs="Arial"/>
        </w:rPr>
        <w:t xml:space="preserve">ore dopo la somministrazione. I livelli plasmatici </w:t>
      </w:r>
      <w:r w:rsidR="009469B6" w:rsidRPr="000E6589">
        <w:rPr>
          <w:rFonts w:cs="Arial"/>
        </w:rPr>
        <w:t xml:space="preserve">di </w:t>
      </w:r>
      <w:proofErr w:type="spellStart"/>
      <w:r w:rsidR="0030600B" w:rsidRPr="000E6589">
        <w:rPr>
          <w:rFonts w:cs="Arial"/>
        </w:rPr>
        <w:t>fenofibrato</w:t>
      </w:r>
      <w:proofErr w:type="spellEnd"/>
      <w:r w:rsidRPr="000E6589">
        <w:rPr>
          <w:rFonts w:cs="Arial"/>
        </w:rPr>
        <w:t xml:space="preserve"> sono stati determinati mediante un metodo analitico HPLC-</w:t>
      </w:r>
      <w:r w:rsidR="00717132">
        <w:rPr>
          <w:rFonts w:cs="Arial"/>
        </w:rPr>
        <w:t>UV</w:t>
      </w:r>
      <w:r w:rsidRPr="000E6589">
        <w:rPr>
          <w:rFonts w:cs="Arial"/>
        </w:rPr>
        <w:t xml:space="preserve"> opportunamente convalidato.</w:t>
      </w:r>
    </w:p>
    <w:p w:rsidR="009F16FA" w:rsidRPr="00717132" w:rsidRDefault="009F16FA" w:rsidP="00B44898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717132">
        <w:rPr>
          <w:rFonts w:cs="Arial"/>
        </w:rPr>
        <w:t xml:space="preserve">Le variabili farmacocinetiche definite sono state: </w:t>
      </w:r>
      <w:r w:rsidR="00E2236C" w:rsidRPr="00717132">
        <w:rPr>
          <w:rFonts w:ascii="Calibri" w:eastAsia="MS Mincho" w:hAnsi="Calibri"/>
          <w:color w:val="000000"/>
        </w:rPr>
        <w:t>AUC</w:t>
      </w:r>
      <w:r w:rsidR="00E2236C" w:rsidRPr="00717132">
        <w:rPr>
          <w:rFonts w:ascii="Calibri" w:eastAsia="MS Mincho" w:hAnsi="Calibri"/>
          <w:color w:val="000000"/>
          <w:vertAlign w:val="subscript"/>
        </w:rPr>
        <w:t>0-t</w:t>
      </w:r>
      <w:r w:rsidR="00717132" w:rsidRPr="00717132">
        <w:rPr>
          <w:rFonts w:ascii="Calibri" w:eastAsia="MS Mincho" w:hAnsi="Calibri"/>
          <w:color w:val="000000"/>
        </w:rPr>
        <w:t xml:space="preserve">, </w:t>
      </w:r>
      <w:r w:rsidR="00E2236C" w:rsidRPr="00717132">
        <w:rPr>
          <w:rFonts w:ascii="Calibri" w:eastAsia="MS Mincho" w:hAnsi="Calibri"/>
          <w:color w:val="000000"/>
        </w:rPr>
        <w:t>AUC</w:t>
      </w:r>
      <w:r w:rsidR="00E2236C" w:rsidRPr="00717132">
        <w:rPr>
          <w:rFonts w:ascii="Calibri" w:eastAsia="MS Mincho" w:hAnsi="Calibri"/>
          <w:color w:val="000000"/>
          <w:vertAlign w:val="subscript"/>
        </w:rPr>
        <w:t>0-</w:t>
      </w:r>
      <w:r w:rsidR="00E2236C" w:rsidRPr="00717132">
        <w:rPr>
          <w:rFonts w:ascii="Calibri" w:hAnsi="Calibri"/>
          <w:color w:val="000000"/>
          <w:vertAlign w:val="subscript"/>
        </w:rPr>
        <w:sym w:font="Symbol" w:char="F0A5"/>
      </w:r>
      <w:r w:rsidR="00E2236C" w:rsidRPr="00717132">
        <w:rPr>
          <w:rFonts w:ascii="Calibri" w:eastAsia="MS Mincho" w:hAnsi="Calibri"/>
          <w:color w:val="000000"/>
        </w:rPr>
        <w:t xml:space="preserve">, </w:t>
      </w:r>
      <w:proofErr w:type="spellStart"/>
      <w:r w:rsidR="00E2236C" w:rsidRPr="00717132">
        <w:rPr>
          <w:rFonts w:ascii="Calibri" w:eastAsia="MS Mincho" w:hAnsi="Calibri"/>
          <w:color w:val="000000"/>
        </w:rPr>
        <w:t>C</w:t>
      </w:r>
      <w:r w:rsidR="00E2236C" w:rsidRPr="00717132">
        <w:rPr>
          <w:rFonts w:ascii="Calibri" w:eastAsia="MS Mincho" w:hAnsi="Calibri"/>
          <w:color w:val="000000"/>
          <w:vertAlign w:val="subscript"/>
        </w:rPr>
        <w:t>max</w:t>
      </w:r>
      <w:proofErr w:type="spellEnd"/>
      <w:r w:rsidR="00E2236C" w:rsidRPr="00717132">
        <w:rPr>
          <w:rFonts w:ascii="Calibri" w:eastAsia="MS Mincho" w:hAnsi="Calibri"/>
          <w:color w:val="000000"/>
        </w:rPr>
        <w:t>,</w:t>
      </w:r>
      <w:r w:rsidR="00717132" w:rsidRPr="00717132">
        <w:rPr>
          <w:rFonts w:ascii="Calibri" w:eastAsia="MS Mincho" w:hAnsi="Calibri"/>
          <w:color w:val="000000"/>
        </w:rPr>
        <w:t xml:space="preserve">, area residua, </w:t>
      </w:r>
      <w:proofErr w:type="spellStart"/>
      <w:r w:rsidR="00E2236C" w:rsidRPr="00717132">
        <w:rPr>
          <w:rFonts w:ascii="Calibri" w:eastAsia="MS Mincho" w:hAnsi="Calibri"/>
          <w:color w:val="000000"/>
        </w:rPr>
        <w:t>t</w:t>
      </w:r>
      <w:r w:rsidR="00E2236C" w:rsidRPr="00717132">
        <w:rPr>
          <w:rFonts w:ascii="Calibri" w:eastAsia="MS Mincho" w:hAnsi="Calibri"/>
          <w:color w:val="000000"/>
          <w:vertAlign w:val="subscript"/>
        </w:rPr>
        <w:t>max</w:t>
      </w:r>
      <w:proofErr w:type="spellEnd"/>
      <w:r w:rsidR="00E2236C" w:rsidRPr="00717132">
        <w:rPr>
          <w:rFonts w:ascii="Calibri" w:eastAsia="MS Mincho" w:hAnsi="Calibri"/>
          <w:color w:val="000000"/>
        </w:rPr>
        <w:t xml:space="preserve">, </w:t>
      </w:r>
      <w:proofErr w:type="spellStart"/>
      <w:r w:rsidR="00717132" w:rsidRPr="00717132">
        <w:rPr>
          <w:rFonts w:eastAsia="TimesNewRoman"/>
        </w:rPr>
        <w:t>K</w:t>
      </w:r>
      <w:r w:rsidR="00717132" w:rsidRPr="00717132">
        <w:rPr>
          <w:rFonts w:eastAsia="TimesNewRoman"/>
          <w:vertAlign w:val="subscript"/>
        </w:rPr>
        <w:t>el</w:t>
      </w:r>
      <w:proofErr w:type="spellEnd"/>
      <w:r w:rsidR="00717132" w:rsidRPr="00717132">
        <w:rPr>
          <w:rFonts w:eastAsia="TimesNewRoman"/>
        </w:rPr>
        <w:t xml:space="preserve"> and T</w:t>
      </w:r>
      <w:r w:rsidR="00717132" w:rsidRPr="00717132">
        <w:rPr>
          <w:rFonts w:eastAsia="TimesNewRoman"/>
          <w:vertAlign w:val="subscript"/>
        </w:rPr>
        <w:t>1/2el</w:t>
      </w:r>
      <w:r w:rsidR="00717132" w:rsidRPr="00717132">
        <w:rPr>
          <w:rFonts w:cs="Arial"/>
        </w:rPr>
        <w:t xml:space="preserve">. </w:t>
      </w:r>
      <w:r w:rsidRPr="00717132">
        <w:rPr>
          <w:rFonts w:cs="Arial"/>
        </w:rPr>
        <w:t xml:space="preserve">La bioequivalenza tra medicinale test e medicinale di riferimento è dimostrata se gli intervalli di confidenza al 90% per la trasformata logaritmica di </w:t>
      </w:r>
      <w:proofErr w:type="spellStart"/>
      <w:r w:rsidRPr="00717132">
        <w:rPr>
          <w:rFonts w:cs="Arial"/>
        </w:rPr>
        <w:t>C</w:t>
      </w:r>
      <w:r w:rsidRPr="00717132">
        <w:rPr>
          <w:rFonts w:cs="Arial"/>
          <w:vertAlign w:val="subscript"/>
        </w:rPr>
        <w:t>max</w:t>
      </w:r>
      <w:proofErr w:type="spellEnd"/>
      <w:r w:rsidR="00DD27A5" w:rsidRPr="00717132">
        <w:rPr>
          <w:rFonts w:cs="Arial"/>
        </w:rPr>
        <w:t xml:space="preserve">, </w:t>
      </w:r>
      <w:r w:rsidR="00DD27A5" w:rsidRPr="00717132">
        <w:t>AUC</w:t>
      </w:r>
      <w:r w:rsidR="00DD27A5" w:rsidRPr="00717132">
        <w:rPr>
          <w:vertAlign w:val="subscript"/>
        </w:rPr>
        <w:t>0-∞</w:t>
      </w:r>
      <w:r w:rsidR="00DD27A5" w:rsidRPr="00717132">
        <w:rPr>
          <w:b/>
        </w:rPr>
        <w:t xml:space="preserve"> </w:t>
      </w:r>
      <w:r w:rsidRPr="00717132">
        <w:rPr>
          <w:rFonts w:cs="Arial"/>
        </w:rPr>
        <w:t>e AUC</w:t>
      </w:r>
      <w:r w:rsidRPr="00717132">
        <w:rPr>
          <w:rFonts w:cs="Arial"/>
          <w:vertAlign w:val="subscript"/>
        </w:rPr>
        <w:t>0-t</w:t>
      </w:r>
      <w:r w:rsidRPr="00717132">
        <w:rPr>
          <w:rFonts w:cs="Arial"/>
        </w:rPr>
        <w:t xml:space="preserve"> cadono nel </w:t>
      </w:r>
      <w:proofErr w:type="spellStart"/>
      <w:r w:rsidRPr="00717132">
        <w:rPr>
          <w:rFonts w:cs="Arial"/>
        </w:rPr>
        <w:t>range</w:t>
      </w:r>
      <w:proofErr w:type="spellEnd"/>
      <w:r w:rsidRPr="00717132">
        <w:rPr>
          <w:rFonts w:cs="Arial"/>
        </w:rPr>
        <w:t xml:space="preserve"> di accettabilità di 0.80-1.25 (80%-125%).</w:t>
      </w:r>
    </w:p>
    <w:p w:rsidR="00717132" w:rsidRDefault="00717132" w:rsidP="00B44898">
      <w:pPr>
        <w:pStyle w:val="Paragrafoelenco"/>
        <w:spacing w:after="0" w:line="240" w:lineRule="auto"/>
        <w:ind w:left="0"/>
        <w:jc w:val="both"/>
        <w:rPr>
          <w:u w:val="single"/>
        </w:rPr>
      </w:pPr>
    </w:p>
    <w:p w:rsidR="009F16FA" w:rsidRPr="000E6589" w:rsidRDefault="009F16FA" w:rsidP="00B44898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0E6589">
        <w:rPr>
          <w:u w:val="single"/>
        </w:rPr>
        <w:t>Risultati</w:t>
      </w:r>
    </w:p>
    <w:p w:rsidR="009F16FA" w:rsidRPr="000E6589" w:rsidRDefault="00E2236C" w:rsidP="00B44898">
      <w:pPr>
        <w:spacing w:after="0" w:line="240" w:lineRule="auto"/>
        <w:jc w:val="both"/>
      </w:pPr>
      <w:r w:rsidRPr="000E6589">
        <w:rPr>
          <w:rFonts w:cs="Arial"/>
        </w:rPr>
        <w:t>32</w:t>
      </w:r>
      <w:r w:rsidR="009F16FA" w:rsidRPr="000E6589">
        <w:rPr>
          <w:rFonts w:cs="Arial"/>
        </w:rPr>
        <w:t xml:space="preserve"> volontari sani sono stati arruolati negli studi. </w:t>
      </w:r>
      <w:r w:rsidR="000E6589" w:rsidRPr="000E6589">
        <w:t>31</w:t>
      </w:r>
      <w:r w:rsidR="009F16FA" w:rsidRPr="000E6589">
        <w:t xml:space="preserve"> soggetti hanno completato fase clinica e sono stati analizzati.</w:t>
      </w:r>
    </w:p>
    <w:p w:rsidR="009F16FA" w:rsidRPr="00A14990" w:rsidRDefault="009F16FA" w:rsidP="00B44898">
      <w:pPr>
        <w:pStyle w:val="Paragrafoelenco"/>
        <w:spacing w:after="0" w:line="240" w:lineRule="auto"/>
        <w:ind w:left="0"/>
        <w:jc w:val="both"/>
        <w:rPr>
          <w:rFonts w:cs="Arial"/>
          <w:b/>
          <w:i/>
          <w:highlight w:val="yellow"/>
        </w:rPr>
      </w:pPr>
    </w:p>
    <w:p w:rsidR="009F16FA" w:rsidRPr="00717132" w:rsidRDefault="009F16FA" w:rsidP="00B44898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717132">
        <w:rPr>
          <w:rFonts w:ascii="Calibri" w:hAnsi="Calibri" w:cs="Arial"/>
          <w:b w:val="0"/>
          <w:i/>
          <w:sz w:val="22"/>
          <w:szCs w:val="22"/>
          <w:lang w:val="it-IT"/>
        </w:rPr>
        <w:t>Parametri farmacocinetici</w:t>
      </w:r>
      <w:r w:rsidRPr="00717132">
        <w:rPr>
          <w:rFonts w:ascii="Calibri" w:hAnsi="Calibri" w:cs="Arial"/>
          <w:b w:val="0"/>
          <w:sz w:val="22"/>
          <w:szCs w:val="22"/>
          <w:lang w:val="it-IT"/>
        </w:rPr>
        <w:t xml:space="preserve">. </w:t>
      </w:r>
    </w:p>
    <w:p w:rsidR="009F16FA" w:rsidRPr="00717132" w:rsidRDefault="009F16FA" w:rsidP="00B44898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717132">
        <w:rPr>
          <w:rFonts w:ascii="Calibri" w:hAnsi="Calibr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2B0F72" w:rsidRPr="00A14990" w:rsidRDefault="002B0F72" w:rsidP="009469B6">
      <w:pPr>
        <w:spacing w:after="0" w:line="240" w:lineRule="auto"/>
        <w:rPr>
          <w:highlight w:val="yellow"/>
        </w:rPr>
      </w:pPr>
    </w:p>
    <w:tbl>
      <w:tblPr>
        <w:tblW w:w="44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223"/>
        <w:gridCol w:w="1794"/>
        <w:gridCol w:w="2052"/>
        <w:gridCol w:w="1950"/>
        <w:gridCol w:w="1936"/>
      </w:tblGrid>
      <w:tr w:rsidR="009F16FA" w:rsidRPr="00717132" w:rsidTr="00DD27A5">
        <w:trPr>
          <w:jc w:val="center"/>
        </w:trPr>
        <w:tc>
          <w:tcPr>
            <w:tcW w:w="8955" w:type="dxa"/>
            <w:gridSpan w:val="5"/>
            <w:vAlign w:val="bottom"/>
          </w:tcPr>
          <w:p w:rsidR="009F16FA" w:rsidRPr="00717132" w:rsidRDefault="0030600B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17132">
              <w:rPr>
                <w:b/>
                <w:sz w:val="20"/>
                <w:szCs w:val="20"/>
              </w:rPr>
              <w:t>FENOFIBRATO</w:t>
            </w:r>
            <w:r w:rsidR="009469B6" w:rsidRPr="00717132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9F16FA" w:rsidRPr="00717132" w:rsidTr="00DD27A5">
        <w:trPr>
          <w:jc w:val="center"/>
        </w:trPr>
        <w:tc>
          <w:tcPr>
            <w:tcW w:w="1223" w:type="dxa"/>
            <w:vAlign w:val="bottom"/>
          </w:tcPr>
          <w:p w:rsidR="009F16FA" w:rsidRPr="00717132" w:rsidRDefault="009F16FA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17132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794" w:type="dxa"/>
            <w:vAlign w:val="bottom"/>
          </w:tcPr>
          <w:p w:rsidR="009F16FA" w:rsidRPr="00717132" w:rsidRDefault="009F16FA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17132">
              <w:rPr>
                <w:b/>
                <w:sz w:val="20"/>
                <w:szCs w:val="20"/>
              </w:rPr>
              <w:t xml:space="preserve">Test </w:t>
            </w:r>
            <w:r w:rsidRPr="00717132">
              <w:rPr>
                <w:rFonts w:cs="Arial"/>
                <w:b/>
                <w:sz w:val="20"/>
                <w:szCs w:val="20"/>
              </w:rPr>
              <w:t>[LSM]</w:t>
            </w:r>
          </w:p>
        </w:tc>
        <w:tc>
          <w:tcPr>
            <w:tcW w:w="2052" w:type="dxa"/>
            <w:vAlign w:val="bottom"/>
          </w:tcPr>
          <w:p w:rsidR="009F16FA" w:rsidRPr="00717132" w:rsidRDefault="009F16FA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717132">
              <w:rPr>
                <w:b/>
                <w:sz w:val="20"/>
                <w:szCs w:val="20"/>
              </w:rPr>
              <w:t>Reference</w:t>
            </w:r>
            <w:proofErr w:type="spellEnd"/>
            <w:r w:rsidRPr="00717132">
              <w:rPr>
                <w:b/>
                <w:sz w:val="20"/>
                <w:szCs w:val="20"/>
              </w:rPr>
              <w:t xml:space="preserve"> </w:t>
            </w:r>
            <w:r w:rsidRPr="00717132">
              <w:rPr>
                <w:rFonts w:cs="Arial"/>
                <w:b/>
                <w:sz w:val="20"/>
                <w:szCs w:val="20"/>
              </w:rPr>
              <w:t>[LSM]</w:t>
            </w:r>
          </w:p>
        </w:tc>
        <w:tc>
          <w:tcPr>
            <w:tcW w:w="1950" w:type="dxa"/>
            <w:vAlign w:val="bottom"/>
          </w:tcPr>
          <w:p w:rsidR="009F16FA" w:rsidRPr="00717132" w:rsidRDefault="009F16FA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17132">
              <w:rPr>
                <w:b/>
                <w:sz w:val="20"/>
                <w:szCs w:val="20"/>
              </w:rPr>
              <w:t xml:space="preserve">T/R </w:t>
            </w:r>
            <w:proofErr w:type="spellStart"/>
            <w:r w:rsidRPr="00717132">
              <w:rPr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1936" w:type="dxa"/>
            <w:vAlign w:val="bottom"/>
          </w:tcPr>
          <w:p w:rsidR="009F16FA" w:rsidRPr="00717132" w:rsidRDefault="009F16FA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17132">
              <w:rPr>
                <w:b/>
                <w:sz w:val="20"/>
                <w:szCs w:val="20"/>
              </w:rPr>
              <w:t>90% C.I.</w:t>
            </w:r>
          </w:p>
        </w:tc>
      </w:tr>
      <w:tr w:rsidR="00035778" w:rsidRPr="00717132" w:rsidTr="00B44898">
        <w:trPr>
          <w:trHeight w:hRule="exact" w:val="284"/>
          <w:jc w:val="center"/>
        </w:trPr>
        <w:tc>
          <w:tcPr>
            <w:tcW w:w="1223" w:type="dxa"/>
          </w:tcPr>
          <w:p w:rsidR="00035778" w:rsidRPr="00717132" w:rsidRDefault="00035778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17132">
              <w:rPr>
                <w:b/>
                <w:sz w:val="20"/>
                <w:szCs w:val="20"/>
              </w:rPr>
              <w:t>AUC</w:t>
            </w:r>
            <w:r w:rsidRPr="00717132">
              <w:rPr>
                <w:b/>
                <w:sz w:val="20"/>
                <w:szCs w:val="20"/>
                <w:vertAlign w:val="subscript"/>
              </w:rPr>
              <w:t>0-t</w:t>
            </w:r>
          </w:p>
        </w:tc>
        <w:tc>
          <w:tcPr>
            <w:tcW w:w="1794" w:type="dxa"/>
            <w:vAlign w:val="bottom"/>
          </w:tcPr>
          <w:p w:rsidR="00035778" w:rsidRPr="00717132" w:rsidRDefault="00717132" w:rsidP="00B44898">
            <w:pPr>
              <w:jc w:val="center"/>
              <w:rPr>
                <w:rFonts w:ascii="Calibri" w:hAnsi="Calibri"/>
                <w:sz w:val="20"/>
                <w:szCs w:val="20"/>
                <w:lang w:val="es-ES"/>
              </w:rPr>
            </w:pPr>
            <w:r w:rsidRPr="00717132">
              <w:rPr>
                <w:sz w:val="20"/>
                <w:szCs w:val="20"/>
              </w:rPr>
              <w:t>158551.6</w:t>
            </w:r>
          </w:p>
        </w:tc>
        <w:tc>
          <w:tcPr>
            <w:tcW w:w="2052" w:type="dxa"/>
            <w:vAlign w:val="bottom"/>
          </w:tcPr>
          <w:p w:rsidR="00035778" w:rsidRPr="00717132" w:rsidRDefault="00717132" w:rsidP="00B44898">
            <w:pPr>
              <w:jc w:val="center"/>
              <w:rPr>
                <w:rFonts w:ascii="Calibri" w:hAnsi="Calibri"/>
                <w:sz w:val="20"/>
                <w:szCs w:val="20"/>
                <w:lang w:val="es-ES"/>
              </w:rPr>
            </w:pPr>
            <w:r w:rsidRPr="00717132">
              <w:rPr>
                <w:sz w:val="20"/>
                <w:szCs w:val="20"/>
              </w:rPr>
              <w:t>158026.8</w:t>
            </w:r>
          </w:p>
        </w:tc>
        <w:tc>
          <w:tcPr>
            <w:tcW w:w="1950" w:type="dxa"/>
            <w:vAlign w:val="bottom"/>
          </w:tcPr>
          <w:p w:rsidR="00035778" w:rsidRPr="00717132" w:rsidRDefault="00717132" w:rsidP="00B44898">
            <w:pPr>
              <w:jc w:val="center"/>
              <w:rPr>
                <w:rFonts w:ascii="Calibri" w:hAnsi="Calibri"/>
                <w:sz w:val="20"/>
                <w:szCs w:val="20"/>
                <w:lang w:val="es-ES"/>
              </w:rPr>
            </w:pPr>
            <w:r w:rsidRPr="00717132">
              <w:rPr>
                <w:sz w:val="20"/>
                <w:szCs w:val="20"/>
              </w:rPr>
              <w:t>97.12</w:t>
            </w:r>
          </w:p>
        </w:tc>
        <w:tc>
          <w:tcPr>
            <w:tcW w:w="1936" w:type="dxa"/>
            <w:vAlign w:val="bottom"/>
          </w:tcPr>
          <w:p w:rsidR="00035778" w:rsidRPr="00717132" w:rsidRDefault="00717132" w:rsidP="00B44898">
            <w:pPr>
              <w:jc w:val="center"/>
              <w:rPr>
                <w:rFonts w:ascii="Calibri" w:hAnsi="Calibri"/>
                <w:sz w:val="20"/>
                <w:szCs w:val="20"/>
                <w:lang w:val="es-ES"/>
              </w:rPr>
            </w:pPr>
            <w:r w:rsidRPr="00717132">
              <w:rPr>
                <w:sz w:val="20"/>
                <w:szCs w:val="20"/>
              </w:rPr>
              <w:t>93.72 – 100.65</w:t>
            </w:r>
          </w:p>
        </w:tc>
      </w:tr>
      <w:tr w:rsidR="00035778" w:rsidRPr="00717132" w:rsidTr="00B44898">
        <w:trPr>
          <w:trHeight w:hRule="exact" w:val="284"/>
          <w:jc w:val="center"/>
        </w:trPr>
        <w:tc>
          <w:tcPr>
            <w:tcW w:w="1223" w:type="dxa"/>
          </w:tcPr>
          <w:p w:rsidR="00035778" w:rsidRPr="00717132" w:rsidRDefault="00035778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17132">
              <w:rPr>
                <w:b/>
                <w:sz w:val="20"/>
                <w:szCs w:val="20"/>
              </w:rPr>
              <w:t>AUC</w:t>
            </w:r>
            <w:r w:rsidRPr="00717132">
              <w:rPr>
                <w:b/>
                <w:sz w:val="20"/>
                <w:szCs w:val="20"/>
                <w:vertAlign w:val="subscript"/>
              </w:rPr>
              <w:t>0-∞</w:t>
            </w:r>
          </w:p>
        </w:tc>
        <w:tc>
          <w:tcPr>
            <w:tcW w:w="1794" w:type="dxa"/>
            <w:vAlign w:val="bottom"/>
          </w:tcPr>
          <w:p w:rsidR="00035778" w:rsidRPr="00717132" w:rsidRDefault="00717132" w:rsidP="00B44898">
            <w:pPr>
              <w:jc w:val="center"/>
              <w:rPr>
                <w:rFonts w:ascii="Calibri" w:hAnsi="Calibri"/>
                <w:sz w:val="20"/>
                <w:szCs w:val="20"/>
                <w:lang w:val="es-ES"/>
              </w:rPr>
            </w:pPr>
            <w:r w:rsidRPr="00717132">
              <w:rPr>
                <w:sz w:val="20"/>
                <w:szCs w:val="20"/>
              </w:rPr>
              <w:t>169264.1</w:t>
            </w:r>
          </w:p>
        </w:tc>
        <w:tc>
          <w:tcPr>
            <w:tcW w:w="2052" w:type="dxa"/>
            <w:vAlign w:val="bottom"/>
          </w:tcPr>
          <w:p w:rsidR="00035778" w:rsidRPr="00717132" w:rsidRDefault="00717132" w:rsidP="00B44898">
            <w:pPr>
              <w:jc w:val="center"/>
              <w:rPr>
                <w:rFonts w:ascii="Calibri" w:hAnsi="Calibri"/>
                <w:sz w:val="20"/>
                <w:szCs w:val="20"/>
                <w:lang w:val="es-ES"/>
              </w:rPr>
            </w:pPr>
            <w:r w:rsidRPr="00717132">
              <w:rPr>
                <w:sz w:val="20"/>
                <w:szCs w:val="20"/>
              </w:rPr>
              <w:t>163625.3</w:t>
            </w:r>
          </w:p>
        </w:tc>
        <w:tc>
          <w:tcPr>
            <w:tcW w:w="1950" w:type="dxa"/>
            <w:vAlign w:val="bottom"/>
          </w:tcPr>
          <w:p w:rsidR="00035778" w:rsidRPr="00717132" w:rsidRDefault="00717132" w:rsidP="00B44898">
            <w:pPr>
              <w:jc w:val="center"/>
              <w:rPr>
                <w:rFonts w:ascii="Calibri" w:hAnsi="Calibri"/>
                <w:sz w:val="20"/>
                <w:szCs w:val="20"/>
                <w:lang w:val="es-ES"/>
              </w:rPr>
            </w:pPr>
            <w:r w:rsidRPr="00717132">
              <w:rPr>
                <w:sz w:val="20"/>
                <w:szCs w:val="20"/>
              </w:rPr>
              <w:t>97.96</w:t>
            </w:r>
          </w:p>
        </w:tc>
        <w:tc>
          <w:tcPr>
            <w:tcW w:w="1936" w:type="dxa"/>
            <w:vAlign w:val="bottom"/>
          </w:tcPr>
          <w:p w:rsidR="00035778" w:rsidRPr="00717132" w:rsidRDefault="00717132" w:rsidP="00B44898">
            <w:pPr>
              <w:jc w:val="center"/>
              <w:rPr>
                <w:rFonts w:ascii="Calibri" w:hAnsi="Calibri"/>
                <w:sz w:val="20"/>
                <w:szCs w:val="20"/>
                <w:lang w:val="es-ES"/>
              </w:rPr>
            </w:pPr>
            <w:r w:rsidRPr="00717132">
              <w:rPr>
                <w:sz w:val="20"/>
                <w:szCs w:val="20"/>
              </w:rPr>
              <w:t>93.72 - 102.38</w:t>
            </w:r>
          </w:p>
        </w:tc>
      </w:tr>
      <w:tr w:rsidR="00035778" w:rsidRPr="00717132" w:rsidTr="00B44898">
        <w:trPr>
          <w:trHeight w:hRule="exact" w:val="284"/>
          <w:jc w:val="center"/>
        </w:trPr>
        <w:tc>
          <w:tcPr>
            <w:tcW w:w="1223" w:type="dxa"/>
          </w:tcPr>
          <w:p w:rsidR="00035778" w:rsidRPr="00717132" w:rsidRDefault="00035778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717132">
              <w:rPr>
                <w:b/>
                <w:sz w:val="20"/>
                <w:szCs w:val="20"/>
              </w:rPr>
              <w:t>C</w:t>
            </w:r>
            <w:r w:rsidRPr="00717132">
              <w:rPr>
                <w:b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1794" w:type="dxa"/>
            <w:vAlign w:val="bottom"/>
          </w:tcPr>
          <w:p w:rsidR="00035778" w:rsidRPr="00717132" w:rsidRDefault="00717132" w:rsidP="00B44898">
            <w:pPr>
              <w:jc w:val="center"/>
              <w:rPr>
                <w:rFonts w:ascii="Calibri" w:hAnsi="Calibri"/>
                <w:sz w:val="20"/>
                <w:szCs w:val="20"/>
                <w:lang w:val="es-ES"/>
              </w:rPr>
            </w:pPr>
            <w:r w:rsidRPr="00717132">
              <w:rPr>
                <w:sz w:val="20"/>
                <w:szCs w:val="20"/>
              </w:rPr>
              <w:t>9416.8</w:t>
            </w:r>
          </w:p>
        </w:tc>
        <w:tc>
          <w:tcPr>
            <w:tcW w:w="2052" w:type="dxa"/>
            <w:vAlign w:val="bottom"/>
          </w:tcPr>
          <w:p w:rsidR="00035778" w:rsidRPr="00717132" w:rsidRDefault="00717132" w:rsidP="00B44898">
            <w:pPr>
              <w:jc w:val="center"/>
              <w:rPr>
                <w:rFonts w:ascii="Calibri" w:hAnsi="Calibri"/>
                <w:sz w:val="20"/>
                <w:szCs w:val="20"/>
                <w:lang w:val="es-ES"/>
              </w:rPr>
            </w:pPr>
            <w:r w:rsidRPr="00717132">
              <w:rPr>
                <w:sz w:val="20"/>
                <w:szCs w:val="20"/>
              </w:rPr>
              <w:t>10385.4</w:t>
            </w:r>
          </w:p>
        </w:tc>
        <w:tc>
          <w:tcPr>
            <w:tcW w:w="1950" w:type="dxa"/>
            <w:vAlign w:val="bottom"/>
          </w:tcPr>
          <w:p w:rsidR="00035778" w:rsidRPr="00717132" w:rsidRDefault="00717132" w:rsidP="00B44898">
            <w:pPr>
              <w:jc w:val="center"/>
              <w:rPr>
                <w:rFonts w:ascii="Calibri" w:hAnsi="Calibri"/>
                <w:sz w:val="20"/>
                <w:szCs w:val="20"/>
                <w:lang w:val="es-ES"/>
              </w:rPr>
            </w:pPr>
            <w:r w:rsidRPr="00717132">
              <w:rPr>
                <w:sz w:val="20"/>
                <w:szCs w:val="20"/>
              </w:rPr>
              <w:t>90.43</w:t>
            </w:r>
          </w:p>
        </w:tc>
        <w:tc>
          <w:tcPr>
            <w:tcW w:w="1936" w:type="dxa"/>
            <w:vAlign w:val="bottom"/>
          </w:tcPr>
          <w:p w:rsidR="00035778" w:rsidRPr="00717132" w:rsidRDefault="00717132" w:rsidP="00B44898">
            <w:pPr>
              <w:jc w:val="center"/>
              <w:rPr>
                <w:rFonts w:ascii="Calibri" w:hAnsi="Calibri"/>
                <w:sz w:val="20"/>
                <w:szCs w:val="20"/>
                <w:lang w:val="es-ES"/>
              </w:rPr>
            </w:pPr>
            <w:r w:rsidRPr="00717132">
              <w:rPr>
                <w:sz w:val="20"/>
                <w:szCs w:val="20"/>
              </w:rPr>
              <w:t>85.41 – 95.74</w:t>
            </w:r>
          </w:p>
        </w:tc>
      </w:tr>
    </w:tbl>
    <w:p w:rsidR="009F16FA" w:rsidRPr="00717132" w:rsidRDefault="009F16FA" w:rsidP="009469B6">
      <w:pPr>
        <w:spacing w:after="0" w:line="240" w:lineRule="auto"/>
      </w:pPr>
    </w:p>
    <w:p w:rsidR="00AB54C2" w:rsidRPr="00A14990" w:rsidRDefault="00AB54C2" w:rsidP="00DF53AE">
      <w:pPr>
        <w:spacing w:after="0" w:line="240" w:lineRule="auto"/>
        <w:rPr>
          <w:rFonts w:cs="Arial"/>
        </w:rPr>
      </w:pPr>
      <w:r w:rsidRPr="00A14990">
        <w:rPr>
          <w:rFonts w:cs="Arial"/>
          <w:i/>
        </w:rPr>
        <w:t>Conclusioni sulla bioequivalenza</w:t>
      </w:r>
      <w:r w:rsidRPr="00A14990">
        <w:rPr>
          <w:rFonts w:cs="Arial"/>
        </w:rPr>
        <w:t>.</w:t>
      </w:r>
    </w:p>
    <w:p w:rsidR="00AB54C2" w:rsidRPr="00D1324F" w:rsidRDefault="00AB54C2" w:rsidP="00DF53AE">
      <w:pPr>
        <w:spacing w:after="0" w:line="240" w:lineRule="auto"/>
        <w:jc w:val="both"/>
        <w:rPr>
          <w:rFonts w:cs="Arial"/>
        </w:rPr>
      </w:pPr>
      <w:r w:rsidRPr="00A14990">
        <w:rPr>
          <w:rFonts w:cs="Arial"/>
        </w:rPr>
        <w:t>I risultati de</w:t>
      </w:r>
      <w:r w:rsidR="00717132">
        <w:rPr>
          <w:rFonts w:cs="Arial"/>
        </w:rPr>
        <w:t>llo</w:t>
      </w:r>
      <w:r w:rsidRPr="00A14990">
        <w:rPr>
          <w:rFonts w:cs="Arial"/>
        </w:rPr>
        <w:t xml:space="preserve"> studi</w:t>
      </w:r>
      <w:r w:rsidR="00717132">
        <w:rPr>
          <w:rFonts w:cs="Arial"/>
        </w:rPr>
        <w:t>o</w:t>
      </w:r>
      <w:r w:rsidRPr="00A14990">
        <w:rPr>
          <w:rFonts w:cs="Arial"/>
        </w:rPr>
        <w:t xml:space="preserve"> di bioequivalenza mostra</w:t>
      </w:r>
      <w:r w:rsidR="00674059">
        <w:rPr>
          <w:rFonts w:cs="Arial"/>
        </w:rPr>
        <w:t>no</w:t>
      </w:r>
      <w:r w:rsidRPr="00A14990">
        <w:rPr>
          <w:rFonts w:cs="Arial"/>
        </w:rPr>
        <w:t xml:space="preserve"> che gli intervalli di confidenza dei parametri farmacocinetici studiati cadono nel </w:t>
      </w:r>
      <w:proofErr w:type="spellStart"/>
      <w:r w:rsidRPr="00A14990">
        <w:rPr>
          <w:rFonts w:cs="Arial"/>
        </w:rPr>
        <w:t>range</w:t>
      </w:r>
      <w:proofErr w:type="spellEnd"/>
      <w:r w:rsidRPr="00A14990">
        <w:rPr>
          <w:rFonts w:cs="Arial"/>
        </w:rPr>
        <w:t xml:space="preserve"> di accettabilità di 80-125%, in accordo con le linee guida correnti.</w:t>
      </w:r>
    </w:p>
    <w:p w:rsidR="001D08F6" w:rsidRPr="00D1324F" w:rsidRDefault="001D08F6" w:rsidP="00DF53AE">
      <w:pPr>
        <w:spacing w:after="0" w:line="240" w:lineRule="auto"/>
        <w:jc w:val="both"/>
        <w:rPr>
          <w:rFonts w:cs="Arial"/>
        </w:rPr>
      </w:pPr>
    </w:p>
    <w:p w:rsidR="00AB54C2" w:rsidRPr="000B3C59" w:rsidRDefault="00AB54C2" w:rsidP="00DF53AE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AB54C2" w:rsidRPr="00D1324F" w:rsidRDefault="00AB54C2" w:rsidP="002453A6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 w:rsidR="0030600B">
        <w:rPr>
          <w:rFonts w:cs="Arial"/>
        </w:rPr>
        <w:t>Fenofibrato</w:t>
      </w:r>
      <w:proofErr w:type="spellEnd"/>
      <w:r w:rsidR="0030600B">
        <w:rPr>
          <w:rFonts w:cs="Arial"/>
        </w:rPr>
        <w:t xml:space="preserve"> EG</w:t>
      </w:r>
      <w:r w:rsidR="00B9671B">
        <w:rPr>
          <w:rFonts w:cs="Arial"/>
        </w:rPr>
        <w:t xml:space="preserve"> </w:t>
      </w:r>
      <w:r>
        <w:rPr>
          <w:rFonts w:cs="Arial"/>
        </w:rPr>
        <w:t xml:space="preserve">è ben conosciuto. </w:t>
      </w:r>
    </w:p>
    <w:p w:rsidR="00AB54C2" w:rsidRDefault="00AB54C2" w:rsidP="002453A6">
      <w:pPr>
        <w:pStyle w:val="Paragrafoelenco"/>
        <w:spacing w:after="0" w:line="240" w:lineRule="auto"/>
        <w:ind w:left="0"/>
        <w:jc w:val="both"/>
      </w:pPr>
    </w:p>
    <w:p w:rsidR="00AB54C2" w:rsidRPr="00D1324F" w:rsidRDefault="00AB54C2" w:rsidP="002453A6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proofErr w:type="spellStart"/>
      <w:r w:rsidRPr="00D1324F">
        <w:rPr>
          <w:b/>
          <w:i/>
        </w:rPr>
        <w:t>Risk</w:t>
      </w:r>
      <w:proofErr w:type="spellEnd"/>
      <w:r w:rsidRPr="00D1324F">
        <w:rPr>
          <w:b/>
          <w:i/>
        </w:rPr>
        <w:t xml:space="preserve"> Management </w:t>
      </w:r>
      <w:proofErr w:type="spellStart"/>
      <w:r w:rsidRPr="00D1324F">
        <w:rPr>
          <w:b/>
          <w:i/>
        </w:rPr>
        <w:t>Plan</w:t>
      </w:r>
      <w:proofErr w:type="spellEnd"/>
      <w:r w:rsidRPr="00D1324F">
        <w:rPr>
          <w:b/>
        </w:rPr>
        <w:t xml:space="preserve"> - RMP)</w:t>
      </w:r>
    </w:p>
    <w:p w:rsidR="00AB54C2" w:rsidRPr="00D1324F" w:rsidRDefault="00AB54C2" w:rsidP="002453A6">
      <w:pPr>
        <w:pStyle w:val="Paragrafoelenco"/>
        <w:spacing w:after="0" w:line="240" w:lineRule="auto"/>
        <w:ind w:left="0"/>
        <w:jc w:val="both"/>
      </w:pPr>
      <w:r w:rsidRPr="00D1324F">
        <w:t xml:space="preserve">E’ stato presentato un RMP in accordo a quanto previsto dalla Direttiva 2001/83/EU </w:t>
      </w:r>
      <w:proofErr w:type="spellStart"/>
      <w:r w:rsidRPr="00D1324F">
        <w:t>s.m.i.</w:t>
      </w:r>
      <w:proofErr w:type="spellEnd"/>
      <w:r w:rsidRPr="00D1324F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30600B">
        <w:t>Fenofibrato</w:t>
      </w:r>
      <w:proofErr w:type="spellEnd"/>
      <w:r w:rsidR="0030600B">
        <w:t xml:space="preserve"> EG</w:t>
      </w:r>
      <w:r w:rsidRPr="00D1324F">
        <w:t>.</w:t>
      </w:r>
    </w:p>
    <w:p w:rsidR="003762D3" w:rsidRDefault="003762D3" w:rsidP="002453A6">
      <w:pPr>
        <w:pStyle w:val="Paragrafoelenco"/>
        <w:spacing w:after="0" w:line="240" w:lineRule="auto"/>
        <w:ind w:left="0"/>
        <w:jc w:val="both"/>
      </w:pPr>
      <w:r>
        <w:t>Il riassunto delle problematiche di sicurezza è riportato nella tabella seguente.</w:t>
      </w:r>
    </w:p>
    <w:p w:rsidR="009469B6" w:rsidRDefault="009469B6" w:rsidP="002453A6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8330" w:type="dxa"/>
        <w:jc w:val="center"/>
        <w:tblLook w:val="04A0"/>
      </w:tblPr>
      <w:tblGrid>
        <w:gridCol w:w="3369"/>
        <w:gridCol w:w="4961"/>
      </w:tblGrid>
      <w:tr w:rsidR="00BA0A19" w:rsidRPr="00DF53AE" w:rsidTr="00BA0A19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Pr="00A14990" w:rsidRDefault="00BA0A19">
            <w:pPr>
              <w:pStyle w:val="Paragrafoelenco"/>
              <w:ind w:left="0"/>
              <w:rPr>
                <w:sz w:val="20"/>
                <w:szCs w:val="20"/>
              </w:rPr>
            </w:pPr>
            <w:r w:rsidRPr="00A14990">
              <w:rPr>
                <w:sz w:val="20"/>
                <w:szCs w:val="20"/>
              </w:rPr>
              <w:t>Rischi identificati importanti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90" w:rsidRPr="00A14990" w:rsidRDefault="00A14990" w:rsidP="00A14990">
            <w:pPr>
              <w:autoSpaceDE w:val="0"/>
              <w:autoSpaceDN w:val="0"/>
              <w:adjustRightInd w:val="0"/>
              <w:jc w:val="both"/>
              <w:rPr>
                <w:rFonts w:cs="ArialMT"/>
                <w:sz w:val="20"/>
                <w:szCs w:val="20"/>
              </w:rPr>
            </w:pPr>
            <w:r w:rsidRPr="00A14990">
              <w:rPr>
                <w:rFonts w:cs="ArialMT"/>
                <w:sz w:val="20"/>
                <w:szCs w:val="20"/>
              </w:rPr>
              <w:t>Colelitiasi e colecistite</w:t>
            </w:r>
          </w:p>
          <w:p w:rsidR="00A14990" w:rsidRPr="00A14990" w:rsidRDefault="00A14990" w:rsidP="00A14990">
            <w:pPr>
              <w:autoSpaceDE w:val="0"/>
              <w:autoSpaceDN w:val="0"/>
              <w:adjustRightInd w:val="0"/>
              <w:jc w:val="both"/>
              <w:rPr>
                <w:rFonts w:cs="ArialMT"/>
                <w:sz w:val="20"/>
                <w:szCs w:val="20"/>
              </w:rPr>
            </w:pPr>
            <w:r w:rsidRPr="00A14990">
              <w:rPr>
                <w:rFonts w:cs="ArialMT"/>
                <w:sz w:val="20"/>
                <w:szCs w:val="20"/>
              </w:rPr>
              <w:t>Pancreatite</w:t>
            </w:r>
          </w:p>
          <w:p w:rsidR="00A14990" w:rsidRPr="00A14990" w:rsidRDefault="00A14990" w:rsidP="00A14990">
            <w:pPr>
              <w:autoSpaceDE w:val="0"/>
              <w:autoSpaceDN w:val="0"/>
              <w:adjustRightInd w:val="0"/>
              <w:jc w:val="both"/>
              <w:rPr>
                <w:rFonts w:cs="ArialMT"/>
                <w:sz w:val="20"/>
                <w:szCs w:val="20"/>
              </w:rPr>
            </w:pPr>
            <w:r w:rsidRPr="00A14990">
              <w:rPr>
                <w:rFonts w:cs="ArialMT"/>
                <w:sz w:val="20"/>
                <w:szCs w:val="20"/>
              </w:rPr>
              <w:t>Miopatia/</w:t>
            </w:r>
            <w:proofErr w:type="spellStart"/>
            <w:r w:rsidRPr="00A14990">
              <w:rPr>
                <w:rFonts w:cs="ArialMT"/>
                <w:sz w:val="20"/>
                <w:szCs w:val="20"/>
              </w:rPr>
              <w:t>rabdomiolisi</w:t>
            </w:r>
            <w:proofErr w:type="spellEnd"/>
            <w:r w:rsidRPr="00A14990">
              <w:rPr>
                <w:rFonts w:cs="ArialMT"/>
                <w:sz w:val="20"/>
                <w:szCs w:val="20"/>
              </w:rPr>
              <w:t xml:space="preserve"> soprattutto quando il </w:t>
            </w:r>
            <w:proofErr w:type="spellStart"/>
            <w:r w:rsidRPr="00A14990">
              <w:rPr>
                <w:rFonts w:cs="ArialMT"/>
                <w:sz w:val="20"/>
                <w:szCs w:val="20"/>
              </w:rPr>
              <w:t>fenofibrato</w:t>
            </w:r>
            <w:proofErr w:type="spellEnd"/>
            <w:r w:rsidRPr="00A14990">
              <w:rPr>
                <w:rFonts w:cs="ArialMT"/>
                <w:sz w:val="20"/>
                <w:szCs w:val="20"/>
              </w:rPr>
              <w:t xml:space="preserve"> è assunto contemporaneamente a inibitori delle </w:t>
            </w:r>
            <w:proofErr w:type="spellStart"/>
            <w:r w:rsidRPr="00A14990">
              <w:rPr>
                <w:rFonts w:cs="ArialMT"/>
                <w:sz w:val="20"/>
                <w:szCs w:val="20"/>
              </w:rPr>
              <w:t>HMG-CoA</w:t>
            </w:r>
            <w:proofErr w:type="spellEnd"/>
            <w:r w:rsidRPr="00A14990">
              <w:rPr>
                <w:rFonts w:cs="ArialMT"/>
                <w:sz w:val="20"/>
                <w:szCs w:val="20"/>
              </w:rPr>
              <w:t xml:space="preserve"> reduttasi (statine) e altri fibrati</w:t>
            </w:r>
          </w:p>
          <w:p w:rsidR="00A14990" w:rsidRPr="00A14990" w:rsidRDefault="00A14990" w:rsidP="00A14990">
            <w:pPr>
              <w:autoSpaceDE w:val="0"/>
              <w:autoSpaceDN w:val="0"/>
              <w:adjustRightInd w:val="0"/>
              <w:jc w:val="both"/>
              <w:rPr>
                <w:rFonts w:cs="ArialMT"/>
                <w:sz w:val="20"/>
                <w:szCs w:val="20"/>
              </w:rPr>
            </w:pPr>
            <w:r w:rsidRPr="00A14990">
              <w:rPr>
                <w:rFonts w:cs="ArialMT"/>
                <w:sz w:val="20"/>
                <w:szCs w:val="20"/>
              </w:rPr>
              <w:t xml:space="preserve">Epatiti </w:t>
            </w:r>
          </w:p>
          <w:p w:rsidR="00A14990" w:rsidRPr="00A14990" w:rsidRDefault="00A14990" w:rsidP="00A14990">
            <w:pPr>
              <w:autoSpaceDE w:val="0"/>
              <w:autoSpaceDN w:val="0"/>
              <w:adjustRightInd w:val="0"/>
              <w:jc w:val="both"/>
              <w:rPr>
                <w:rFonts w:cs="ArialMT"/>
                <w:sz w:val="20"/>
                <w:szCs w:val="20"/>
              </w:rPr>
            </w:pPr>
            <w:r w:rsidRPr="00A14990">
              <w:rPr>
                <w:rFonts w:cs="ArialMT"/>
                <w:sz w:val="20"/>
                <w:szCs w:val="20"/>
              </w:rPr>
              <w:t xml:space="preserve">Aumento dei livelli </w:t>
            </w:r>
            <w:proofErr w:type="spellStart"/>
            <w:r w:rsidRPr="00A14990">
              <w:rPr>
                <w:rFonts w:cs="ArialMT"/>
                <w:sz w:val="20"/>
                <w:szCs w:val="20"/>
              </w:rPr>
              <w:t>sierici</w:t>
            </w:r>
            <w:proofErr w:type="spellEnd"/>
            <w:r w:rsidRPr="00A14990">
              <w:rPr>
                <w:rFonts w:cs="ArialMT"/>
                <w:sz w:val="20"/>
                <w:szCs w:val="20"/>
              </w:rPr>
              <w:t xml:space="preserve"> di creatinina</w:t>
            </w:r>
          </w:p>
          <w:p w:rsidR="00A14990" w:rsidRPr="00A14990" w:rsidRDefault="00A14990" w:rsidP="00A14990">
            <w:pPr>
              <w:autoSpaceDE w:val="0"/>
              <w:autoSpaceDN w:val="0"/>
              <w:adjustRightInd w:val="0"/>
              <w:jc w:val="both"/>
              <w:rPr>
                <w:rFonts w:cs="ArialMT"/>
                <w:sz w:val="20"/>
                <w:szCs w:val="20"/>
              </w:rPr>
            </w:pPr>
            <w:r w:rsidRPr="00A14990">
              <w:rPr>
                <w:rFonts w:cs="ArialMT"/>
                <w:sz w:val="20"/>
                <w:szCs w:val="20"/>
              </w:rPr>
              <w:t>Fotosensibilità</w:t>
            </w:r>
          </w:p>
          <w:p w:rsidR="00A14990" w:rsidRPr="00A14990" w:rsidRDefault="00A14990" w:rsidP="00A14990">
            <w:pPr>
              <w:autoSpaceDE w:val="0"/>
              <w:autoSpaceDN w:val="0"/>
              <w:adjustRightInd w:val="0"/>
              <w:jc w:val="both"/>
              <w:rPr>
                <w:rFonts w:cs="ArialMT"/>
                <w:sz w:val="20"/>
                <w:szCs w:val="20"/>
              </w:rPr>
            </w:pPr>
            <w:r w:rsidRPr="00A14990">
              <w:rPr>
                <w:rFonts w:cs="ArialMT"/>
                <w:sz w:val="20"/>
                <w:szCs w:val="20"/>
              </w:rPr>
              <w:t>Tromboembolismo venoso</w:t>
            </w:r>
          </w:p>
          <w:p w:rsidR="00BB12F3" w:rsidRPr="00A14990" w:rsidRDefault="00A14990" w:rsidP="00A14990">
            <w:pPr>
              <w:autoSpaceDE w:val="0"/>
              <w:autoSpaceDN w:val="0"/>
              <w:adjustRightInd w:val="0"/>
              <w:jc w:val="both"/>
              <w:rPr>
                <w:rFonts w:cs="ArialMT"/>
                <w:sz w:val="20"/>
                <w:szCs w:val="20"/>
              </w:rPr>
            </w:pPr>
            <w:r w:rsidRPr="00A14990">
              <w:rPr>
                <w:rFonts w:cs="ArialMT"/>
                <w:sz w:val="20"/>
                <w:szCs w:val="20"/>
              </w:rPr>
              <w:t>Aumento dei livelli di transaminasi</w:t>
            </w:r>
          </w:p>
        </w:tc>
      </w:tr>
      <w:tr w:rsidR="00BA0A19" w:rsidRPr="00BB12F3" w:rsidTr="00BA0A19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Pr="00A14990" w:rsidRDefault="00BA0A19">
            <w:pPr>
              <w:pStyle w:val="Paragrafoelenco"/>
              <w:ind w:left="0"/>
              <w:rPr>
                <w:sz w:val="20"/>
                <w:szCs w:val="20"/>
              </w:rPr>
            </w:pPr>
            <w:r w:rsidRPr="00A14990">
              <w:rPr>
                <w:sz w:val="20"/>
                <w:szCs w:val="20"/>
              </w:rPr>
              <w:t>Rischi potenziali importanti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90" w:rsidRPr="00A14990" w:rsidRDefault="00A14990" w:rsidP="00A14990">
            <w:pPr>
              <w:autoSpaceDE w:val="0"/>
              <w:autoSpaceDN w:val="0"/>
              <w:adjustRightInd w:val="0"/>
              <w:jc w:val="both"/>
              <w:rPr>
                <w:rFonts w:cs="ArialMT"/>
                <w:sz w:val="20"/>
                <w:szCs w:val="20"/>
              </w:rPr>
            </w:pPr>
            <w:r w:rsidRPr="00A14990">
              <w:rPr>
                <w:rFonts w:cs="Arial"/>
                <w:sz w:val="20"/>
                <w:szCs w:val="20"/>
              </w:rPr>
              <w:t xml:space="preserve">Diminuita funzionalità renale quando </w:t>
            </w:r>
            <w:proofErr w:type="spellStart"/>
            <w:r w:rsidRPr="00A14990">
              <w:rPr>
                <w:rFonts w:cs="Arial"/>
                <w:sz w:val="20"/>
                <w:szCs w:val="20"/>
              </w:rPr>
              <w:t>fenofibrato</w:t>
            </w:r>
            <w:proofErr w:type="spellEnd"/>
            <w:r w:rsidRPr="00A14990">
              <w:rPr>
                <w:rFonts w:cs="Arial"/>
                <w:sz w:val="20"/>
                <w:szCs w:val="20"/>
              </w:rPr>
              <w:t xml:space="preserve"> </w:t>
            </w:r>
            <w:r w:rsidRPr="00A14990">
              <w:rPr>
                <w:rFonts w:cs="ArialMT"/>
                <w:sz w:val="20"/>
                <w:szCs w:val="20"/>
              </w:rPr>
              <w:t>è assunto contemporaneamente a ciclosporina</w:t>
            </w:r>
          </w:p>
          <w:p w:rsidR="00440B34" w:rsidRPr="00A14990" w:rsidRDefault="00A14990" w:rsidP="00A14990">
            <w:pPr>
              <w:pStyle w:val="Testodelblocco"/>
              <w:ind w:left="0" w:right="567" w:firstLine="0"/>
              <w:rPr>
                <w:rFonts w:asciiTheme="minorHAnsi" w:hAnsiTheme="minorHAnsi" w:cs="Arial"/>
                <w:sz w:val="20"/>
              </w:rPr>
            </w:pPr>
            <w:r w:rsidRPr="00A14990">
              <w:rPr>
                <w:rFonts w:asciiTheme="minorHAnsi" w:hAnsiTheme="minorHAnsi" w:cs="Arial"/>
                <w:sz w:val="20"/>
              </w:rPr>
              <w:t xml:space="preserve">Aumentato rischio di sanguinamento quando </w:t>
            </w:r>
            <w:proofErr w:type="spellStart"/>
            <w:r w:rsidRPr="00A14990">
              <w:rPr>
                <w:rFonts w:asciiTheme="minorHAnsi" w:hAnsiTheme="minorHAnsi" w:cs="Arial"/>
                <w:sz w:val="20"/>
              </w:rPr>
              <w:t>fenofibrato</w:t>
            </w:r>
            <w:proofErr w:type="spellEnd"/>
            <w:r w:rsidRPr="00A14990">
              <w:rPr>
                <w:rFonts w:asciiTheme="minorHAnsi" w:hAnsiTheme="minorHAnsi" w:cs="Arial"/>
                <w:sz w:val="20"/>
              </w:rPr>
              <w:t xml:space="preserve"> </w:t>
            </w:r>
            <w:r w:rsidRPr="00A14990">
              <w:rPr>
                <w:rFonts w:asciiTheme="minorHAnsi" w:hAnsiTheme="minorHAnsi" w:cs="ArialMT"/>
                <w:sz w:val="20"/>
              </w:rPr>
              <w:t>è assunto contemporaneamente a anticoagulanti orali</w:t>
            </w:r>
          </w:p>
        </w:tc>
      </w:tr>
      <w:tr w:rsidR="00BA0A19" w:rsidRPr="005D2E7E" w:rsidTr="00BA0A19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Pr="00A14990" w:rsidRDefault="00BA0A19">
            <w:pPr>
              <w:pStyle w:val="Paragrafoelenco"/>
              <w:ind w:left="0"/>
              <w:rPr>
                <w:sz w:val="20"/>
                <w:szCs w:val="20"/>
              </w:rPr>
            </w:pPr>
            <w:r w:rsidRPr="00A14990">
              <w:rPr>
                <w:sz w:val="20"/>
                <w:szCs w:val="20"/>
              </w:rPr>
              <w:t xml:space="preserve">Informazioni mancanti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90" w:rsidRPr="00A14990" w:rsidRDefault="00A14990" w:rsidP="00A14990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cs="ArialMT"/>
                <w:b/>
                <w:sz w:val="20"/>
                <w:szCs w:val="20"/>
              </w:rPr>
            </w:pPr>
            <w:r w:rsidRPr="00A14990">
              <w:rPr>
                <w:rFonts w:cs="ArialMT"/>
                <w:sz w:val="20"/>
                <w:szCs w:val="20"/>
              </w:rPr>
              <w:t>Popolazione pediatrica (età inferiore a 18 anni)</w:t>
            </w:r>
          </w:p>
          <w:p w:rsidR="00A14990" w:rsidRPr="00A14990" w:rsidRDefault="00A14990" w:rsidP="00A14990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cs="ArialMT"/>
                <w:sz w:val="20"/>
                <w:szCs w:val="20"/>
              </w:rPr>
            </w:pPr>
            <w:r w:rsidRPr="00A14990">
              <w:rPr>
                <w:rFonts w:cs="ArialMT"/>
                <w:sz w:val="20"/>
                <w:szCs w:val="20"/>
              </w:rPr>
              <w:t>Gravidanza e allattamento</w:t>
            </w:r>
          </w:p>
          <w:p w:rsidR="00440B34" w:rsidRPr="00A14990" w:rsidRDefault="00A14990" w:rsidP="00A14990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cs="ArialMT"/>
                <w:sz w:val="20"/>
                <w:szCs w:val="20"/>
              </w:rPr>
            </w:pPr>
            <w:r w:rsidRPr="00A14990">
              <w:rPr>
                <w:rFonts w:cs="ArialMT"/>
                <w:sz w:val="20"/>
                <w:szCs w:val="20"/>
              </w:rPr>
              <w:t>Pazienti con ridotta funzionalità epatica</w:t>
            </w:r>
          </w:p>
        </w:tc>
      </w:tr>
    </w:tbl>
    <w:p w:rsidR="00BA0A19" w:rsidRPr="005D2E7E" w:rsidRDefault="00BA0A19" w:rsidP="00BA0A19">
      <w:pPr>
        <w:pStyle w:val="Paragrafoelenco"/>
        <w:spacing w:after="0" w:line="240" w:lineRule="auto"/>
        <w:ind w:left="0"/>
        <w:jc w:val="both"/>
      </w:pP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  <w:r w:rsidRPr="009A2805">
        <w:lastRenderedPageBreak/>
        <w:t xml:space="preserve">Azioni </w:t>
      </w:r>
      <w:proofErr w:type="spellStart"/>
      <w:r w:rsidRPr="009A2805">
        <w:t>routinarie</w:t>
      </w:r>
      <w:proofErr w:type="spellEnd"/>
      <w:r w:rsidRPr="009A2805">
        <w:t xml:space="preserve"> di farmacovigilanza e di </w:t>
      </w:r>
      <w:r>
        <w:t>minimizzazione del rischio sono proposte per tutte le problematiche di sicurezza.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</w:p>
    <w:p w:rsidR="00AB54C2" w:rsidRPr="002E4DCB" w:rsidRDefault="00AB54C2" w:rsidP="009469B6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 w:rsidR="0030600B">
        <w:t>Fenofibrato</w:t>
      </w:r>
      <w:proofErr w:type="spellEnd"/>
      <w:r w:rsidR="0030600B">
        <w:t xml:space="preserve"> EG</w:t>
      </w:r>
      <w:r w:rsidR="00B9671B">
        <w:t xml:space="preserve"> </w:t>
      </w:r>
      <w:r>
        <w:t>sono state presentate sufficienti informazioni cliniche.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 w:rsidR="0030600B">
        <w:t>Fenofibrato</w:t>
      </w:r>
      <w:proofErr w:type="spellEnd"/>
      <w:r w:rsidR="0030600B">
        <w:t xml:space="preserve"> EG</w:t>
      </w:r>
      <w:r w:rsidR="00B9671B">
        <w:t xml:space="preserve"> </w:t>
      </w:r>
      <w:r>
        <w:t>è considerato favorevole dal punto di vista clinico.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</w:p>
    <w:p w:rsidR="00AB54C2" w:rsidRPr="002E4DCB" w:rsidRDefault="00AB54C2" w:rsidP="009469B6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AB54C2" w:rsidRDefault="00AB54C2" w:rsidP="009469B6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AB54C2" w:rsidRDefault="00AB54C2" w:rsidP="009469B6">
      <w:pPr>
        <w:spacing w:after="0" w:line="240" w:lineRule="auto"/>
        <w:jc w:val="both"/>
      </w:pPr>
    </w:p>
    <w:p w:rsidR="00BA0A19" w:rsidRDefault="00BA0A19" w:rsidP="009469B6">
      <w:pPr>
        <w:spacing w:after="0" w:line="240" w:lineRule="auto"/>
        <w:jc w:val="both"/>
      </w:pPr>
    </w:p>
    <w:p w:rsidR="00AB54C2" w:rsidRPr="00BC23ED" w:rsidRDefault="00AB54C2" w:rsidP="009469B6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AB54C2" w:rsidRDefault="00AB54C2" w:rsidP="009469B6">
      <w:pPr>
        <w:spacing w:after="0" w:line="240" w:lineRule="auto"/>
        <w:jc w:val="both"/>
      </w:pPr>
      <w:r>
        <w:t xml:space="preserve">La qualità di </w:t>
      </w:r>
      <w:proofErr w:type="spellStart"/>
      <w:r w:rsidR="0030600B">
        <w:t>Fenofibrato</w:t>
      </w:r>
      <w:proofErr w:type="spellEnd"/>
      <w:r w:rsidR="0030600B">
        <w:t xml:space="preserve"> EG</w:t>
      </w:r>
      <w:r w:rsidR="00B9671B">
        <w:t xml:space="preserve"> </w:t>
      </w:r>
      <w:r>
        <w:t>è accettabile e non sono state rilevate criticità da un punto di vista non clinico e clinico.</w:t>
      </w:r>
    </w:p>
    <w:p w:rsidR="00BF51B2" w:rsidRDefault="00AB54C2" w:rsidP="009469B6">
      <w:pPr>
        <w:spacing w:after="0" w:line="240" w:lineRule="auto"/>
        <w:jc w:val="both"/>
        <w:rPr>
          <w:rFonts w:cs="Arial"/>
        </w:rPr>
      </w:pPr>
      <w:r>
        <w:t xml:space="preserve">Lo studio di bioequivalenza e le sue conclusioni confermano che </w:t>
      </w:r>
      <w:proofErr w:type="spellStart"/>
      <w:r w:rsidR="0030600B">
        <w:t>Fenofibrato</w:t>
      </w:r>
      <w:proofErr w:type="spellEnd"/>
      <w:r w:rsidR="0030600B">
        <w:t xml:space="preserve"> EG</w:t>
      </w:r>
      <w:r w:rsidR="00B9671B">
        <w:t xml:space="preserve"> </w:t>
      </w:r>
      <w:r>
        <w:t xml:space="preserve">e il </w:t>
      </w:r>
      <w:r w:rsidR="00BF51B2" w:rsidRPr="00070DFB">
        <w:t xml:space="preserve">medicinale </w:t>
      </w:r>
      <w:proofErr w:type="spellStart"/>
      <w:r w:rsidR="00BF51B2">
        <w:rPr>
          <w:rFonts w:cs="Arial"/>
        </w:rPr>
        <w:t>Lipanthyl</w:t>
      </w:r>
      <w:proofErr w:type="spellEnd"/>
      <w:r w:rsidR="00BF51B2" w:rsidRPr="00B40F40">
        <w:rPr>
          <w:rFonts w:cs="Arial"/>
        </w:rPr>
        <w:t xml:space="preserve"> </w:t>
      </w:r>
      <w:r w:rsidR="00BF51B2">
        <w:rPr>
          <w:rFonts w:cs="Arial"/>
        </w:rPr>
        <w:t xml:space="preserve">(medicinale autorizzato in Francia, corrispondente al medicinale </w:t>
      </w:r>
      <w:r w:rsidR="00BF51B2" w:rsidRPr="00B40F40">
        <w:rPr>
          <w:rFonts w:cs="Arial"/>
        </w:rPr>
        <w:t xml:space="preserve">di riferimento </w:t>
      </w:r>
      <w:proofErr w:type="spellStart"/>
      <w:r w:rsidR="00BF51B2">
        <w:rPr>
          <w:rFonts w:cs="Arial"/>
        </w:rPr>
        <w:t>Fulcrosupra</w:t>
      </w:r>
      <w:proofErr w:type="spellEnd"/>
      <w:r w:rsidR="00BF51B2">
        <w:rPr>
          <w:rFonts w:cs="Arial"/>
        </w:rPr>
        <w:t xml:space="preserve"> autorizzato in Italia)</w:t>
      </w:r>
      <w:r w:rsidR="00674059">
        <w:rPr>
          <w:rFonts w:cs="Arial"/>
        </w:rPr>
        <w:t xml:space="preserve"> sono </w:t>
      </w:r>
      <w:proofErr w:type="spellStart"/>
      <w:r w:rsidR="00674059">
        <w:rPr>
          <w:rFonts w:cs="Arial"/>
        </w:rPr>
        <w:t>bioequivalenti</w:t>
      </w:r>
      <w:proofErr w:type="spellEnd"/>
      <w:r w:rsidR="00BF51B2" w:rsidRPr="00B40F40">
        <w:rPr>
          <w:rFonts w:cs="Arial"/>
        </w:rPr>
        <w:t>.</w:t>
      </w:r>
    </w:p>
    <w:p w:rsidR="00AB54C2" w:rsidRDefault="00AB54C2" w:rsidP="009469B6">
      <w:pPr>
        <w:spacing w:after="0" w:line="240" w:lineRule="auto"/>
        <w:jc w:val="both"/>
      </w:pPr>
      <w:r>
        <w:t>Il rapporto beneficio/rischio è considerato positivo.</w:t>
      </w:r>
    </w:p>
    <w:p w:rsidR="004241AC" w:rsidRPr="002A3F14" w:rsidRDefault="00AB54C2" w:rsidP="009469B6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11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  <w:r w:rsidRPr="002A3F14">
        <w:t xml:space="preserve"> </w:t>
      </w:r>
    </w:p>
    <w:p w:rsidR="009A260F" w:rsidRDefault="009A260F"/>
    <w:sectPr w:rsidR="009A260F" w:rsidSect="002937E3">
      <w:pgSz w:w="11906" w:h="16838"/>
      <w:pgMar w:top="1418" w:right="1021" w:bottom="907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MT">
    <w:altName w:val="Arial"/>
    <w:charset w:val="00"/>
    <w:family w:val="swiss"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3991552"/>
    <w:multiLevelType w:val="hybridMultilevel"/>
    <w:tmpl w:val="EA1607F0"/>
    <w:lvl w:ilvl="0" w:tplc="1B5612F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57D4C"/>
    <w:multiLevelType w:val="hybridMultilevel"/>
    <w:tmpl w:val="489E52A8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505DAE"/>
    <w:multiLevelType w:val="hybridMultilevel"/>
    <w:tmpl w:val="EA1607F0"/>
    <w:lvl w:ilvl="0" w:tplc="1B5612F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88409D"/>
    <w:multiLevelType w:val="hybridMultilevel"/>
    <w:tmpl w:val="8604E150"/>
    <w:lvl w:ilvl="0" w:tplc="632E44EE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7B44E2A"/>
    <w:multiLevelType w:val="hybridMultilevel"/>
    <w:tmpl w:val="D4F8DD90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4">
    <w:abstractNumId w:val="3"/>
  </w:num>
  <w:num w:numId="5">
    <w:abstractNumId w:val="10"/>
  </w:num>
  <w:num w:numId="6">
    <w:abstractNumId w:val="4"/>
  </w:num>
  <w:num w:numId="7">
    <w:abstractNumId w:val="8"/>
  </w:num>
  <w:num w:numId="8">
    <w:abstractNumId w:val="6"/>
  </w:num>
  <w:num w:numId="9">
    <w:abstractNumId w:val="1"/>
  </w:num>
  <w:num w:numId="10">
    <w:abstractNumId w:val="7"/>
  </w:num>
  <w:num w:numId="11">
    <w:abstractNumId w:val="9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241AC"/>
    <w:rsid w:val="000062DD"/>
    <w:rsid w:val="00013020"/>
    <w:rsid w:val="0001762A"/>
    <w:rsid w:val="00035778"/>
    <w:rsid w:val="00037F9B"/>
    <w:rsid w:val="00062636"/>
    <w:rsid w:val="00070DFB"/>
    <w:rsid w:val="00077016"/>
    <w:rsid w:val="00097D78"/>
    <w:rsid w:val="000B1DCF"/>
    <w:rsid w:val="000B6481"/>
    <w:rsid w:val="000D2313"/>
    <w:rsid w:val="000E1A3B"/>
    <w:rsid w:val="000E6589"/>
    <w:rsid w:val="00111E9E"/>
    <w:rsid w:val="0011250C"/>
    <w:rsid w:val="00156BA7"/>
    <w:rsid w:val="00180C71"/>
    <w:rsid w:val="001C1A8E"/>
    <w:rsid w:val="001D08F6"/>
    <w:rsid w:val="001E7E47"/>
    <w:rsid w:val="00227FD7"/>
    <w:rsid w:val="00237B87"/>
    <w:rsid w:val="002453A6"/>
    <w:rsid w:val="00246D26"/>
    <w:rsid w:val="002748E4"/>
    <w:rsid w:val="002937E3"/>
    <w:rsid w:val="00294895"/>
    <w:rsid w:val="002B0CD8"/>
    <w:rsid w:val="002B0F72"/>
    <w:rsid w:val="002D1437"/>
    <w:rsid w:val="002E44E7"/>
    <w:rsid w:val="0030600B"/>
    <w:rsid w:val="00306DD8"/>
    <w:rsid w:val="003440B2"/>
    <w:rsid w:val="00360A78"/>
    <w:rsid w:val="003762D3"/>
    <w:rsid w:val="00395F90"/>
    <w:rsid w:val="003B27A1"/>
    <w:rsid w:val="003B6178"/>
    <w:rsid w:val="003D479A"/>
    <w:rsid w:val="00406421"/>
    <w:rsid w:val="004241AC"/>
    <w:rsid w:val="00440B34"/>
    <w:rsid w:val="00452364"/>
    <w:rsid w:val="00467593"/>
    <w:rsid w:val="004A1685"/>
    <w:rsid w:val="004B20A8"/>
    <w:rsid w:val="004B7E5B"/>
    <w:rsid w:val="004C32A6"/>
    <w:rsid w:val="004D66A7"/>
    <w:rsid w:val="004F0C59"/>
    <w:rsid w:val="00507E9B"/>
    <w:rsid w:val="00566B07"/>
    <w:rsid w:val="00571F56"/>
    <w:rsid w:val="005928E6"/>
    <w:rsid w:val="005A6167"/>
    <w:rsid w:val="005A64F7"/>
    <w:rsid w:val="005B50AD"/>
    <w:rsid w:val="005D2E7E"/>
    <w:rsid w:val="005E18C6"/>
    <w:rsid w:val="00674059"/>
    <w:rsid w:val="006C7E98"/>
    <w:rsid w:val="0070652E"/>
    <w:rsid w:val="00717132"/>
    <w:rsid w:val="00730C29"/>
    <w:rsid w:val="007B6C6B"/>
    <w:rsid w:val="007D0622"/>
    <w:rsid w:val="007E6F4B"/>
    <w:rsid w:val="00826C22"/>
    <w:rsid w:val="00862596"/>
    <w:rsid w:val="00874733"/>
    <w:rsid w:val="00894640"/>
    <w:rsid w:val="008A69E3"/>
    <w:rsid w:val="00901E3F"/>
    <w:rsid w:val="00923643"/>
    <w:rsid w:val="00946880"/>
    <w:rsid w:val="009469B6"/>
    <w:rsid w:val="009635D4"/>
    <w:rsid w:val="00991D00"/>
    <w:rsid w:val="009A2010"/>
    <w:rsid w:val="009A260F"/>
    <w:rsid w:val="009B03DB"/>
    <w:rsid w:val="009F16FA"/>
    <w:rsid w:val="00A05212"/>
    <w:rsid w:val="00A1005E"/>
    <w:rsid w:val="00A14990"/>
    <w:rsid w:val="00A31BE5"/>
    <w:rsid w:val="00A40FF3"/>
    <w:rsid w:val="00A61113"/>
    <w:rsid w:val="00A715C0"/>
    <w:rsid w:val="00A83201"/>
    <w:rsid w:val="00A9506F"/>
    <w:rsid w:val="00AB54C2"/>
    <w:rsid w:val="00B27F42"/>
    <w:rsid w:val="00B40F40"/>
    <w:rsid w:val="00B44898"/>
    <w:rsid w:val="00B4779E"/>
    <w:rsid w:val="00B64DB3"/>
    <w:rsid w:val="00B70578"/>
    <w:rsid w:val="00B90347"/>
    <w:rsid w:val="00B9671B"/>
    <w:rsid w:val="00BA08FD"/>
    <w:rsid w:val="00BA0A19"/>
    <w:rsid w:val="00BA7D67"/>
    <w:rsid w:val="00BB12F3"/>
    <w:rsid w:val="00BB4CC4"/>
    <w:rsid w:val="00BB7117"/>
    <w:rsid w:val="00BC74C2"/>
    <w:rsid w:val="00BE2C92"/>
    <w:rsid w:val="00BF51B2"/>
    <w:rsid w:val="00C72386"/>
    <w:rsid w:val="00CC0540"/>
    <w:rsid w:val="00CC7AFF"/>
    <w:rsid w:val="00CF5597"/>
    <w:rsid w:val="00D05DEB"/>
    <w:rsid w:val="00D20170"/>
    <w:rsid w:val="00D85C3C"/>
    <w:rsid w:val="00D92307"/>
    <w:rsid w:val="00DC2CA3"/>
    <w:rsid w:val="00DD27A5"/>
    <w:rsid w:val="00DF53AE"/>
    <w:rsid w:val="00E038D0"/>
    <w:rsid w:val="00E12F07"/>
    <w:rsid w:val="00E2236C"/>
    <w:rsid w:val="00E43089"/>
    <w:rsid w:val="00E83F8D"/>
    <w:rsid w:val="00EC70B1"/>
    <w:rsid w:val="00ED3C61"/>
    <w:rsid w:val="00EE29EF"/>
    <w:rsid w:val="00EF062E"/>
    <w:rsid w:val="00EF5475"/>
    <w:rsid w:val="00F22C10"/>
    <w:rsid w:val="00F37E3E"/>
    <w:rsid w:val="00F6357B"/>
    <w:rsid w:val="00F66767"/>
    <w:rsid w:val="00F73A26"/>
    <w:rsid w:val="00FA2702"/>
    <w:rsid w:val="00FB455A"/>
    <w:rsid w:val="00FE5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AB54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748E4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748E4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B54C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AB54C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AB54C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3D4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Agency">
    <w:name w:val="Body text (Agency)"/>
    <w:basedOn w:val="Normale"/>
    <w:link w:val="BodytextAgencyChar"/>
    <w:rsid w:val="000062DD"/>
    <w:pPr>
      <w:spacing w:after="140" w:line="280" w:lineRule="atLeast"/>
    </w:pPr>
    <w:rPr>
      <w:rFonts w:ascii="Verdana" w:eastAsia="Verdana" w:hAnsi="Verdana" w:cs="Verdana"/>
      <w:sz w:val="18"/>
      <w:szCs w:val="18"/>
      <w:lang w:val="en-GB" w:eastAsia="en-GB"/>
    </w:rPr>
  </w:style>
  <w:style w:type="character" w:customStyle="1" w:styleId="BodytextAgencyChar">
    <w:name w:val="Body text (Agency) Char"/>
    <w:basedOn w:val="Carpredefinitoparagrafo"/>
    <w:link w:val="BodytextAgency"/>
    <w:rsid w:val="000062DD"/>
    <w:rPr>
      <w:rFonts w:ascii="Verdana" w:eastAsia="Verdana" w:hAnsi="Verdana" w:cs="Verdana"/>
      <w:sz w:val="18"/>
      <w:szCs w:val="18"/>
      <w:lang w:val="en-GB" w:eastAsia="en-GB"/>
    </w:rPr>
  </w:style>
  <w:style w:type="paragraph" w:customStyle="1" w:styleId="TableParagraph">
    <w:name w:val="Table Paragraph"/>
    <w:basedOn w:val="Normale"/>
    <w:uiPriority w:val="1"/>
    <w:qFormat/>
    <w:rsid w:val="00A950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paragraph" w:customStyle="1" w:styleId="Paragraph">
    <w:name w:val="Paragraph"/>
    <w:link w:val="ParagraphChar"/>
    <w:rsid w:val="00CF5597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Instructions">
    <w:name w:val="Instructions"/>
    <w:rsid w:val="00CF5597"/>
    <w:rPr>
      <w:i/>
      <w:vanish/>
      <w:color w:val="008080"/>
    </w:rPr>
  </w:style>
  <w:style w:type="character" w:customStyle="1" w:styleId="ParagraphChar">
    <w:name w:val="Paragraph Char"/>
    <w:link w:val="Paragraph"/>
    <w:rsid w:val="00CF559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stodelblocco">
    <w:name w:val="Block Text"/>
    <w:basedOn w:val="Normale"/>
    <w:rsid w:val="00A14990"/>
    <w:pPr>
      <w:spacing w:after="0" w:line="240" w:lineRule="auto"/>
      <w:ind w:left="1134" w:right="833" w:firstLine="567"/>
      <w:jc w:val="both"/>
    </w:pPr>
    <w:rPr>
      <w:rFonts w:ascii="Comic Sans MS" w:eastAsia="Times New Roman" w:hAnsi="Comic Sans MS" w:cs="Times New Roman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5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farm.de/EN/Home/home_node.html" TargetMode="Externa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1</Pages>
  <Words>3046</Words>
  <Characters>17363</Characters>
  <Application>Microsoft Office Word</Application>
  <DocSecurity>0</DocSecurity>
  <Lines>144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55</cp:revision>
  <dcterms:created xsi:type="dcterms:W3CDTF">2015-06-09T14:01:00Z</dcterms:created>
  <dcterms:modified xsi:type="dcterms:W3CDTF">2015-12-02T07:59:00Z</dcterms:modified>
</cp:coreProperties>
</file>