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791481" w:rsidRDefault="00791481" w:rsidP="00791481">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791481" w:rsidRDefault="00791481" w:rsidP="004241AC">
      <w:pPr>
        <w:autoSpaceDE w:val="0"/>
        <w:autoSpaceDN w:val="0"/>
        <w:adjustRightInd w:val="0"/>
        <w:spacing w:after="0" w:line="240" w:lineRule="auto"/>
        <w:jc w:val="center"/>
        <w:rPr>
          <w:b/>
          <w:highlight w:val="yellow"/>
        </w:rPr>
      </w:pPr>
    </w:p>
    <w:p w:rsidR="0078172E" w:rsidRDefault="0078172E" w:rsidP="004241AC">
      <w:pPr>
        <w:autoSpaceDE w:val="0"/>
        <w:autoSpaceDN w:val="0"/>
        <w:adjustRightInd w:val="0"/>
        <w:spacing w:after="0" w:line="240" w:lineRule="auto"/>
        <w:jc w:val="center"/>
        <w:rPr>
          <w:b/>
          <w:highlight w:val="yellow"/>
        </w:rPr>
      </w:pPr>
    </w:p>
    <w:p w:rsidR="004241AC" w:rsidRPr="00900C91" w:rsidRDefault="006951D9" w:rsidP="004241AC">
      <w:pPr>
        <w:autoSpaceDE w:val="0"/>
        <w:autoSpaceDN w:val="0"/>
        <w:adjustRightInd w:val="0"/>
        <w:spacing w:after="0" w:line="240" w:lineRule="auto"/>
        <w:jc w:val="center"/>
        <w:rPr>
          <w:b/>
          <w:sz w:val="32"/>
        </w:rPr>
      </w:pPr>
      <w:r>
        <w:rPr>
          <w:b/>
          <w:sz w:val="32"/>
        </w:rPr>
        <w:t>FENTANYL NOVENTIA PHARMA</w:t>
      </w:r>
    </w:p>
    <w:p w:rsidR="004241AC" w:rsidRPr="003A3FEB" w:rsidRDefault="004241AC" w:rsidP="004241AC">
      <w:pPr>
        <w:widowControl w:val="0"/>
        <w:spacing w:after="0" w:line="240" w:lineRule="auto"/>
        <w:jc w:val="center"/>
        <w:rPr>
          <w:snapToGrid w:val="0"/>
        </w:rPr>
      </w:pPr>
      <w:r w:rsidRPr="003A3FEB">
        <w:rPr>
          <w:snapToGrid w:val="0"/>
        </w:rPr>
        <w:t xml:space="preserve"> (</w:t>
      </w:r>
      <w:proofErr w:type="spellStart"/>
      <w:r w:rsidR="006951D9">
        <w:rPr>
          <w:snapToGrid w:val="0"/>
        </w:rPr>
        <w:t>Fentanil</w:t>
      </w:r>
      <w:proofErr w:type="spellEnd"/>
      <w:r w:rsidRPr="003A3FEB">
        <w:rPr>
          <w:snapToGrid w:val="0"/>
        </w:rPr>
        <w:t>)</w:t>
      </w:r>
    </w:p>
    <w:p w:rsidR="004241AC" w:rsidRDefault="004241AC" w:rsidP="004241AC">
      <w:pPr>
        <w:autoSpaceDE w:val="0"/>
        <w:autoSpaceDN w:val="0"/>
        <w:adjustRightInd w:val="0"/>
        <w:spacing w:after="0" w:line="240" w:lineRule="auto"/>
        <w:jc w:val="center"/>
        <w:rPr>
          <w:b/>
        </w:rPr>
      </w:pPr>
    </w:p>
    <w:p w:rsidR="008348A8" w:rsidRDefault="006951D9" w:rsidP="004241AC">
      <w:pPr>
        <w:autoSpaceDE w:val="0"/>
        <w:autoSpaceDN w:val="0"/>
        <w:adjustRightInd w:val="0"/>
        <w:spacing w:after="0" w:line="240" w:lineRule="auto"/>
        <w:jc w:val="center"/>
        <w:rPr>
          <w:b/>
        </w:rPr>
      </w:pPr>
      <w:proofErr w:type="spellStart"/>
      <w:r>
        <w:rPr>
          <w:b/>
        </w:rPr>
        <w:t>Noventia</w:t>
      </w:r>
      <w:proofErr w:type="spellEnd"/>
      <w:r>
        <w:rPr>
          <w:b/>
        </w:rPr>
        <w:t xml:space="preserve"> </w:t>
      </w:r>
      <w:proofErr w:type="spellStart"/>
      <w:r>
        <w:rPr>
          <w:b/>
        </w:rPr>
        <w:t>Pharma</w:t>
      </w:r>
      <w:proofErr w:type="spellEnd"/>
    </w:p>
    <w:p w:rsidR="00020B38" w:rsidRPr="00062636" w:rsidRDefault="00020B38" w:rsidP="004241AC">
      <w:pPr>
        <w:autoSpaceDE w:val="0"/>
        <w:autoSpaceDN w:val="0"/>
        <w:adjustRightInd w:val="0"/>
        <w:spacing w:after="0" w:line="240" w:lineRule="auto"/>
        <w:jc w:val="center"/>
        <w:rPr>
          <w:b/>
        </w:rPr>
      </w:pPr>
    </w:p>
    <w:p w:rsidR="004241AC" w:rsidRDefault="004241AC" w:rsidP="004241AC">
      <w:pPr>
        <w:spacing w:after="0" w:line="240" w:lineRule="auto"/>
        <w:jc w:val="center"/>
        <w:rPr>
          <w:rFonts w:cs="Helvetica"/>
          <w:b/>
        </w:rPr>
      </w:pPr>
      <w:r w:rsidRPr="00062636">
        <w:rPr>
          <w:b/>
        </w:rPr>
        <w:t xml:space="preserve">Numero di AIC: </w:t>
      </w:r>
      <w:r w:rsidR="00020B38" w:rsidRPr="00020B38">
        <w:rPr>
          <w:rFonts w:cs="Helvetica"/>
          <w:b/>
        </w:rPr>
        <w:t>043</w:t>
      </w:r>
      <w:r w:rsidR="006951D9">
        <w:rPr>
          <w:rFonts w:cs="Helvetica"/>
          <w:b/>
        </w:rPr>
        <w:t>518</w:t>
      </w:r>
    </w:p>
    <w:p w:rsidR="008348A8" w:rsidRDefault="008348A8" w:rsidP="004241AC">
      <w:pPr>
        <w:spacing w:after="0" w:line="240" w:lineRule="auto"/>
        <w:jc w:val="center"/>
        <w:rPr>
          <w:rFonts w:cs="Helvetica"/>
          <w:b/>
        </w:rPr>
      </w:pPr>
    </w:p>
    <w:p w:rsidR="00900C91" w:rsidRPr="00062636" w:rsidRDefault="00900C91" w:rsidP="004241AC">
      <w:pPr>
        <w:spacing w:after="0" w:line="240" w:lineRule="auto"/>
        <w:jc w:val="center"/>
        <w:rPr>
          <w:b/>
        </w:rPr>
      </w:pPr>
    </w:p>
    <w:p w:rsidR="004241AC" w:rsidRDefault="004241AC" w:rsidP="004241AC">
      <w:pPr>
        <w:spacing w:after="0" w:line="240" w:lineRule="auto"/>
        <w:jc w:val="center"/>
        <w:rPr>
          <w:b/>
        </w:rPr>
      </w:pPr>
      <w:bookmarkStart w:id="1" w:name="_GoBack"/>
      <w:bookmarkEnd w:id="0"/>
      <w:bookmarkEnd w:id="1"/>
    </w:p>
    <w:p w:rsidR="00900C91" w:rsidRPr="0033523E" w:rsidRDefault="00900C91" w:rsidP="00900C91">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4241AC" w:rsidRDefault="004241AC" w:rsidP="004241AC">
      <w:pPr>
        <w:autoSpaceDE w:val="0"/>
        <w:autoSpaceDN w:val="0"/>
        <w:adjustRightInd w:val="0"/>
        <w:spacing w:after="0" w:line="240" w:lineRule="auto"/>
        <w:jc w:val="both"/>
        <w:rPr>
          <w:rFonts w:eastAsia="Calibri" w:cs="Calibri"/>
          <w:color w:val="000000"/>
          <w:lang w:eastAsia="it-IT"/>
        </w:rPr>
      </w:pPr>
    </w:p>
    <w:p w:rsidR="004241AC" w:rsidRPr="00865551" w:rsidRDefault="004241AC" w:rsidP="006951D9">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00322BF5" w:rsidRPr="00322BF5">
        <w:rPr>
          <w:rFonts w:eastAsia="Calibri" w:cs="Calibri"/>
          <w:i/>
          <w:color w:val="000000"/>
          <w:lang w:eastAsia="it-IT"/>
        </w:rPr>
        <w:t xml:space="preserve">Public </w:t>
      </w:r>
      <w:proofErr w:type="spellStart"/>
      <w:r w:rsidR="00322BF5" w:rsidRPr="00322BF5">
        <w:rPr>
          <w:rFonts w:eastAsia="Calibri" w:cs="Calibri"/>
          <w:i/>
          <w:color w:val="000000"/>
          <w:lang w:eastAsia="it-IT"/>
        </w:rPr>
        <w:t>Assessment</w:t>
      </w:r>
      <w:proofErr w:type="spellEnd"/>
      <w:r w:rsidR="00322BF5" w:rsidRPr="00322BF5">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6951D9">
        <w:rPr>
          <w:rFonts w:eastAsia="Calibri" w:cs="Calibri"/>
          <w:color w:val="000000"/>
          <w:lang w:eastAsia="it-IT"/>
        </w:rPr>
        <w:t>Fentanyl</w:t>
      </w:r>
      <w:proofErr w:type="spellEnd"/>
      <w:r w:rsidR="006951D9">
        <w:rPr>
          <w:rFonts w:eastAsia="Calibri" w:cs="Calibri"/>
          <w:color w:val="000000"/>
          <w:lang w:eastAsia="it-IT"/>
        </w:rPr>
        <w:t xml:space="preserve"> </w:t>
      </w:r>
      <w:proofErr w:type="spellStart"/>
      <w:r w:rsidR="006951D9">
        <w:rPr>
          <w:rFonts w:eastAsia="Calibri" w:cs="Calibri"/>
          <w:color w:val="000000"/>
          <w:lang w:eastAsia="it-IT"/>
        </w:rPr>
        <w:t>Noventia</w:t>
      </w:r>
      <w:proofErr w:type="spellEnd"/>
      <w:r w:rsidR="006951D9">
        <w:rPr>
          <w:rFonts w:eastAsia="Calibri" w:cs="Calibri"/>
          <w:color w:val="000000"/>
          <w:lang w:eastAsia="it-IT"/>
        </w:rPr>
        <w:t xml:space="preserve"> </w:t>
      </w:r>
      <w:proofErr w:type="spellStart"/>
      <w:r w:rsidR="006951D9">
        <w:rPr>
          <w:rFonts w:eastAsia="Calibri" w:cs="Calibri"/>
          <w:color w:val="000000"/>
          <w:lang w:eastAsia="it-IT"/>
        </w:rPr>
        <w:t>Pharma</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6951D9">
        <w:rPr>
          <w:rFonts w:eastAsia="Calibri" w:cs="Calibri"/>
          <w:color w:val="000000"/>
          <w:lang w:eastAsia="it-IT"/>
        </w:rPr>
        <w:t>Fentanyl</w:t>
      </w:r>
      <w:proofErr w:type="spellEnd"/>
      <w:r w:rsidR="006951D9">
        <w:rPr>
          <w:rFonts w:eastAsia="Calibri" w:cs="Calibri"/>
          <w:color w:val="000000"/>
          <w:lang w:eastAsia="it-IT"/>
        </w:rPr>
        <w:t xml:space="preserve"> </w:t>
      </w:r>
      <w:proofErr w:type="spellStart"/>
      <w:r w:rsidR="006951D9">
        <w:rPr>
          <w:rFonts w:eastAsia="Calibri" w:cs="Calibri"/>
          <w:color w:val="000000"/>
          <w:lang w:eastAsia="it-IT"/>
        </w:rPr>
        <w:t>Noventia</w:t>
      </w:r>
      <w:proofErr w:type="spellEnd"/>
      <w:r w:rsidR="006951D9">
        <w:rPr>
          <w:rFonts w:eastAsia="Calibri" w:cs="Calibri"/>
          <w:color w:val="000000"/>
          <w:lang w:eastAsia="it-IT"/>
        </w:rPr>
        <w:t xml:space="preserve"> </w:t>
      </w:r>
      <w:proofErr w:type="spellStart"/>
      <w:r w:rsidR="006951D9">
        <w:rPr>
          <w:rFonts w:eastAsia="Calibri" w:cs="Calibri"/>
          <w:color w:val="000000"/>
          <w:lang w:eastAsia="it-IT"/>
        </w:rPr>
        <w:t>Pharma</w:t>
      </w:r>
      <w:proofErr w:type="spellEnd"/>
      <w:r w:rsidR="00062636"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e </w:t>
      </w:r>
      <w:r w:rsidR="00065F49">
        <w:rPr>
          <w:rFonts w:eastAsia="Calibri" w:cs="Calibri"/>
          <w:color w:val="000000"/>
          <w:lang w:eastAsia="it-IT"/>
        </w:rPr>
        <w:t>le sue</w:t>
      </w:r>
      <w:r w:rsidRPr="009F1B70">
        <w:rPr>
          <w:rFonts w:eastAsia="Calibri" w:cs="Calibri"/>
          <w:color w:val="000000"/>
          <w:lang w:eastAsia="it-IT"/>
        </w:rPr>
        <w:t xml:space="preserve"> condizioni di </w:t>
      </w:r>
      <w:r w:rsidRPr="00865551">
        <w:rPr>
          <w:rFonts w:eastAsia="Calibri" w:cs="Calibri"/>
          <w:color w:val="000000"/>
          <w:lang w:eastAsia="it-IT"/>
        </w:rPr>
        <w:t xml:space="preserve">impiego. Non intende fornire consigli pratici su come utilizzare </w:t>
      </w:r>
      <w:proofErr w:type="spellStart"/>
      <w:r w:rsidR="006951D9">
        <w:rPr>
          <w:rFonts w:eastAsia="Calibri" w:cs="Calibri"/>
          <w:color w:val="000000"/>
          <w:lang w:eastAsia="it-IT"/>
        </w:rPr>
        <w:t>Fentanyl</w:t>
      </w:r>
      <w:proofErr w:type="spellEnd"/>
      <w:r w:rsidR="006951D9">
        <w:rPr>
          <w:rFonts w:eastAsia="Calibri" w:cs="Calibri"/>
          <w:color w:val="000000"/>
          <w:lang w:eastAsia="it-IT"/>
        </w:rPr>
        <w:t xml:space="preserve"> </w:t>
      </w:r>
      <w:proofErr w:type="spellStart"/>
      <w:r w:rsidR="006951D9">
        <w:rPr>
          <w:rFonts w:eastAsia="Calibri" w:cs="Calibri"/>
          <w:color w:val="000000"/>
          <w:lang w:eastAsia="it-IT"/>
        </w:rPr>
        <w:t>Noventia</w:t>
      </w:r>
      <w:proofErr w:type="spellEnd"/>
      <w:r w:rsidR="006951D9">
        <w:rPr>
          <w:rFonts w:eastAsia="Calibri" w:cs="Calibri"/>
          <w:color w:val="000000"/>
          <w:lang w:eastAsia="it-IT"/>
        </w:rPr>
        <w:t xml:space="preserve"> </w:t>
      </w:r>
      <w:proofErr w:type="spellStart"/>
      <w:r w:rsidR="006951D9">
        <w:rPr>
          <w:rFonts w:eastAsia="Calibri" w:cs="Calibri"/>
          <w:color w:val="000000"/>
          <w:lang w:eastAsia="it-IT"/>
        </w:rPr>
        <w:t>Pharma</w:t>
      </w:r>
      <w:proofErr w:type="spellEnd"/>
      <w:r w:rsidRPr="00865551">
        <w:rPr>
          <w:rFonts w:eastAsia="Calibri" w:cs="Calibri"/>
          <w:bCs/>
          <w:color w:val="000000"/>
          <w:lang w:eastAsia="it-IT"/>
        </w:rPr>
        <w:t>.</w:t>
      </w:r>
    </w:p>
    <w:p w:rsidR="004241AC" w:rsidRPr="003F0485" w:rsidRDefault="004241AC" w:rsidP="003F0485">
      <w:pPr>
        <w:autoSpaceDE w:val="0"/>
        <w:autoSpaceDN w:val="0"/>
        <w:adjustRightInd w:val="0"/>
        <w:spacing w:after="0" w:line="240" w:lineRule="auto"/>
        <w:jc w:val="both"/>
        <w:rPr>
          <w:rFonts w:eastAsia="Calibri" w:cs="Calibri"/>
          <w:color w:val="000000"/>
          <w:lang w:eastAsia="it-IT"/>
        </w:rPr>
      </w:pPr>
      <w:r w:rsidRPr="00865551">
        <w:rPr>
          <w:rFonts w:eastAsia="Calibri" w:cs="Calibri"/>
          <w:color w:val="000000"/>
          <w:lang w:eastAsia="it-IT"/>
        </w:rPr>
        <w:t>Per informazioni pratiche sull'utilizzo di</w:t>
      </w:r>
      <w:r w:rsidRPr="00865551">
        <w:rPr>
          <w:rFonts w:eastAsia="Calibri" w:cs="Calibri"/>
          <w:bCs/>
          <w:color w:val="000000"/>
          <w:lang w:eastAsia="it-IT"/>
        </w:rPr>
        <w:t xml:space="preserve"> </w:t>
      </w:r>
      <w:proofErr w:type="spellStart"/>
      <w:r w:rsidR="006951D9">
        <w:rPr>
          <w:rFonts w:eastAsia="Calibri" w:cs="Calibri"/>
          <w:color w:val="000000"/>
          <w:lang w:eastAsia="it-IT"/>
        </w:rPr>
        <w:t>Fentanyl</w:t>
      </w:r>
      <w:proofErr w:type="spellEnd"/>
      <w:r w:rsidR="006951D9">
        <w:rPr>
          <w:rFonts w:eastAsia="Calibri" w:cs="Calibri"/>
          <w:color w:val="000000"/>
          <w:lang w:eastAsia="it-IT"/>
        </w:rPr>
        <w:t xml:space="preserve"> </w:t>
      </w:r>
      <w:proofErr w:type="spellStart"/>
      <w:r w:rsidR="006951D9">
        <w:rPr>
          <w:rFonts w:eastAsia="Calibri" w:cs="Calibri"/>
          <w:color w:val="000000"/>
          <w:lang w:eastAsia="it-IT"/>
        </w:rPr>
        <w:t>Noventia</w:t>
      </w:r>
      <w:proofErr w:type="spellEnd"/>
      <w:r w:rsidR="006951D9">
        <w:rPr>
          <w:rFonts w:eastAsia="Calibri" w:cs="Calibri"/>
          <w:color w:val="000000"/>
          <w:lang w:eastAsia="it-IT"/>
        </w:rPr>
        <w:t xml:space="preserve"> </w:t>
      </w:r>
      <w:proofErr w:type="spellStart"/>
      <w:r w:rsidR="006951D9">
        <w:rPr>
          <w:rFonts w:eastAsia="Calibri" w:cs="Calibri"/>
          <w:color w:val="000000"/>
          <w:lang w:eastAsia="it-IT"/>
        </w:rPr>
        <w:t>Pharma</w:t>
      </w:r>
      <w:proofErr w:type="spellEnd"/>
      <w:r w:rsidR="00062636" w:rsidRPr="00865551">
        <w:rPr>
          <w:rFonts w:eastAsia="Calibri" w:cs="Calibri"/>
          <w:color w:val="000000"/>
          <w:lang w:eastAsia="it-IT"/>
        </w:rPr>
        <w:t xml:space="preserve"> </w:t>
      </w:r>
      <w:r w:rsidRPr="00865551">
        <w:rPr>
          <w:rFonts w:eastAsia="Calibri" w:cs="Calibri"/>
          <w:color w:val="000000"/>
          <w:lang w:eastAsia="it-IT"/>
        </w:rPr>
        <w:t xml:space="preserve">i pazienti devono consultare il foglio </w:t>
      </w:r>
      <w:r w:rsidRPr="003F0485">
        <w:rPr>
          <w:rFonts w:eastAsia="Calibri" w:cs="Calibri"/>
          <w:color w:val="000000"/>
          <w:lang w:eastAsia="it-IT"/>
        </w:rPr>
        <w:t xml:space="preserve">illustrativo o contattare il loro medico o </w:t>
      </w:r>
      <w:r w:rsidR="00FA55B0" w:rsidRPr="003F0485">
        <w:rPr>
          <w:rFonts w:eastAsia="Calibri" w:cs="Calibri"/>
          <w:color w:val="000000"/>
          <w:lang w:eastAsia="it-IT"/>
        </w:rPr>
        <w:t xml:space="preserve">il </w:t>
      </w:r>
      <w:r w:rsidRPr="003F0485">
        <w:rPr>
          <w:rFonts w:eastAsia="Calibri" w:cs="Calibri"/>
          <w:color w:val="000000"/>
          <w:lang w:eastAsia="it-IT"/>
        </w:rPr>
        <w:t xml:space="preserve">farmacista. </w:t>
      </w:r>
    </w:p>
    <w:p w:rsidR="004241AC" w:rsidRPr="003F0485" w:rsidRDefault="004241AC" w:rsidP="003F0485">
      <w:pPr>
        <w:autoSpaceDE w:val="0"/>
        <w:autoSpaceDN w:val="0"/>
        <w:adjustRightInd w:val="0"/>
        <w:spacing w:after="0" w:line="240" w:lineRule="auto"/>
        <w:jc w:val="both"/>
        <w:rPr>
          <w:rFonts w:eastAsia="Calibri" w:cs="Calibri"/>
          <w:color w:val="000000"/>
          <w:lang w:eastAsia="it-IT"/>
        </w:rPr>
      </w:pPr>
    </w:p>
    <w:p w:rsidR="004241AC" w:rsidRPr="003F0485" w:rsidRDefault="004241AC" w:rsidP="003F0485">
      <w:pPr>
        <w:autoSpaceDE w:val="0"/>
        <w:autoSpaceDN w:val="0"/>
        <w:adjustRightInd w:val="0"/>
        <w:spacing w:after="0" w:line="240" w:lineRule="auto"/>
        <w:jc w:val="both"/>
        <w:rPr>
          <w:rFonts w:eastAsia="Calibri" w:cs="Calibri"/>
          <w:color w:val="000000"/>
          <w:lang w:eastAsia="it-IT"/>
        </w:rPr>
      </w:pPr>
    </w:p>
    <w:p w:rsidR="004241AC" w:rsidRPr="003F0485" w:rsidRDefault="004241AC" w:rsidP="003F0485">
      <w:pPr>
        <w:autoSpaceDE w:val="0"/>
        <w:autoSpaceDN w:val="0"/>
        <w:adjustRightInd w:val="0"/>
        <w:spacing w:after="0" w:line="240" w:lineRule="auto"/>
        <w:jc w:val="both"/>
        <w:rPr>
          <w:rFonts w:eastAsia="Calibri" w:cs="Calibri"/>
          <w:color w:val="000000"/>
          <w:lang w:eastAsia="it-IT"/>
        </w:rPr>
      </w:pPr>
      <w:r w:rsidRPr="003F0485">
        <w:rPr>
          <w:rFonts w:eastAsia="Calibri" w:cs="Calibri"/>
          <w:b/>
          <w:bCs/>
          <w:color w:val="000000"/>
          <w:lang w:eastAsia="it-IT"/>
        </w:rPr>
        <w:t xml:space="preserve">1) CHE COS’È </w:t>
      </w:r>
      <w:proofErr w:type="spellStart"/>
      <w:r w:rsidR="006951D9" w:rsidRPr="003F0485">
        <w:rPr>
          <w:rFonts w:eastAsia="Calibri" w:cs="Calibri"/>
          <w:b/>
          <w:bCs/>
          <w:color w:val="000000"/>
          <w:lang w:eastAsia="it-IT"/>
        </w:rPr>
        <w:t>Fentanyl</w:t>
      </w:r>
      <w:proofErr w:type="spellEnd"/>
      <w:r w:rsidR="006951D9" w:rsidRPr="003F0485">
        <w:rPr>
          <w:rFonts w:eastAsia="Calibri" w:cs="Calibri"/>
          <w:b/>
          <w:bCs/>
          <w:color w:val="000000"/>
          <w:lang w:eastAsia="it-IT"/>
        </w:rPr>
        <w:t xml:space="preserve"> </w:t>
      </w:r>
      <w:proofErr w:type="spellStart"/>
      <w:r w:rsidR="006951D9" w:rsidRPr="003F0485">
        <w:rPr>
          <w:rFonts w:eastAsia="Calibri" w:cs="Calibri"/>
          <w:b/>
          <w:bCs/>
          <w:color w:val="000000"/>
          <w:lang w:eastAsia="it-IT"/>
        </w:rPr>
        <w:t>Noventia</w:t>
      </w:r>
      <w:proofErr w:type="spellEnd"/>
      <w:r w:rsidR="006951D9" w:rsidRPr="003F0485">
        <w:rPr>
          <w:rFonts w:eastAsia="Calibri" w:cs="Calibri"/>
          <w:b/>
          <w:bCs/>
          <w:color w:val="000000"/>
          <w:lang w:eastAsia="it-IT"/>
        </w:rPr>
        <w:t xml:space="preserve"> </w:t>
      </w:r>
      <w:proofErr w:type="spellStart"/>
      <w:r w:rsidR="006951D9" w:rsidRPr="003F0485">
        <w:rPr>
          <w:rFonts w:eastAsia="Calibri" w:cs="Calibri"/>
          <w:b/>
          <w:bCs/>
          <w:color w:val="000000"/>
          <w:lang w:eastAsia="it-IT"/>
        </w:rPr>
        <w:t>Pharma</w:t>
      </w:r>
      <w:proofErr w:type="spellEnd"/>
      <w:r w:rsidR="00062636" w:rsidRPr="003F0485">
        <w:rPr>
          <w:rFonts w:eastAsia="Calibri" w:cs="Calibri"/>
          <w:b/>
          <w:bCs/>
          <w:color w:val="000000"/>
          <w:lang w:eastAsia="it-IT"/>
        </w:rPr>
        <w:t xml:space="preserve"> </w:t>
      </w:r>
      <w:r w:rsidRPr="003F0485">
        <w:rPr>
          <w:rFonts w:eastAsia="Calibri" w:cs="Calibri"/>
          <w:b/>
          <w:bCs/>
          <w:color w:val="000000"/>
          <w:lang w:eastAsia="it-IT"/>
        </w:rPr>
        <w:t xml:space="preserve"> e a cosa serve? </w:t>
      </w:r>
    </w:p>
    <w:p w:rsidR="004F01AD" w:rsidRPr="003F0485" w:rsidRDefault="006951D9" w:rsidP="003F0485">
      <w:pPr>
        <w:widowControl w:val="0"/>
        <w:spacing w:after="0" w:line="240" w:lineRule="auto"/>
        <w:jc w:val="both"/>
      </w:pPr>
      <w:proofErr w:type="spellStart"/>
      <w:r w:rsidRPr="003F0485">
        <w:rPr>
          <w:rFonts w:eastAsia="Calibri" w:cs="Calibri"/>
          <w:bCs/>
          <w:color w:val="000000"/>
          <w:lang w:eastAsia="it-IT"/>
        </w:rPr>
        <w:t>Fentanyl</w:t>
      </w:r>
      <w:proofErr w:type="spellEnd"/>
      <w:r w:rsidRPr="003F0485">
        <w:rPr>
          <w:rFonts w:eastAsia="Calibri" w:cs="Calibri"/>
          <w:bCs/>
          <w:color w:val="000000"/>
          <w:lang w:eastAsia="it-IT"/>
        </w:rPr>
        <w:t xml:space="preserve"> </w:t>
      </w:r>
      <w:proofErr w:type="spellStart"/>
      <w:r w:rsidRPr="003F0485">
        <w:rPr>
          <w:rFonts w:eastAsia="Calibri" w:cs="Calibri"/>
          <w:bCs/>
          <w:color w:val="000000"/>
          <w:lang w:eastAsia="it-IT"/>
        </w:rPr>
        <w:t>Noventia</w:t>
      </w:r>
      <w:proofErr w:type="spellEnd"/>
      <w:r w:rsidRPr="003F0485">
        <w:rPr>
          <w:rFonts w:eastAsia="Calibri" w:cs="Calibri"/>
          <w:bCs/>
          <w:color w:val="000000"/>
          <w:lang w:eastAsia="it-IT"/>
        </w:rPr>
        <w:t xml:space="preserve"> </w:t>
      </w:r>
      <w:proofErr w:type="spellStart"/>
      <w:r w:rsidRPr="003F0485">
        <w:rPr>
          <w:rFonts w:eastAsia="Calibri" w:cs="Calibri"/>
          <w:bCs/>
          <w:color w:val="000000"/>
          <w:lang w:eastAsia="it-IT"/>
        </w:rPr>
        <w:t>Pharma</w:t>
      </w:r>
      <w:proofErr w:type="spellEnd"/>
      <w:r w:rsidR="004241AC" w:rsidRPr="003F0485">
        <w:rPr>
          <w:rFonts w:eastAsia="Calibri" w:cs="Calibri"/>
          <w:bCs/>
          <w:color w:val="000000"/>
          <w:lang w:eastAsia="it-IT"/>
        </w:rPr>
        <w:t xml:space="preserve"> </w:t>
      </w:r>
      <w:r w:rsidR="004241AC" w:rsidRPr="003F0485">
        <w:rPr>
          <w:rFonts w:eastAsia="Calibri" w:cs="Calibri"/>
          <w:color w:val="000000"/>
          <w:lang w:eastAsia="it-IT"/>
        </w:rPr>
        <w:t xml:space="preserve">è un medicinale contenente </w:t>
      </w:r>
      <w:r w:rsidR="00062636" w:rsidRPr="003F0485">
        <w:rPr>
          <w:rFonts w:eastAsia="Calibri" w:cs="Calibri"/>
          <w:color w:val="000000"/>
          <w:lang w:eastAsia="it-IT"/>
        </w:rPr>
        <w:t>i</w:t>
      </w:r>
      <w:r w:rsidR="00020B38" w:rsidRPr="003F0485">
        <w:rPr>
          <w:rFonts w:eastAsia="Calibri" w:cs="Calibri"/>
          <w:color w:val="000000"/>
          <w:lang w:eastAsia="it-IT"/>
        </w:rPr>
        <w:t>l</w:t>
      </w:r>
      <w:r w:rsidR="004241AC" w:rsidRPr="003F0485">
        <w:rPr>
          <w:rFonts w:eastAsia="Calibri" w:cs="Calibri"/>
          <w:color w:val="000000"/>
          <w:lang w:eastAsia="it-IT"/>
        </w:rPr>
        <w:t xml:space="preserve"> principi</w:t>
      </w:r>
      <w:r w:rsidR="00020B38" w:rsidRPr="003F0485">
        <w:rPr>
          <w:rFonts w:eastAsia="Calibri" w:cs="Calibri"/>
          <w:color w:val="000000"/>
          <w:lang w:eastAsia="it-IT"/>
        </w:rPr>
        <w:t>o</w:t>
      </w:r>
      <w:r w:rsidR="004241AC" w:rsidRPr="003F0485">
        <w:rPr>
          <w:rFonts w:eastAsia="Calibri" w:cs="Calibri"/>
          <w:color w:val="000000"/>
          <w:lang w:eastAsia="it-IT"/>
        </w:rPr>
        <w:t xml:space="preserve"> attiv</w:t>
      </w:r>
      <w:r w:rsidR="00020B38" w:rsidRPr="003F0485">
        <w:rPr>
          <w:rFonts w:eastAsia="Calibri" w:cs="Calibri"/>
          <w:color w:val="000000"/>
          <w:lang w:eastAsia="it-IT"/>
        </w:rPr>
        <w:t>o</w:t>
      </w:r>
      <w:r w:rsidR="004241AC" w:rsidRPr="003F0485">
        <w:rPr>
          <w:rFonts w:eastAsia="Calibri" w:cs="Calibri"/>
          <w:color w:val="000000"/>
          <w:lang w:eastAsia="it-IT"/>
        </w:rPr>
        <w:t xml:space="preserve"> </w:t>
      </w:r>
      <w:proofErr w:type="spellStart"/>
      <w:r w:rsidRPr="003F0485">
        <w:rPr>
          <w:rFonts w:eastAsia="Calibri" w:cs="Calibri"/>
          <w:color w:val="000000"/>
          <w:lang w:eastAsia="it-IT"/>
        </w:rPr>
        <w:t>fentanil</w:t>
      </w:r>
      <w:proofErr w:type="spellEnd"/>
      <w:r w:rsidR="00E159A3" w:rsidRPr="003F0485">
        <w:rPr>
          <w:rFonts w:eastAsia="Calibri" w:cs="Calibri"/>
          <w:color w:val="000000"/>
          <w:lang w:eastAsia="it-IT"/>
        </w:rPr>
        <w:t xml:space="preserve"> ed </w:t>
      </w:r>
      <w:r w:rsidR="004241AC" w:rsidRPr="003F0485">
        <w:rPr>
          <w:rFonts w:eastAsia="Calibri" w:cs="Calibri"/>
          <w:color w:val="000000"/>
          <w:lang w:eastAsia="it-IT"/>
        </w:rPr>
        <w:t xml:space="preserve">è disponibile in </w:t>
      </w:r>
      <w:r w:rsidRPr="003F0485">
        <w:rPr>
          <w:rFonts w:eastAsia="Calibri" w:cs="Calibri"/>
          <w:color w:val="000000"/>
          <w:lang w:eastAsia="it-IT"/>
        </w:rPr>
        <w:t xml:space="preserve">cerotti </w:t>
      </w:r>
      <w:proofErr w:type="spellStart"/>
      <w:r w:rsidRPr="003F0485">
        <w:rPr>
          <w:rFonts w:eastAsia="Calibri" w:cs="Calibri"/>
          <w:color w:val="000000"/>
          <w:lang w:eastAsia="it-IT"/>
        </w:rPr>
        <w:t>transedermici</w:t>
      </w:r>
      <w:proofErr w:type="spellEnd"/>
      <w:r w:rsidR="00020B38" w:rsidRPr="003F0485">
        <w:rPr>
          <w:rFonts w:eastAsia="Calibri" w:cs="Calibri"/>
          <w:color w:val="000000"/>
          <w:lang w:eastAsia="it-IT"/>
        </w:rPr>
        <w:t xml:space="preserve"> </w:t>
      </w:r>
      <w:r w:rsidRPr="003F0485">
        <w:rPr>
          <w:rFonts w:eastAsia="Calibri" w:cs="Calibri"/>
          <w:color w:val="000000"/>
          <w:lang w:eastAsia="it-IT"/>
        </w:rPr>
        <w:t xml:space="preserve">che rilasciano 12 microgrammi/ora, 25 microgrammi/ora, 50 microgrammi/ora, 75 microgrammi/ora, 100 microgrammi/ora </w:t>
      </w:r>
      <w:r w:rsidR="00020B38" w:rsidRPr="003F0485">
        <w:rPr>
          <w:rFonts w:cs="Helvetica"/>
        </w:rPr>
        <w:t>di principio attivo</w:t>
      </w:r>
      <w:r w:rsidR="004F01AD" w:rsidRPr="003F0485">
        <w:t>.</w:t>
      </w:r>
    </w:p>
    <w:p w:rsidR="008348A8" w:rsidRPr="003F0485" w:rsidRDefault="006951D9" w:rsidP="003F0485">
      <w:pPr>
        <w:widowControl w:val="0"/>
        <w:spacing w:after="0" w:line="240" w:lineRule="auto"/>
        <w:jc w:val="both"/>
        <w:rPr>
          <w:rFonts w:eastAsia="Calibri" w:cs="Calibri"/>
          <w:bCs/>
          <w:color w:val="000000"/>
          <w:lang w:eastAsia="it-IT"/>
        </w:rPr>
      </w:pPr>
      <w:proofErr w:type="spellStart"/>
      <w:r w:rsidRPr="003F0485">
        <w:rPr>
          <w:rFonts w:eastAsia="Calibri" w:cs="Calibri"/>
          <w:color w:val="000000"/>
          <w:lang w:eastAsia="it-IT"/>
        </w:rPr>
        <w:t>Fentanyl</w:t>
      </w:r>
      <w:proofErr w:type="spellEnd"/>
      <w:r w:rsidRPr="003F0485">
        <w:rPr>
          <w:rFonts w:eastAsia="Calibri" w:cs="Calibri"/>
          <w:color w:val="000000"/>
          <w:lang w:eastAsia="it-IT"/>
        </w:rPr>
        <w:t xml:space="preserve"> </w:t>
      </w:r>
      <w:proofErr w:type="spellStart"/>
      <w:r w:rsidRPr="003F0485">
        <w:rPr>
          <w:rFonts w:eastAsia="Calibri" w:cs="Calibri"/>
          <w:color w:val="000000"/>
          <w:lang w:eastAsia="it-IT"/>
        </w:rPr>
        <w:t>Noventia</w:t>
      </w:r>
      <w:proofErr w:type="spellEnd"/>
      <w:r w:rsidRPr="003F0485">
        <w:rPr>
          <w:rFonts w:eastAsia="Calibri" w:cs="Calibri"/>
          <w:color w:val="000000"/>
          <w:lang w:eastAsia="it-IT"/>
        </w:rPr>
        <w:t xml:space="preserve"> </w:t>
      </w:r>
      <w:proofErr w:type="spellStart"/>
      <w:r w:rsidRPr="003F0485">
        <w:rPr>
          <w:rFonts w:eastAsia="Calibri" w:cs="Calibri"/>
          <w:color w:val="000000"/>
          <w:lang w:eastAsia="it-IT"/>
        </w:rPr>
        <w:t>Pharma</w:t>
      </w:r>
      <w:proofErr w:type="spellEnd"/>
      <w:r w:rsidR="00013020" w:rsidRPr="003F0485">
        <w:rPr>
          <w:rFonts w:eastAsia="Calibri" w:cs="Calibri"/>
          <w:color w:val="000000"/>
          <w:lang w:eastAsia="it-IT"/>
        </w:rPr>
        <w:t xml:space="preserve">  è un “medicinale generico”, cioè è analogo ad un “medicinale di riferimento”, </w:t>
      </w:r>
      <w:proofErr w:type="spellStart"/>
      <w:r w:rsidRPr="003F0485">
        <w:rPr>
          <w:rFonts w:eastAsia="Calibri" w:cs="Calibri"/>
          <w:color w:val="000000"/>
          <w:lang w:eastAsia="it-IT"/>
        </w:rPr>
        <w:t>Durogesic</w:t>
      </w:r>
      <w:proofErr w:type="spellEnd"/>
      <w:r w:rsidR="008348A8" w:rsidRPr="003F0485">
        <w:rPr>
          <w:rFonts w:eastAsia="Calibri" w:cs="Calibri"/>
          <w:color w:val="000000"/>
          <w:lang w:eastAsia="it-IT"/>
        </w:rPr>
        <w:t>, già autorizzato in Italia</w:t>
      </w:r>
      <w:r w:rsidRPr="003F0485">
        <w:rPr>
          <w:rFonts w:eastAsia="Calibri" w:cs="Calibri"/>
          <w:color w:val="000000"/>
          <w:lang w:eastAsia="it-IT"/>
        </w:rPr>
        <w:t>.</w:t>
      </w:r>
    </w:p>
    <w:p w:rsidR="00020B38" w:rsidRPr="003F0485" w:rsidRDefault="006951D9" w:rsidP="003F0485">
      <w:pPr>
        <w:tabs>
          <w:tab w:val="left" w:pos="0"/>
        </w:tabs>
        <w:suppressAutoHyphens/>
        <w:spacing w:after="0" w:line="240" w:lineRule="auto"/>
        <w:jc w:val="both"/>
        <w:rPr>
          <w:spacing w:val="-2"/>
        </w:rPr>
      </w:pPr>
      <w:proofErr w:type="spellStart"/>
      <w:r w:rsidRPr="003F0485">
        <w:rPr>
          <w:rFonts w:eastAsia="Calibri" w:cs="Calibri"/>
          <w:color w:val="000000"/>
          <w:lang w:eastAsia="it-IT"/>
        </w:rPr>
        <w:t>Fentanyl</w:t>
      </w:r>
      <w:proofErr w:type="spellEnd"/>
      <w:r w:rsidRPr="003F0485">
        <w:rPr>
          <w:rFonts w:eastAsia="Calibri" w:cs="Calibri"/>
          <w:color w:val="000000"/>
          <w:lang w:eastAsia="it-IT"/>
        </w:rPr>
        <w:t xml:space="preserve"> </w:t>
      </w:r>
      <w:proofErr w:type="spellStart"/>
      <w:r w:rsidRPr="003F0485">
        <w:rPr>
          <w:rFonts w:eastAsia="Calibri" w:cs="Calibri"/>
          <w:color w:val="000000"/>
          <w:lang w:eastAsia="it-IT"/>
        </w:rPr>
        <w:t>Noventia</w:t>
      </w:r>
      <w:proofErr w:type="spellEnd"/>
      <w:r w:rsidRPr="003F0485">
        <w:rPr>
          <w:rFonts w:eastAsia="Calibri" w:cs="Calibri"/>
          <w:color w:val="000000"/>
          <w:lang w:eastAsia="it-IT"/>
        </w:rPr>
        <w:t xml:space="preserve"> </w:t>
      </w:r>
      <w:proofErr w:type="spellStart"/>
      <w:r w:rsidRPr="003F0485">
        <w:rPr>
          <w:rFonts w:eastAsia="Calibri" w:cs="Calibri"/>
          <w:color w:val="000000"/>
          <w:lang w:eastAsia="it-IT"/>
        </w:rPr>
        <w:t>Pharma</w:t>
      </w:r>
      <w:proofErr w:type="spellEnd"/>
      <w:r w:rsidR="004241AC" w:rsidRPr="003F0485">
        <w:rPr>
          <w:rFonts w:eastAsia="Calibri" w:cs="Calibri"/>
          <w:color w:val="000000"/>
          <w:lang w:eastAsia="it-IT"/>
        </w:rPr>
        <w:t xml:space="preserve"> </w:t>
      </w:r>
      <w:r w:rsidRPr="003F0485">
        <w:rPr>
          <w:spacing w:val="-2"/>
        </w:rPr>
        <w:t>si usa</w:t>
      </w:r>
      <w:r w:rsidR="00D83543" w:rsidRPr="003F0485">
        <w:rPr>
          <w:spacing w:val="-2"/>
        </w:rPr>
        <w:t>, per gli adulti e gli adolescenti di età superiore a 16 anni,</w:t>
      </w:r>
      <w:r w:rsidRPr="003F0485">
        <w:rPr>
          <w:spacing w:val="-2"/>
        </w:rPr>
        <w:t xml:space="preserve"> nel trattamento del dolore cronico da cancro e del dolore ribelle che necessita di un'analgesia a base di sostanze oppiacee.</w:t>
      </w:r>
    </w:p>
    <w:p w:rsidR="00D83543" w:rsidRPr="003F0485" w:rsidRDefault="00D83543" w:rsidP="003F0485">
      <w:pPr>
        <w:tabs>
          <w:tab w:val="left" w:pos="0"/>
          <w:tab w:val="left" w:pos="1014"/>
          <w:tab w:val="left" w:pos="2160"/>
        </w:tabs>
        <w:suppressAutoHyphens/>
        <w:spacing w:after="0" w:line="240" w:lineRule="auto"/>
        <w:jc w:val="both"/>
        <w:rPr>
          <w:rFonts w:ascii="Calibri" w:hAnsi="Calibri"/>
          <w:spacing w:val="-2"/>
        </w:rPr>
      </w:pPr>
      <w:r w:rsidRPr="003F0485">
        <w:rPr>
          <w:rFonts w:ascii="Calibri" w:hAnsi="Calibri"/>
          <w:spacing w:val="-2"/>
        </w:rPr>
        <w:t xml:space="preserve">Per i bambini di età compresa tra 2 anni e 16 anni, </w:t>
      </w:r>
      <w:proofErr w:type="spellStart"/>
      <w:r w:rsidRPr="003F0485">
        <w:rPr>
          <w:rFonts w:ascii="Calibri" w:hAnsi="Calibri"/>
        </w:rPr>
        <w:t>Fentanyl</w:t>
      </w:r>
      <w:proofErr w:type="spellEnd"/>
      <w:r w:rsidRPr="003F0485">
        <w:rPr>
          <w:rFonts w:ascii="Calibri" w:hAnsi="Calibri"/>
        </w:rPr>
        <w:t xml:space="preserve"> </w:t>
      </w:r>
      <w:proofErr w:type="spellStart"/>
      <w:r w:rsidRPr="003F0485">
        <w:rPr>
          <w:rFonts w:ascii="Calibri" w:hAnsi="Calibri"/>
        </w:rPr>
        <w:t>Noventia</w:t>
      </w:r>
      <w:proofErr w:type="spellEnd"/>
      <w:r w:rsidRPr="003F0485">
        <w:rPr>
          <w:rFonts w:ascii="Calibri" w:hAnsi="Calibri"/>
        </w:rPr>
        <w:t xml:space="preserve"> </w:t>
      </w:r>
      <w:proofErr w:type="spellStart"/>
      <w:r w:rsidRPr="003F0485">
        <w:rPr>
          <w:rFonts w:ascii="Calibri" w:hAnsi="Calibri"/>
        </w:rPr>
        <w:t>Pharma</w:t>
      </w:r>
      <w:proofErr w:type="spellEnd"/>
      <w:r w:rsidRPr="003F0485">
        <w:rPr>
          <w:rFonts w:ascii="Calibri" w:hAnsi="Calibri"/>
          <w:spacing w:val="-2"/>
        </w:rPr>
        <w:t xml:space="preserve"> è indicato nel trattamento a lungo termine del dolore severo nei bambini che sono già in trattamento con sostanze oppiacee.</w:t>
      </w:r>
    </w:p>
    <w:p w:rsidR="00A36DF7" w:rsidRPr="003F0485" w:rsidRDefault="00A36DF7" w:rsidP="003F0485">
      <w:pPr>
        <w:widowControl w:val="0"/>
        <w:spacing w:after="0" w:line="240" w:lineRule="auto"/>
        <w:jc w:val="both"/>
        <w:rPr>
          <w:rFonts w:eastAsia="Calibri" w:cs="Calibri"/>
          <w:b/>
          <w:bCs/>
          <w:color w:val="000000"/>
          <w:lang w:eastAsia="it-IT"/>
        </w:rPr>
      </w:pPr>
    </w:p>
    <w:p w:rsidR="004241AC" w:rsidRPr="003F0485" w:rsidRDefault="004241AC" w:rsidP="003F0485">
      <w:pPr>
        <w:autoSpaceDE w:val="0"/>
        <w:autoSpaceDN w:val="0"/>
        <w:adjustRightInd w:val="0"/>
        <w:spacing w:after="0" w:line="240" w:lineRule="auto"/>
        <w:jc w:val="both"/>
        <w:rPr>
          <w:rFonts w:eastAsia="Calibri" w:cs="Calibri"/>
          <w:b/>
          <w:bCs/>
          <w:color w:val="000000"/>
          <w:lang w:eastAsia="it-IT"/>
        </w:rPr>
      </w:pPr>
    </w:p>
    <w:p w:rsidR="004241AC" w:rsidRPr="003F0485" w:rsidRDefault="004241AC" w:rsidP="003F0485">
      <w:pPr>
        <w:autoSpaceDE w:val="0"/>
        <w:autoSpaceDN w:val="0"/>
        <w:adjustRightInd w:val="0"/>
        <w:spacing w:after="0" w:line="240" w:lineRule="auto"/>
        <w:jc w:val="both"/>
        <w:rPr>
          <w:rFonts w:eastAsia="Calibri" w:cs="Calibri"/>
          <w:color w:val="000000"/>
          <w:lang w:eastAsia="it-IT"/>
        </w:rPr>
      </w:pPr>
      <w:r w:rsidRPr="003F0485">
        <w:rPr>
          <w:rFonts w:eastAsia="Calibri" w:cs="Calibri"/>
          <w:b/>
          <w:bCs/>
          <w:color w:val="000000"/>
          <w:lang w:eastAsia="it-IT"/>
        </w:rPr>
        <w:t xml:space="preserve">2) COME E’ PRESCRITTO/USATO </w:t>
      </w:r>
      <w:proofErr w:type="spellStart"/>
      <w:r w:rsidR="006951D9" w:rsidRPr="003F0485">
        <w:rPr>
          <w:rFonts w:eastAsia="Calibri" w:cs="Calibri"/>
          <w:b/>
          <w:bCs/>
          <w:color w:val="000000"/>
          <w:lang w:eastAsia="it-IT"/>
        </w:rPr>
        <w:t>Fentanyl</w:t>
      </w:r>
      <w:proofErr w:type="spellEnd"/>
      <w:r w:rsidR="006951D9" w:rsidRPr="003F0485">
        <w:rPr>
          <w:rFonts w:eastAsia="Calibri" w:cs="Calibri"/>
          <w:b/>
          <w:bCs/>
          <w:color w:val="000000"/>
          <w:lang w:eastAsia="it-IT"/>
        </w:rPr>
        <w:t xml:space="preserve"> </w:t>
      </w:r>
      <w:proofErr w:type="spellStart"/>
      <w:r w:rsidR="006951D9" w:rsidRPr="003F0485">
        <w:rPr>
          <w:rFonts w:eastAsia="Calibri" w:cs="Calibri"/>
          <w:b/>
          <w:bCs/>
          <w:color w:val="000000"/>
          <w:lang w:eastAsia="it-IT"/>
        </w:rPr>
        <w:t>Noventia</w:t>
      </w:r>
      <w:proofErr w:type="spellEnd"/>
      <w:r w:rsidR="006951D9" w:rsidRPr="003F0485">
        <w:rPr>
          <w:rFonts w:eastAsia="Calibri" w:cs="Calibri"/>
          <w:b/>
          <w:bCs/>
          <w:color w:val="000000"/>
          <w:lang w:eastAsia="it-IT"/>
        </w:rPr>
        <w:t xml:space="preserve"> </w:t>
      </w:r>
      <w:proofErr w:type="spellStart"/>
      <w:r w:rsidR="006951D9" w:rsidRPr="003F0485">
        <w:rPr>
          <w:rFonts w:eastAsia="Calibri" w:cs="Calibri"/>
          <w:b/>
          <w:bCs/>
          <w:color w:val="000000"/>
          <w:lang w:eastAsia="it-IT"/>
        </w:rPr>
        <w:t>Pharma</w:t>
      </w:r>
      <w:proofErr w:type="spellEnd"/>
      <w:r w:rsidRPr="003F0485">
        <w:rPr>
          <w:rFonts w:eastAsia="Calibri" w:cs="Calibri"/>
          <w:b/>
          <w:bCs/>
          <w:color w:val="000000"/>
          <w:lang w:eastAsia="it-IT"/>
        </w:rPr>
        <w:t>?</w:t>
      </w:r>
    </w:p>
    <w:p w:rsidR="006951D9" w:rsidRPr="003F0485" w:rsidRDefault="006951D9" w:rsidP="003F0485">
      <w:pPr>
        <w:suppressAutoHyphens/>
        <w:spacing w:after="0" w:line="240" w:lineRule="auto"/>
        <w:jc w:val="both"/>
        <w:rPr>
          <w:rFonts w:ascii="Calibri" w:eastAsia="Calibri" w:hAnsi="Calibri" w:cs="Times New Roman"/>
          <w:noProof/>
        </w:rPr>
      </w:pPr>
      <w:proofErr w:type="spellStart"/>
      <w:r w:rsidRPr="003F0485">
        <w:rPr>
          <w:rFonts w:eastAsia="Calibri" w:cs="Calibri"/>
          <w:color w:val="000000"/>
          <w:lang w:eastAsia="it-IT"/>
        </w:rPr>
        <w:t>Fentanyl</w:t>
      </w:r>
      <w:proofErr w:type="spellEnd"/>
      <w:r w:rsidRPr="003F0485">
        <w:rPr>
          <w:rFonts w:eastAsia="Calibri" w:cs="Calibri"/>
          <w:color w:val="000000"/>
          <w:lang w:eastAsia="it-IT"/>
        </w:rPr>
        <w:t xml:space="preserve"> </w:t>
      </w:r>
      <w:proofErr w:type="spellStart"/>
      <w:r w:rsidRPr="003F0485">
        <w:rPr>
          <w:rFonts w:eastAsia="Calibri" w:cs="Calibri"/>
          <w:color w:val="000000"/>
          <w:lang w:eastAsia="it-IT"/>
        </w:rPr>
        <w:t>Noventia</w:t>
      </w:r>
      <w:proofErr w:type="spellEnd"/>
      <w:r w:rsidRPr="003F0485">
        <w:rPr>
          <w:rFonts w:eastAsia="Calibri" w:cs="Calibri"/>
          <w:color w:val="000000"/>
          <w:lang w:eastAsia="it-IT"/>
        </w:rPr>
        <w:t xml:space="preserve"> </w:t>
      </w:r>
      <w:proofErr w:type="spellStart"/>
      <w:r w:rsidRPr="003F0485">
        <w:rPr>
          <w:rFonts w:eastAsia="Calibri" w:cs="Calibri"/>
          <w:color w:val="000000"/>
          <w:lang w:eastAsia="it-IT"/>
        </w:rPr>
        <w:t>Pharma</w:t>
      </w:r>
      <w:proofErr w:type="spellEnd"/>
      <w:r w:rsidR="00E159A3" w:rsidRPr="003F0485">
        <w:rPr>
          <w:rFonts w:eastAsia="Calibri" w:cs="Calibri"/>
          <w:color w:val="000000"/>
          <w:lang w:eastAsia="it-IT"/>
        </w:rPr>
        <w:t xml:space="preserve"> </w:t>
      </w:r>
      <w:r w:rsidR="004241AC" w:rsidRPr="003F0485">
        <w:rPr>
          <w:rFonts w:eastAsia="Calibri" w:cs="Calibri"/>
          <w:color w:val="000000"/>
          <w:lang w:eastAsia="it-IT"/>
        </w:rPr>
        <w:t xml:space="preserve">può essere ottenuto solo dietro prescrizione da parte del medico (ricetta </w:t>
      </w:r>
      <w:r w:rsidRPr="003F0485">
        <w:rPr>
          <w:rFonts w:eastAsia="Calibri" w:cs="Calibri"/>
          <w:color w:val="000000"/>
          <w:lang w:eastAsia="it-IT"/>
        </w:rPr>
        <w:t xml:space="preserve">non </w:t>
      </w:r>
      <w:r w:rsidR="004241AC" w:rsidRPr="003F0485">
        <w:rPr>
          <w:rFonts w:eastAsia="Calibri" w:cs="Calibri"/>
          <w:color w:val="000000"/>
          <w:lang w:eastAsia="it-IT"/>
        </w:rPr>
        <w:t>ripetibile).</w:t>
      </w:r>
      <w:r w:rsidRPr="003F0485">
        <w:rPr>
          <w:rFonts w:eastAsia="Calibri" w:cs="Calibri"/>
          <w:color w:val="000000"/>
          <w:lang w:eastAsia="it-IT"/>
        </w:rPr>
        <w:t xml:space="preserve"> E’ un m</w:t>
      </w:r>
      <w:r w:rsidRPr="003F0485">
        <w:rPr>
          <w:rFonts w:ascii="Calibri" w:eastAsia="Calibri" w:hAnsi="Calibri" w:cs="Times New Roman"/>
          <w:noProof/>
        </w:rPr>
        <w:t>edicinale iscritto nella tabella II, sezione D del testo unico di cui al D.P.R. 309/90</w:t>
      </w:r>
      <w:r w:rsidR="003F0485">
        <w:rPr>
          <w:rFonts w:ascii="Calibri" w:hAnsi="Calibri"/>
          <w:noProof/>
        </w:rPr>
        <w:t>.</w:t>
      </w:r>
      <w:r w:rsidRPr="003F0485">
        <w:rPr>
          <w:rFonts w:ascii="Calibri" w:eastAsia="Calibri" w:hAnsi="Calibri" w:cs="Times New Roman"/>
          <w:noProof/>
        </w:rPr>
        <w:t xml:space="preserve"> </w:t>
      </w:r>
    </w:p>
    <w:p w:rsidR="006951D9" w:rsidRPr="003F0485" w:rsidRDefault="003F0485" w:rsidP="003F0485">
      <w:pPr>
        <w:tabs>
          <w:tab w:val="left" w:pos="0"/>
        </w:tabs>
        <w:spacing w:after="0" w:line="240" w:lineRule="auto"/>
        <w:jc w:val="both"/>
        <w:rPr>
          <w:rFonts w:ascii="Calibri" w:hAnsi="Calibri"/>
          <w:spacing w:val="-2"/>
        </w:rPr>
      </w:pPr>
      <w:r w:rsidRPr="003F0485">
        <w:rPr>
          <w:rFonts w:ascii="Calibri" w:hAnsi="Calibri"/>
        </w:rPr>
        <w:t>I</w:t>
      </w:r>
      <w:r w:rsidR="00D83543" w:rsidRPr="003F0485">
        <w:rPr>
          <w:rFonts w:ascii="Calibri" w:hAnsi="Calibri"/>
        </w:rPr>
        <w:t>l medico stabilirà la dose ottimale</w:t>
      </w:r>
      <w:r w:rsidR="00D83543" w:rsidRPr="003F0485">
        <w:rPr>
          <w:rFonts w:ascii="Calibri" w:hAnsi="Calibri"/>
          <w:spacing w:val="-2"/>
        </w:rPr>
        <w:t xml:space="preserve"> di </w:t>
      </w:r>
      <w:proofErr w:type="spellStart"/>
      <w:r w:rsidR="00D83543" w:rsidRPr="003F0485">
        <w:rPr>
          <w:rFonts w:ascii="Calibri" w:hAnsi="Calibri"/>
        </w:rPr>
        <w:t>Fentanyl</w:t>
      </w:r>
      <w:proofErr w:type="spellEnd"/>
      <w:r w:rsidR="00D83543" w:rsidRPr="003F0485">
        <w:rPr>
          <w:rFonts w:ascii="Calibri" w:hAnsi="Calibri"/>
        </w:rPr>
        <w:t xml:space="preserve"> </w:t>
      </w:r>
      <w:proofErr w:type="spellStart"/>
      <w:r w:rsidR="00D83543" w:rsidRPr="003F0485">
        <w:rPr>
          <w:rFonts w:ascii="Calibri" w:hAnsi="Calibri"/>
        </w:rPr>
        <w:t>Noventia</w:t>
      </w:r>
      <w:proofErr w:type="spellEnd"/>
      <w:r w:rsidR="00D83543" w:rsidRPr="003F0485">
        <w:rPr>
          <w:rFonts w:ascii="Calibri" w:hAnsi="Calibri"/>
        </w:rPr>
        <w:t xml:space="preserve"> </w:t>
      </w:r>
      <w:proofErr w:type="spellStart"/>
      <w:r w:rsidR="00D83543" w:rsidRPr="003F0485">
        <w:rPr>
          <w:rFonts w:ascii="Calibri" w:hAnsi="Calibri"/>
        </w:rPr>
        <w:t>Pharma</w:t>
      </w:r>
      <w:proofErr w:type="spellEnd"/>
      <w:r w:rsidR="00D83543" w:rsidRPr="003F0485">
        <w:rPr>
          <w:rFonts w:ascii="Calibri" w:hAnsi="Calibri"/>
        </w:rPr>
        <w:t xml:space="preserve"> in base alla patologia e alle condizioni cliniche del paziente, </w:t>
      </w:r>
      <w:r w:rsidR="00D83543" w:rsidRPr="003F0485">
        <w:rPr>
          <w:rFonts w:ascii="Calibri" w:hAnsi="Calibri"/>
          <w:spacing w:val="-2"/>
        </w:rPr>
        <w:t>iniziando dalla dose più bassa possibile e incrementandola, se necessario, ad intervalli regolari.</w:t>
      </w:r>
    </w:p>
    <w:p w:rsidR="00D83543" w:rsidRPr="003F0485" w:rsidRDefault="003F0485" w:rsidP="003F0485">
      <w:pPr>
        <w:tabs>
          <w:tab w:val="left" w:pos="0"/>
          <w:tab w:val="left" w:pos="164"/>
          <w:tab w:val="left" w:pos="3452"/>
          <w:tab w:val="left" w:pos="4320"/>
        </w:tabs>
        <w:suppressAutoHyphens/>
        <w:spacing w:after="0" w:line="240" w:lineRule="auto"/>
        <w:jc w:val="both"/>
        <w:rPr>
          <w:rFonts w:ascii="Calibri" w:hAnsi="Calibri"/>
          <w:spacing w:val="-2"/>
        </w:rPr>
      </w:pPr>
      <w:r w:rsidRPr="003F0485">
        <w:rPr>
          <w:rFonts w:ascii="Calibri" w:hAnsi="Calibri"/>
          <w:spacing w:val="-2"/>
        </w:rPr>
        <w:t xml:space="preserve">Il cerotto di </w:t>
      </w:r>
      <w:proofErr w:type="spellStart"/>
      <w:r w:rsidR="00D83543" w:rsidRPr="003F0485">
        <w:rPr>
          <w:rFonts w:ascii="Calibri" w:hAnsi="Calibri"/>
          <w:spacing w:val="-2"/>
        </w:rPr>
        <w:t>Fentanyl</w:t>
      </w:r>
      <w:proofErr w:type="spellEnd"/>
      <w:r w:rsidR="00D83543" w:rsidRPr="003F0485">
        <w:rPr>
          <w:rFonts w:ascii="Calibri" w:hAnsi="Calibri"/>
          <w:spacing w:val="-2"/>
        </w:rPr>
        <w:t xml:space="preserve"> </w:t>
      </w:r>
      <w:proofErr w:type="spellStart"/>
      <w:r w:rsidR="00D83543" w:rsidRPr="003F0485">
        <w:rPr>
          <w:rFonts w:ascii="Calibri" w:hAnsi="Calibri"/>
          <w:spacing w:val="-2"/>
        </w:rPr>
        <w:t>Noventia</w:t>
      </w:r>
      <w:proofErr w:type="spellEnd"/>
      <w:r w:rsidR="00D83543" w:rsidRPr="003F0485">
        <w:rPr>
          <w:rFonts w:ascii="Calibri" w:hAnsi="Calibri"/>
          <w:spacing w:val="-2"/>
        </w:rPr>
        <w:t xml:space="preserve"> </w:t>
      </w:r>
      <w:proofErr w:type="spellStart"/>
      <w:r w:rsidR="00D83543" w:rsidRPr="003F0485">
        <w:rPr>
          <w:rFonts w:ascii="Calibri" w:hAnsi="Calibri"/>
          <w:spacing w:val="-2"/>
        </w:rPr>
        <w:t>Pharma</w:t>
      </w:r>
      <w:proofErr w:type="spellEnd"/>
      <w:r w:rsidR="00D83543" w:rsidRPr="003F0485">
        <w:rPr>
          <w:rFonts w:ascii="Calibri" w:hAnsi="Calibri"/>
          <w:spacing w:val="-2"/>
        </w:rPr>
        <w:t xml:space="preserve"> d</w:t>
      </w:r>
      <w:r w:rsidR="00317178">
        <w:rPr>
          <w:rFonts w:ascii="Calibri" w:hAnsi="Calibri"/>
          <w:spacing w:val="-2"/>
        </w:rPr>
        <w:t>e</w:t>
      </w:r>
      <w:r w:rsidRPr="003F0485">
        <w:rPr>
          <w:rFonts w:ascii="Calibri" w:hAnsi="Calibri"/>
          <w:spacing w:val="-2"/>
        </w:rPr>
        <w:t>ve</w:t>
      </w:r>
      <w:r w:rsidR="00D83543" w:rsidRPr="003F0485">
        <w:rPr>
          <w:rFonts w:ascii="Calibri" w:hAnsi="Calibri"/>
          <w:spacing w:val="-2"/>
        </w:rPr>
        <w:t xml:space="preserve"> essere applicato su un tratto liscio,</w:t>
      </w:r>
      <w:r w:rsidRPr="003F0485">
        <w:rPr>
          <w:rFonts w:ascii="Calibri" w:hAnsi="Calibri"/>
          <w:spacing w:val="-2"/>
        </w:rPr>
        <w:t xml:space="preserve"> possibilmente glabro,</w:t>
      </w:r>
      <w:r w:rsidR="00D83543" w:rsidRPr="003F0485">
        <w:rPr>
          <w:rFonts w:ascii="Calibri" w:hAnsi="Calibri"/>
          <w:spacing w:val="-2"/>
        </w:rPr>
        <w:t xml:space="preserve"> pulito e asciutto di </w:t>
      </w:r>
      <w:r w:rsidRPr="003F0485">
        <w:rPr>
          <w:rFonts w:ascii="Calibri" w:hAnsi="Calibri"/>
          <w:spacing w:val="-2"/>
        </w:rPr>
        <w:t>pelle</w:t>
      </w:r>
      <w:r w:rsidR="00D83543" w:rsidRPr="003F0485">
        <w:rPr>
          <w:rFonts w:ascii="Calibri" w:hAnsi="Calibri"/>
          <w:spacing w:val="-2"/>
        </w:rPr>
        <w:t xml:space="preserve"> non irritata e non irradiata del tronco o degli avambracci.</w:t>
      </w:r>
      <w:r w:rsidRPr="003F0485">
        <w:rPr>
          <w:rFonts w:ascii="Calibri" w:hAnsi="Calibri"/>
          <w:spacing w:val="-2"/>
        </w:rPr>
        <w:t xml:space="preserve"> </w:t>
      </w:r>
      <w:r w:rsidR="00D83543" w:rsidRPr="003F0485">
        <w:rPr>
          <w:rFonts w:ascii="Calibri" w:hAnsi="Calibri"/>
          <w:spacing w:val="-2"/>
        </w:rPr>
        <w:t>Nei bambini piccoli, il sito di applicazione preferito è la parte alta della schiena in modo da minimizzare il rischio che il bambino se lo tolga.</w:t>
      </w:r>
    </w:p>
    <w:p w:rsidR="00D83543" w:rsidRPr="003F0485" w:rsidRDefault="003F0485" w:rsidP="003F0485">
      <w:pPr>
        <w:tabs>
          <w:tab w:val="left" w:pos="0"/>
          <w:tab w:val="left" w:pos="164"/>
          <w:tab w:val="left" w:pos="3452"/>
          <w:tab w:val="left" w:pos="4320"/>
        </w:tabs>
        <w:suppressAutoHyphens/>
        <w:spacing w:after="0" w:line="240" w:lineRule="auto"/>
        <w:jc w:val="both"/>
        <w:rPr>
          <w:rFonts w:ascii="Calibri" w:hAnsi="Calibri"/>
          <w:spacing w:val="-2"/>
        </w:rPr>
      </w:pPr>
      <w:r w:rsidRPr="003F0485">
        <w:rPr>
          <w:rFonts w:ascii="Calibri" w:hAnsi="Calibri"/>
          <w:spacing w:val="-2"/>
        </w:rPr>
        <w:lastRenderedPageBreak/>
        <w:t>Il cerotto</w:t>
      </w:r>
      <w:r w:rsidR="00D83543" w:rsidRPr="003F0485">
        <w:rPr>
          <w:rFonts w:ascii="Calibri" w:hAnsi="Calibri"/>
          <w:spacing w:val="-2"/>
        </w:rPr>
        <w:t xml:space="preserve"> va applicato immediatamente dopo averlo estratto dall'involucro sigillato</w:t>
      </w:r>
      <w:r w:rsidRPr="003F0485">
        <w:rPr>
          <w:rFonts w:ascii="Calibri" w:hAnsi="Calibri"/>
          <w:spacing w:val="-2"/>
        </w:rPr>
        <w:t xml:space="preserve"> e</w:t>
      </w:r>
      <w:r w:rsidR="00D83543" w:rsidRPr="003F0485">
        <w:rPr>
          <w:rFonts w:ascii="Calibri" w:hAnsi="Calibri"/>
          <w:spacing w:val="-2"/>
        </w:rPr>
        <w:t xml:space="preserve"> deve essere portato ininterrottamente per 72 ore. Ogni nuovo cerotto va applicato in un punto diverso dal precedente.</w:t>
      </w:r>
    </w:p>
    <w:p w:rsidR="004241AC" w:rsidRPr="003F0485" w:rsidRDefault="004241AC" w:rsidP="003F0485">
      <w:pPr>
        <w:autoSpaceDE w:val="0"/>
        <w:autoSpaceDN w:val="0"/>
        <w:adjustRightInd w:val="0"/>
        <w:spacing w:after="0" w:line="240" w:lineRule="auto"/>
        <w:jc w:val="both"/>
        <w:rPr>
          <w:rFonts w:eastAsia="Calibri" w:cs="Verdana"/>
          <w:color w:val="000000"/>
          <w:lang w:eastAsia="it-IT"/>
        </w:rPr>
      </w:pPr>
    </w:p>
    <w:p w:rsidR="00947EF5" w:rsidRPr="003F0485" w:rsidRDefault="00947EF5" w:rsidP="003F0485">
      <w:pPr>
        <w:autoSpaceDE w:val="0"/>
        <w:autoSpaceDN w:val="0"/>
        <w:adjustRightInd w:val="0"/>
        <w:spacing w:after="0" w:line="240" w:lineRule="auto"/>
        <w:jc w:val="both"/>
        <w:rPr>
          <w:rFonts w:eastAsia="Calibri" w:cs="Verdana"/>
          <w:color w:val="000000"/>
          <w:lang w:eastAsia="it-IT"/>
        </w:rPr>
      </w:pPr>
    </w:p>
    <w:p w:rsidR="004241AC" w:rsidRPr="003F0485" w:rsidRDefault="004241AC" w:rsidP="003F0485">
      <w:pPr>
        <w:autoSpaceDE w:val="0"/>
        <w:autoSpaceDN w:val="0"/>
        <w:adjustRightInd w:val="0"/>
        <w:spacing w:after="0" w:line="240" w:lineRule="auto"/>
        <w:jc w:val="both"/>
        <w:rPr>
          <w:rFonts w:eastAsia="Calibri" w:cs="Calibri"/>
          <w:color w:val="000000"/>
          <w:lang w:eastAsia="it-IT"/>
        </w:rPr>
      </w:pPr>
      <w:r w:rsidRPr="003F0485">
        <w:rPr>
          <w:rFonts w:eastAsia="Calibri" w:cs="Calibri"/>
          <w:b/>
          <w:bCs/>
          <w:color w:val="000000"/>
          <w:lang w:eastAsia="it-IT"/>
        </w:rPr>
        <w:t xml:space="preserve">3) COME FUNZIONA </w:t>
      </w:r>
      <w:proofErr w:type="spellStart"/>
      <w:r w:rsidR="006951D9" w:rsidRPr="003F0485">
        <w:rPr>
          <w:rFonts w:eastAsia="Calibri" w:cs="Calibri"/>
          <w:b/>
          <w:bCs/>
          <w:color w:val="000000"/>
          <w:lang w:eastAsia="it-IT"/>
        </w:rPr>
        <w:t>Fentanyl</w:t>
      </w:r>
      <w:proofErr w:type="spellEnd"/>
      <w:r w:rsidR="006951D9" w:rsidRPr="003F0485">
        <w:rPr>
          <w:rFonts w:eastAsia="Calibri" w:cs="Calibri"/>
          <w:b/>
          <w:bCs/>
          <w:color w:val="000000"/>
          <w:lang w:eastAsia="it-IT"/>
        </w:rPr>
        <w:t xml:space="preserve"> </w:t>
      </w:r>
      <w:proofErr w:type="spellStart"/>
      <w:r w:rsidR="006951D9" w:rsidRPr="003F0485">
        <w:rPr>
          <w:rFonts w:eastAsia="Calibri" w:cs="Calibri"/>
          <w:b/>
          <w:bCs/>
          <w:color w:val="000000"/>
          <w:lang w:eastAsia="it-IT"/>
        </w:rPr>
        <w:t>Noventia</w:t>
      </w:r>
      <w:proofErr w:type="spellEnd"/>
      <w:r w:rsidR="006951D9" w:rsidRPr="003F0485">
        <w:rPr>
          <w:rFonts w:eastAsia="Calibri" w:cs="Calibri"/>
          <w:b/>
          <w:bCs/>
          <w:color w:val="000000"/>
          <w:lang w:eastAsia="it-IT"/>
        </w:rPr>
        <w:t xml:space="preserve"> </w:t>
      </w:r>
      <w:proofErr w:type="spellStart"/>
      <w:r w:rsidR="006951D9" w:rsidRPr="003F0485">
        <w:rPr>
          <w:rFonts w:eastAsia="Calibri" w:cs="Calibri"/>
          <w:b/>
          <w:bCs/>
          <w:color w:val="000000"/>
          <w:lang w:eastAsia="it-IT"/>
        </w:rPr>
        <w:t>Pharma</w:t>
      </w:r>
      <w:proofErr w:type="spellEnd"/>
      <w:r w:rsidRPr="003F0485">
        <w:rPr>
          <w:rFonts w:eastAsia="Calibri" w:cs="Calibri"/>
          <w:b/>
          <w:bCs/>
          <w:color w:val="000000"/>
          <w:lang w:eastAsia="it-IT"/>
        </w:rPr>
        <w:t xml:space="preserve">? </w:t>
      </w:r>
    </w:p>
    <w:p w:rsidR="004241AC" w:rsidRPr="003F0485" w:rsidRDefault="006951D9" w:rsidP="003F0485">
      <w:pPr>
        <w:autoSpaceDE w:val="0"/>
        <w:autoSpaceDN w:val="0"/>
        <w:adjustRightInd w:val="0"/>
        <w:spacing w:after="0" w:line="240" w:lineRule="auto"/>
        <w:jc w:val="both"/>
        <w:rPr>
          <w:rFonts w:eastAsia="DejaVuSans" w:cs="DejaVuSans"/>
        </w:rPr>
      </w:pPr>
      <w:proofErr w:type="spellStart"/>
      <w:r w:rsidRPr="003F0485">
        <w:rPr>
          <w:rFonts w:eastAsia="Calibri" w:cs="Calibri"/>
          <w:bCs/>
          <w:color w:val="000000"/>
          <w:lang w:eastAsia="it-IT"/>
        </w:rPr>
        <w:t>Fentanyl</w:t>
      </w:r>
      <w:proofErr w:type="spellEnd"/>
      <w:r w:rsidRPr="003F0485">
        <w:rPr>
          <w:rFonts w:eastAsia="Calibri" w:cs="Calibri"/>
          <w:bCs/>
          <w:color w:val="000000"/>
          <w:lang w:eastAsia="it-IT"/>
        </w:rPr>
        <w:t xml:space="preserve"> </w:t>
      </w:r>
      <w:proofErr w:type="spellStart"/>
      <w:r w:rsidRPr="003F0485">
        <w:rPr>
          <w:rFonts w:eastAsia="Calibri" w:cs="Calibri"/>
          <w:bCs/>
          <w:color w:val="000000"/>
          <w:lang w:eastAsia="it-IT"/>
        </w:rPr>
        <w:t>Noventia</w:t>
      </w:r>
      <w:proofErr w:type="spellEnd"/>
      <w:r w:rsidRPr="003F0485">
        <w:rPr>
          <w:rFonts w:eastAsia="Calibri" w:cs="Calibri"/>
          <w:bCs/>
          <w:color w:val="000000"/>
          <w:lang w:eastAsia="it-IT"/>
        </w:rPr>
        <w:t xml:space="preserve"> </w:t>
      </w:r>
      <w:proofErr w:type="spellStart"/>
      <w:r w:rsidRPr="003F0485">
        <w:rPr>
          <w:rFonts w:eastAsia="Calibri" w:cs="Calibri"/>
          <w:bCs/>
          <w:color w:val="000000"/>
          <w:lang w:eastAsia="it-IT"/>
        </w:rPr>
        <w:t>Pharma</w:t>
      </w:r>
      <w:proofErr w:type="spellEnd"/>
      <w:r w:rsidR="00E43089" w:rsidRPr="003F0485">
        <w:rPr>
          <w:rFonts w:eastAsia="Calibri" w:cs="Calibri"/>
          <w:bCs/>
          <w:color w:val="000000"/>
          <w:lang w:eastAsia="it-IT"/>
        </w:rPr>
        <w:t xml:space="preserve">, il </w:t>
      </w:r>
      <w:r w:rsidR="00762D88" w:rsidRPr="003F0485">
        <w:rPr>
          <w:rFonts w:eastAsia="Calibri" w:cs="Calibri"/>
          <w:bCs/>
          <w:color w:val="000000"/>
          <w:lang w:eastAsia="it-IT"/>
        </w:rPr>
        <w:t xml:space="preserve">cui </w:t>
      </w:r>
      <w:r w:rsidR="00E43089" w:rsidRPr="003F0485">
        <w:rPr>
          <w:rFonts w:eastAsia="Calibri" w:cs="Calibri"/>
          <w:bCs/>
          <w:color w:val="000000"/>
          <w:lang w:eastAsia="it-IT"/>
        </w:rPr>
        <w:t xml:space="preserve">codice ATC è </w:t>
      </w:r>
      <w:r w:rsidR="003F0485" w:rsidRPr="003F0485">
        <w:rPr>
          <w:rFonts w:ascii="Calibri" w:hAnsi="Calibri"/>
        </w:rPr>
        <w:t>N02AB03</w:t>
      </w:r>
      <w:r w:rsidR="00E43089" w:rsidRPr="003F0485">
        <w:rPr>
          <w:rFonts w:eastAsia="DejaVuSans" w:cs="DejaVuSans"/>
        </w:rPr>
        <w:t xml:space="preserve">, </w:t>
      </w:r>
      <w:r w:rsidR="004241AC" w:rsidRPr="003F0485">
        <w:rPr>
          <w:rFonts w:eastAsia="Calibri" w:cs="Calibri"/>
          <w:color w:val="000000"/>
          <w:lang w:eastAsia="it-IT"/>
        </w:rPr>
        <w:t>contiene i</w:t>
      </w:r>
      <w:r w:rsidR="00A36DF7" w:rsidRPr="003F0485">
        <w:rPr>
          <w:rFonts w:eastAsia="Calibri" w:cs="Calibri"/>
          <w:color w:val="000000"/>
          <w:lang w:eastAsia="it-IT"/>
        </w:rPr>
        <w:t xml:space="preserve">l </w:t>
      </w:r>
      <w:r w:rsidR="004241AC" w:rsidRPr="003F0485">
        <w:rPr>
          <w:rFonts w:eastAsia="Calibri" w:cs="Calibri"/>
          <w:color w:val="000000"/>
          <w:lang w:eastAsia="it-IT"/>
        </w:rPr>
        <w:t>principi</w:t>
      </w:r>
      <w:r w:rsidR="00A36DF7" w:rsidRPr="003F0485">
        <w:rPr>
          <w:rFonts w:eastAsia="Calibri" w:cs="Calibri"/>
          <w:color w:val="000000"/>
          <w:lang w:eastAsia="it-IT"/>
        </w:rPr>
        <w:t>o</w:t>
      </w:r>
      <w:r w:rsidR="004241AC" w:rsidRPr="003F0485">
        <w:rPr>
          <w:rFonts w:eastAsia="Calibri" w:cs="Calibri"/>
          <w:color w:val="000000"/>
          <w:lang w:eastAsia="it-IT"/>
        </w:rPr>
        <w:t xml:space="preserve"> attiv</w:t>
      </w:r>
      <w:r w:rsidR="00A36DF7" w:rsidRPr="003F0485">
        <w:rPr>
          <w:rFonts w:eastAsia="Calibri" w:cs="Calibri"/>
          <w:color w:val="000000"/>
          <w:lang w:eastAsia="it-IT"/>
        </w:rPr>
        <w:t>o</w:t>
      </w:r>
      <w:r w:rsidR="004241AC" w:rsidRPr="003F0485">
        <w:rPr>
          <w:rFonts w:eastAsia="Calibri" w:cs="Calibri"/>
          <w:color w:val="000000"/>
          <w:lang w:eastAsia="it-IT"/>
        </w:rPr>
        <w:t xml:space="preserve"> </w:t>
      </w:r>
      <w:proofErr w:type="spellStart"/>
      <w:r w:rsidRPr="003F0485">
        <w:rPr>
          <w:rFonts w:eastAsia="Calibri" w:cs="Calibri"/>
          <w:color w:val="000000"/>
          <w:lang w:eastAsia="it-IT"/>
        </w:rPr>
        <w:t>fentanil</w:t>
      </w:r>
      <w:proofErr w:type="spellEnd"/>
      <w:r w:rsidR="00A36DF7" w:rsidRPr="003F0485">
        <w:rPr>
          <w:rFonts w:eastAsia="Calibri" w:cs="Calibri"/>
          <w:color w:val="000000"/>
          <w:lang w:eastAsia="it-IT"/>
        </w:rPr>
        <w:t xml:space="preserve"> che </w:t>
      </w:r>
      <w:r w:rsidR="003F0485" w:rsidRPr="003F0485">
        <w:rPr>
          <w:rFonts w:ascii="Calibri" w:hAnsi="Calibri"/>
        </w:rPr>
        <w:t xml:space="preserve">è un analgesico oppiaceo prevalentemente con affinità per i recettori µ degli oppiacei. Le sue principali azioni terapeutiche sono l’analgesia e la </w:t>
      </w:r>
      <w:proofErr w:type="spellStart"/>
      <w:r w:rsidR="003F0485" w:rsidRPr="003F0485">
        <w:rPr>
          <w:rFonts w:ascii="Calibri" w:hAnsi="Calibri"/>
        </w:rPr>
        <w:t>sedazione</w:t>
      </w:r>
      <w:proofErr w:type="spellEnd"/>
      <w:r w:rsidR="003F0485" w:rsidRPr="003F0485">
        <w:rPr>
          <w:rFonts w:ascii="Calibri" w:hAnsi="Calibri"/>
        </w:rPr>
        <w:t>.</w:t>
      </w:r>
    </w:p>
    <w:p w:rsidR="004241AC" w:rsidRDefault="004241AC" w:rsidP="003F0485">
      <w:pPr>
        <w:tabs>
          <w:tab w:val="left" w:pos="0"/>
        </w:tabs>
        <w:overflowPunct w:val="0"/>
        <w:autoSpaceDE w:val="0"/>
        <w:autoSpaceDN w:val="0"/>
        <w:adjustRightInd w:val="0"/>
        <w:spacing w:after="0" w:line="240" w:lineRule="auto"/>
        <w:jc w:val="both"/>
        <w:textAlignment w:val="baseline"/>
        <w:rPr>
          <w:iCs/>
        </w:rPr>
      </w:pPr>
    </w:p>
    <w:p w:rsidR="003F0485" w:rsidRPr="003F0485" w:rsidRDefault="003F0485" w:rsidP="003F0485">
      <w:pPr>
        <w:tabs>
          <w:tab w:val="left" w:pos="0"/>
        </w:tabs>
        <w:overflowPunct w:val="0"/>
        <w:autoSpaceDE w:val="0"/>
        <w:autoSpaceDN w:val="0"/>
        <w:adjustRightInd w:val="0"/>
        <w:spacing w:after="0" w:line="240" w:lineRule="auto"/>
        <w:jc w:val="both"/>
        <w:textAlignment w:val="baseline"/>
        <w:rPr>
          <w:iCs/>
        </w:rPr>
      </w:pPr>
    </w:p>
    <w:p w:rsidR="004241AC" w:rsidRPr="003F0485" w:rsidRDefault="004241AC" w:rsidP="003F0485">
      <w:pPr>
        <w:autoSpaceDE w:val="0"/>
        <w:autoSpaceDN w:val="0"/>
        <w:adjustRightInd w:val="0"/>
        <w:spacing w:after="0" w:line="240" w:lineRule="auto"/>
        <w:jc w:val="both"/>
        <w:rPr>
          <w:rFonts w:eastAsia="Calibri" w:cs="Calibri"/>
          <w:lang w:eastAsia="it-IT"/>
        </w:rPr>
      </w:pPr>
      <w:r w:rsidRPr="003F0485">
        <w:rPr>
          <w:rFonts w:eastAsia="Calibri" w:cs="Calibri"/>
          <w:b/>
          <w:bCs/>
          <w:lang w:eastAsia="it-IT"/>
        </w:rPr>
        <w:t xml:space="preserve">4) COME È STATO STUDIATO </w:t>
      </w:r>
      <w:proofErr w:type="spellStart"/>
      <w:r w:rsidR="006951D9" w:rsidRPr="003F0485">
        <w:rPr>
          <w:rFonts w:eastAsia="Calibri" w:cs="Calibri"/>
          <w:b/>
          <w:bCs/>
          <w:color w:val="000000"/>
          <w:lang w:eastAsia="it-IT"/>
        </w:rPr>
        <w:t>Fentanyl</w:t>
      </w:r>
      <w:proofErr w:type="spellEnd"/>
      <w:r w:rsidR="006951D9" w:rsidRPr="003F0485">
        <w:rPr>
          <w:rFonts w:eastAsia="Calibri" w:cs="Calibri"/>
          <w:b/>
          <w:bCs/>
          <w:color w:val="000000"/>
          <w:lang w:eastAsia="it-IT"/>
        </w:rPr>
        <w:t xml:space="preserve"> </w:t>
      </w:r>
      <w:proofErr w:type="spellStart"/>
      <w:r w:rsidR="006951D9" w:rsidRPr="003F0485">
        <w:rPr>
          <w:rFonts w:eastAsia="Calibri" w:cs="Calibri"/>
          <w:b/>
          <w:bCs/>
          <w:color w:val="000000"/>
          <w:lang w:eastAsia="it-IT"/>
        </w:rPr>
        <w:t>Noventia</w:t>
      </w:r>
      <w:proofErr w:type="spellEnd"/>
      <w:r w:rsidR="006951D9" w:rsidRPr="003F0485">
        <w:rPr>
          <w:rFonts w:eastAsia="Calibri" w:cs="Calibri"/>
          <w:b/>
          <w:bCs/>
          <w:color w:val="000000"/>
          <w:lang w:eastAsia="it-IT"/>
        </w:rPr>
        <w:t xml:space="preserve"> </w:t>
      </w:r>
      <w:proofErr w:type="spellStart"/>
      <w:r w:rsidR="006951D9" w:rsidRPr="003F0485">
        <w:rPr>
          <w:rFonts w:eastAsia="Calibri" w:cs="Calibri"/>
          <w:b/>
          <w:bCs/>
          <w:color w:val="000000"/>
          <w:lang w:eastAsia="it-IT"/>
        </w:rPr>
        <w:t>Pharma</w:t>
      </w:r>
      <w:proofErr w:type="spellEnd"/>
      <w:r w:rsidRPr="003F0485">
        <w:rPr>
          <w:rFonts w:eastAsia="Calibri" w:cs="Calibri"/>
          <w:b/>
          <w:bCs/>
          <w:lang w:eastAsia="it-IT"/>
        </w:rPr>
        <w:t xml:space="preserve">? </w:t>
      </w:r>
    </w:p>
    <w:p w:rsidR="004241AC" w:rsidRPr="003F0485" w:rsidRDefault="004241AC" w:rsidP="003F0485">
      <w:pPr>
        <w:spacing w:after="0" w:line="240" w:lineRule="auto"/>
        <w:jc w:val="both"/>
        <w:rPr>
          <w:rFonts w:ascii="Calibri" w:hAnsi="Calibri" w:cs="Arial"/>
        </w:rPr>
      </w:pPr>
      <w:r w:rsidRPr="003F0485">
        <w:rPr>
          <w:rFonts w:ascii="Calibri" w:hAnsi="Calibri" w:cs="Arial"/>
        </w:rPr>
        <w:t xml:space="preserve">Poiché </w:t>
      </w:r>
      <w:proofErr w:type="spellStart"/>
      <w:r w:rsidR="006951D9" w:rsidRPr="003F0485">
        <w:rPr>
          <w:rFonts w:ascii="Calibri" w:hAnsi="Calibri" w:cs="Arial"/>
        </w:rPr>
        <w:t>Fentanyl</w:t>
      </w:r>
      <w:proofErr w:type="spellEnd"/>
      <w:r w:rsidR="006951D9" w:rsidRPr="003F0485">
        <w:rPr>
          <w:rFonts w:ascii="Calibri" w:hAnsi="Calibri" w:cs="Arial"/>
        </w:rPr>
        <w:t xml:space="preserve"> </w:t>
      </w:r>
      <w:proofErr w:type="spellStart"/>
      <w:r w:rsidR="006951D9" w:rsidRPr="003F0485">
        <w:rPr>
          <w:rFonts w:ascii="Calibri" w:hAnsi="Calibri" w:cs="Arial"/>
        </w:rPr>
        <w:t>Noventia</w:t>
      </w:r>
      <w:proofErr w:type="spellEnd"/>
      <w:r w:rsidR="006951D9" w:rsidRPr="003F0485">
        <w:rPr>
          <w:rFonts w:ascii="Calibri" w:hAnsi="Calibri" w:cs="Arial"/>
        </w:rPr>
        <w:t xml:space="preserve"> </w:t>
      </w:r>
      <w:proofErr w:type="spellStart"/>
      <w:r w:rsidR="006951D9" w:rsidRPr="003F0485">
        <w:rPr>
          <w:rFonts w:ascii="Calibri" w:hAnsi="Calibri" w:cs="Arial"/>
        </w:rPr>
        <w:t>Pharma</w:t>
      </w:r>
      <w:proofErr w:type="spellEnd"/>
      <w:r w:rsidR="00062636" w:rsidRPr="003F0485">
        <w:rPr>
          <w:rFonts w:ascii="Calibri" w:hAnsi="Calibri" w:cs="Arial"/>
        </w:rPr>
        <w:t xml:space="preserve"> </w:t>
      </w:r>
      <w:r w:rsidR="00013020" w:rsidRPr="003F0485">
        <w:rPr>
          <w:rFonts w:ascii="Calibri" w:hAnsi="Calibri" w:cs="Arial"/>
        </w:rPr>
        <w:t>è un medicinale generico</w:t>
      </w:r>
      <w:r w:rsidRPr="003F0485">
        <w:rPr>
          <w:rFonts w:ascii="Calibri" w:hAnsi="Calibri" w:cs="Arial"/>
        </w:rPr>
        <w:t>, è stato sufficiente effettuare prove cliniche per determinare</w:t>
      </w:r>
      <w:r w:rsidRPr="003F0485">
        <w:rPr>
          <w:rFonts w:ascii="Calibri" w:hAnsi="Calibri" w:cs="Arial"/>
          <w:b/>
        </w:rPr>
        <w:t xml:space="preserve"> </w:t>
      </w:r>
      <w:r w:rsidRPr="003F0485">
        <w:rPr>
          <w:rFonts w:ascii="Calibri" w:hAnsi="Calibri" w:cs="Arial"/>
        </w:rPr>
        <w:t xml:space="preserve">la bioequivalenza rispetto </w:t>
      </w:r>
      <w:r w:rsidR="00013020" w:rsidRPr="003F0485">
        <w:rPr>
          <w:rFonts w:ascii="Calibri" w:hAnsi="Calibri" w:cs="Arial"/>
        </w:rPr>
        <w:t>al</w:t>
      </w:r>
      <w:r w:rsidRPr="003F0485">
        <w:rPr>
          <w:rFonts w:ascii="Calibri" w:hAnsi="Calibri" w:cs="Arial"/>
        </w:rPr>
        <w:t xml:space="preserve"> medicinal</w:t>
      </w:r>
      <w:r w:rsidR="00013020" w:rsidRPr="003F0485">
        <w:rPr>
          <w:rFonts w:ascii="Calibri" w:hAnsi="Calibri" w:cs="Arial"/>
        </w:rPr>
        <w:t>e</w:t>
      </w:r>
      <w:r w:rsidR="008348A8" w:rsidRPr="003F0485">
        <w:rPr>
          <w:rFonts w:ascii="Calibri" w:hAnsi="Calibri" w:cs="Arial"/>
        </w:rPr>
        <w:t xml:space="preserve"> di riferimento</w:t>
      </w:r>
      <w:r w:rsidR="00013020" w:rsidRPr="003F0485">
        <w:rPr>
          <w:rFonts w:ascii="Calibri" w:hAnsi="Calibri" w:cs="Arial"/>
        </w:rPr>
        <w:t xml:space="preserve"> </w:t>
      </w:r>
      <w:proofErr w:type="spellStart"/>
      <w:r w:rsidR="003F0485">
        <w:rPr>
          <w:rFonts w:ascii="Calibri" w:hAnsi="Calibri" w:cs="Arial"/>
        </w:rPr>
        <w:t>Durogesic</w:t>
      </w:r>
      <w:proofErr w:type="spellEnd"/>
      <w:r w:rsidR="00013020" w:rsidRPr="003F0485">
        <w:rPr>
          <w:rFonts w:ascii="Calibri" w:hAnsi="Calibri" w:cs="Arial"/>
        </w:rPr>
        <w:t xml:space="preserve">. Due medicinali sono </w:t>
      </w:r>
      <w:proofErr w:type="spellStart"/>
      <w:r w:rsidR="00013020" w:rsidRPr="003F0485">
        <w:rPr>
          <w:rFonts w:ascii="Calibri" w:hAnsi="Calibri" w:cs="Arial"/>
        </w:rPr>
        <w:t>bioequivalenti</w:t>
      </w:r>
      <w:proofErr w:type="spellEnd"/>
      <w:r w:rsidR="00013020" w:rsidRPr="003F0485">
        <w:rPr>
          <w:rFonts w:ascii="Calibri" w:hAnsi="Calibri" w:cs="Arial"/>
        </w:rPr>
        <w:t xml:space="preserve"> quando producono gli stessi livelli di principio attivo nell’organismo</w:t>
      </w:r>
      <w:r w:rsidRPr="003F0485">
        <w:rPr>
          <w:rFonts w:ascii="Calibri" w:hAnsi="Calibri" w:cs="Arial"/>
        </w:rPr>
        <w:t xml:space="preserve">. </w:t>
      </w:r>
    </w:p>
    <w:p w:rsidR="004241AC" w:rsidRPr="003F0485" w:rsidRDefault="004241AC" w:rsidP="003F0485">
      <w:pPr>
        <w:autoSpaceDE w:val="0"/>
        <w:autoSpaceDN w:val="0"/>
        <w:adjustRightInd w:val="0"/>
        <w:spacing w:after="0" w:line="240" w:lineRule="auto"/>
        <w:jc w:val="both"/>
        <w:rPr>
          <w:rFonts w:eastAsia="Calibri" w:cs="Calibri"/>
          <w:lang w:eastAsia="it-IT"/>
        </w:rPr>
      </w:pPr>
    </w:p>
    <w:p w:rsidR="004241AC" w:rsidRPr="003F0485" w:rsidRDefault="004241AC" w:rsidP="003F0485">
      <w:pPr>
        <w:autoSpaceDE w:val="0"/>
        <w:autoSpaceDN w:val="0"/>
        <w:adjustRightInd w:val="0"/>
        <w:spacing w:after="0" w:line="240" w:lineRule="auto"/>
        <w:jc w:val="both"/>
        <w:rPr>
          <w:rFonts w:eastAsia="Calibri" w:cs="Calibri"/>
          <w:lang w:eastAsia="it-IT"/>
        </w:rPr>
      </w:pPr>
    </w:p>
    <w:p w:rsidR="004241AC" w:rsidRPr="003F0485" w:rsidRDefault="004241AC" w:rsidP="003F0485">
      <w:pPr>
        <w:autoSpaceDE w:val="0"/>
        <w:autoSpaceDN w:val="0"/>
        <w:adjustRightInd w:val="0"/>
        <w:spacing w:after="0" w:line="240" w:lineRule="auto"/>
        <w:jc w:val="both"/>
        <w:rPr>
          <w:rFonts w:eastAsia="Calibri" w:cs="Calibri"/>
          <w:lang w:eastAsia="it-IT"/>
        </w:rPr>
      </w:pPr>
      <w:r w:rsidRPr="003F0485">
        <w:rPr>
          <w:rFonts w:eastAsia="Calibri" w:cs="Calibri"/>
          <w:b/>
          <w:bCs/>
          <w:lang w:eastAsia="it-IT"/>
        </w:rPr>
        <w:t xml:space="preserve">5) QUAL È IL RAPPORTO BENEFICIO/RISCHIO di </w:t>
      </w:r>
      <w:proofErr w:type="spellStart"/>
      <w:r w:rsidR="006951D9" w:rsidRPr="003F0485">
        <w:rPr>
          <w:rFonts w:eastAsia="Calibri" w:cs="Calibri"/>
          <w:b/>
          <w:bCs/>
          <w:color w:val="000000"/>
          <w:lang w:eastAsia="it-IT"/>
        </w:rPr>
        <w:t>Fentanyl</w:t>
      </w:r>
      <w:proofErr w:type="spellEnd"/>
      <w:r w:rsidR="006951D9" w:rsidRPr="003F0485">
        <w:rPr>
          <w:rFonts w:eastAsia="Calibri" w:cs="Calibri"/>
          <w:b/>
          <w:bCs/>
          <w:color w:val="000000"/>
          <w:lang w:eastAsia="it-IT"/>
        </w:rPr>
        <w:t xml:space="preserve"> </w:t>
      </w:r>
      <w:proofErr w:type="spellStart"/>
      <w:r w:rsidR="006951D9" w:rsidRPr="003F0485">
        <w:rPr>
          <w:rFonts w:eastAsia="Calibri" w:cs="Calibri"/>
          <w:b/>
          <w:bCs/>
          <w:color w:val="000000"/>
          <w:lang w:eastAsia="it-IT"/>
        </w:rPr>
        <w:t>Noventia</w:t>
      </w:r>
      <w:proofErr w:type="spellEnd"/>
      <w:r w:rsidR="006951D9" w:rsidRPr="003F0485">
        <w:rPr>
          <w:rFonts w:eastAsia="Calibri" w:cs="Calibri"/>
          <w:b/>
          <w:bCs/>
          <w:color w:val="000000"/>
          <w:lang w:eastAsia="it-IT"/>
        </w:rPr>
        <w:t xml:space="preserve"> </w:t>
      </w:r>
      <w:proofErr w:type="spellStart"/>
      <w:r w:rsidR="006951D9" w:rsidRPr="003F0485">
        <w:rPr>
          <w:rFonts w:eastAsia="Calibri" w:cs="Calibri"/>
          <w:b/>
          <w:bCs/>
          <w:color w:val="000000"/>
          <w:lang w:eastAsia="it-IT"/>
        </w:rPr>
        <w:t>Pharma</w:t>
      </w:r>
      <w:proofErr w:type="spellEnd"/>
      <w:r w:rsidRPr="003F0485">
        <w:rPr>
          <w:rFonts w:eastAsia="Calibri" w:cs="Calibri"/>
          <w:b/>
          <w:lang w:eastAsia="it-IT"/>
        </w:rPr>
        <w:t>?</w:t>
      </w:r>
      <w:r w:rsidRPr="003F0485">
        <w:rPr>
          <w:rFonts w:eastAsia="Calibri" w:cs="Calibri"/>
          <w:lang w:eastAsia="it-IT"/>
        </w:rPr>
        <w:t xml:space="preserve"> </w:t>
      </w:r>
    </w:p>
    <w:p w:rsidR="004241AC" w:rsidRPr="003F0485" w:rsidRDefault="006951D9" w:rsidP="003F0485">
      <w:pPr>
        <w:autoSpaceDE w:val="0"/>
        <w:autoSpaceDN w:val="0"/>
        <w:adjustRightInd w:val="0"/>
        <w:spacing w:after="0" w:line="240" w:lineRule="auto"/>
        <w:jc w:val="both"/>
        <w:rPr>
          <w:rFonts w:eastAsia="Calibri" w:cs="Calibri"/>
          <w:lang w:eastAsia="it-IT"/>
        </w:rPr>
      </w:pPr>
      <w:proofErr w:type="spellStart"/>
      <w:r w:rsidRPr="003F0485">
        <w:rPr>
          <w:rFonts w:eastAsia="Calibri" w:cs="Calibri"/>
          <w:bCs/>
          <w:color w:val="000000"/>
          <w:lang w:eastAsia="it-IT"/>
        </w:rPr>
        <w:t>Fentanyl</w:t>
      </w:r>
      <w:proofErr w:type="spellEnd"/>
      <w:r w:rsidRPr="003F0485">
        <w:rPr>
          <w:rFonts w:eastAsia="Calibri" w:cs="Calibri"/>
          <w:bCs/>
          <w:color w:val="000000"/>
          <w:lang w:eastAsia="it-IT"/>
        </w:rPr>
        <w:t xml:space="preserve"> </w:t>
      </w:r>
      <w:proofErr w:type="spellStart"/>
      <w:r w:rsidRPr="003F0485">
        <w:rPr>
          <w:rFonts w:eastAsia="Calibri" w:cs="Calibri"/>
          <w:bCs/>
          <w:color w:val="000000"/>
          <w:lang w:eastAsia="it-IT"/>
        </w:rPr>
        <w:t>Noventia</w:t>
      </w:r>
      <w:proofErr w:type="spellEnd"/>
      <w:r w:rsidRPr="003F0485">
        <w:rPr>
          <w:rFonts w:eastAsia="Calibri" w:cs="Calibri"/>
          <w:bCs/>
          <w:color w:val="000000"/>
          <w:lang w:eastAsia="it-IT"/>
        </w:rPr>
        <w:t xml:space="preserve"> </w:t>
      </w:r>
      <w:proofErr w:type="spellStart"/>
      <w:r w:rsidRPr="003F0485">
        <w:rPr>
          <w:rFonts w:eastAsia="Calibri" w:cs="Calibri"/>
          <w:bCs/>
          <w:color w:val="000000"/>
          <w:lang w:eastAsia="it-IT"/>
        </w:rPr>
        <w:t>Pharma</w:t>
      </w:r>
      <w:proofErr w:type="spellEnd"/>
      <w:r w:rsidR="00B8237B" w:rsidRPr="003F0485">
        <w:rPr>
          <w:rFonts w:eastAsia="Calibri" w:cs="Calibri"/>
          <w:bCs/>
          <w:color w:val="000000"/>
          <w:lang w:eastAsia="it-IT"/>
        </w:rPr>
        <w:t xml:space="preserve"> </w:t>
      </w:r>
      <w:r w:rsidR="004241AC" w:rsidRPr="003F0485">
        <w:rPr>
          <w:rFonts w:eastAsia="Calibri" w:cs="Calibri"/>
          <w:lang w:eastAsia="it-IT"/>
        </w:rPr>
        <w:t xml:space="preserve">è un medicinale </w:t>
      </w:r>
      <w:r w:rsidR="00013020" w:rsidRPr="003F0485">
        <w:rPr>
          <w:rFonts w:eastAsia="Calibri" w:cs="Calibri"/>
          <w:lang w:eastAsia="it-IT"/>
        </w:rPr>
        <w:t xml:space="preserve">generico ed è </w:t>
      </w:r>
      <w:proofErr w:type="spellStart"/>
      <w:r w:rsidR="00013020" w:rsidRPr="003F0485">
        <w:rPr>
          <w:rFonts w:eastAsia="Calibri" w:cs="Calibri"/>
          <w:lang w:eastAsia="it-IT"/>
        </w:rPr>
        <w:t>bioequivale</w:t>
      </w:r>
      <w:r w:rsidR="00C8171A" w:rsidRPr="003F0485">
        <w:rPr>
          <w:rFonts w:eastAsia="Calibri" w:cs="Calibri"/>
          <w:lang w:eastAsia="it-IT"/>
        </w:rPr>
        <w:t>n</w:t>
      </w:r>
      <w:r w:rsidR="00013020" w:rsidRPr="003F0485">
        <w:rPr>
          <w:rFonts w:eastAsia="Calibri" w:cs="Calibri"/>
          <w:lang w:eastAsia="it-IT"/>
        </w:rPr>
        <w:t>te</w:t>
      </w:r>
      <w:proofErr w:type="spellEnd"/>
      <w:r w:rsidR="00013020" w:rsidRPr="003F0485">
        <w:rPr>
          <w:rFonts w:eastAsia="Calibri" w:cs="Calibri"/>
          <w:lang w:eastAsia="it-IT"/>
        </w:rPr>
        <w:t xml:space="preserve"> al medicinale di riferimento</w:t>
      </w:r>
      <w:r w:rsidR="004349A2" w:rsidRPr="003F0485">
        <w:rPr>
          <w:rFonts w:eastAsia="Calibri" w:cs="Calibri"/>
          <w:lang w:eastAsia="it-IT"/>
        </w:rPr>
        <w:t>; pertanto,</w:t>
      </w:r>
      <w:r w:rsidR="004241AC" w:rsidRPr="003F0485">
        <w:rPr>
          <w:rFonts w:eastAsia="Calibri" w:cs="Calibri"/>
          <w:lang w:eastAsia="it-IT"/>
        </w:rPr>
        <w:t xml:space="preserve"> </w:t>
      </w:r>
      <w:r w:rsidR="00013020" w:rsidRPr="003F0485">
        <w:rPr>
          <w:rFonts w:eastAsia="Calibri" w:cs="Calibri"/>
          <w:lang w:eastAsia="it-IT"/>
        </w:rPr>
        <w:t>i suoi</w:t>
      </w:r>
      <w:r w:rsidR="004241AC" w:rsidRPr="003F0485">
        <w:rPr>
          <w:rFonts w:eastAsia="Calibri" w:cs="Calibri"/>
          <w:lang w:eastAsia="it-IT"/>
        </w:rPr>
        <w:t xml:space="preserve"> benefici e rischi sono sovrapponibili a quelli de</w:t>
      </w:r>
      <w:r w:rsidR="00013020" w:rsidRPr="003F0485">
        <w:rPr>
          <w:rFonts w:eastAsia="Calibri" w:cs="Calibri"/>
          <w:lang w:eastAsia="it-IT"/>
        </w:rPr>
        <w:t>l</w:t>
      </w:r>
      <w:r w:rsidR="004241AC" w:rsidRPr="003F0485">
        <w:rPr>
          <w:rFonts w:eastAsia="Calibri" w:cs="Calibri"/>
          <w:lang w:eastAsia="it-IT"/>
        </w:rPr>
        <w:t xml:space="preserve"> medicinal</w:t>
      </w:r>
      <w:r w:rsidR="00013020" w:rsidRPr="003F0485">
        <w:rPr>
          <w:rFonts w:eastAsia="Calibri" w:cs="Calibri"/>
          <w:lang w:eastAsia="it-IT"/>
        </w:rPr>
        <w:t>e</w:t>
      </w:r>
      <w:r w:rsidR="004241AC" w:rsidRPr="003F0485">
        <w:rPr>
          <w:rFonts w:eastAsia="Calibri" w:cs="Calibri"/>
          <w:lang w:eastAsia="it-IT"/>
        </w:rPr>
        <w:t xml:space="preserve"> di riferimento. </w:t>
      </w:r>
    </w:p>
    <w:p w:rsidR="004241AC" w:rsidRPr="003F0485" w:rsidRDefault="004241AC" w:rsidP="003F0485">
      <w:pPr>
        <w:autoSpaceDE w:val="0"/>
        <w:autoSpaceDN w:val="0"/>
        <w:adjustRightInd w:val="0"/>
        <w:spacing w:after="0" w:line="240" w:lineRule="auto"/>
        <w:jc w:val="both"/>
        <w:rPr>
          <w:rFonts w:eastAsia="Calibri" w:cs="Calibri"/>
          <w:lang w:eastAsia="it-IT"/>
        </w:rPr>
      </w:pPr>
    </w:p>
    <w:p w:rsidR="004241AC" w:rsidRPr="003F0485" w:rsidRDefault="004241AC" w:rsidP="003F0485">
      <w:pPr>
        <w:autoSpaceDE w:val="0"/>
        <w:autoSpaceDN w:val="0"/>
        <w:adjustRightInd w:val="0"/>
        <w:spacing w:after="0" w:line="240" w:lineRule="auto"/>
        <w:jc w:val="both"/>
        <w:rPr>
          <w:rFonts w:eastAsia="Calibri" w:cs="Calibri"/>
          <w:lang w:eastAsia="it-IT"/>
        </w:rPr>
      </w:pPr>
    </w:p>
    <w:p w:rsidR="004241AC" w:rsidRPr="003F0485" w:rsidRDefault="004241AC" w:rsidP="003F0485">
      <w:pPr>
        <w:autoSpaceDE w:val="0"/>
        <w:autoSpaceDN w:val="0"/>
        <w:adjustRightInd w:val="0"/>
        <w:spacing w:after="0" w:line="240" w:lineRule="auto"/>
        <w:jc w:val="both"/>
        <w:rPr>
          <w:rFonts w:eastAsia="Calibri" w:cs="Calibri"/>
          <w:lang w:eastAsia="it-IT"/>
        </w:rPr>
      </w:pPr>
      <w:r w:rsidRPr="003F0485">
        <w:rPr>
          <w:rFonts w:eastAsia="Calibri" w:cs="Calibri"/>
          <w:b/>
          <w:bCs/>
          <w:lang w:eastAsia="it-IT"/>
        </w:rPr>
        <w:t xml:space="preserve">6) PERCHE’ </w:t>
      </w:r>
      <w:proofErr w:type="spellStart"/>
      <w:r w:rsidR="006951D9" w:rsidRPr="003F0485">
        <w:rPr>
          <w:rFonts w:eastAsia="Calibri" w:cs="Calibri"/>
          <w:b/>
          <w:bCs/>
          <w:color w:val="000000"/>
          <w:lang w:eastAsia="it-IT"/>
        </w:rPr>
        <w:t>Fentanyl</w:t>
      </w:r>
      <w:proofErr w:type="spellEnd"/>
      <w:r w:rsidR="006951D9" w:rsidRPr="003F0485">
        <w:rPr>
          <w:rFonts w:eastAsia="Calibri" w:cs="Calibri"/>
          <w:b/>
          <w:bCs/>
          <w:color w:val="000000"/>
          <w:lang w:eastAsia="it-IT"/>
        </w:rPr>
        <w:t xml:space="preserve"> </w:t>
      </w:r>
      <w:proofErr w:type="spellStart"/>
      <w:r w:rsidR="006951D9" w:rsidRPr="003F0485">
        <w:rPr>
          <w:rFonts w:eastAsia="Calibri" w:cs="Calibri"/>
          <w:b/>
          <w:bCs/>
          <w:color w:val="000000"/>
          <w:lang w:eastAsia="it-IT"/>
        </w:rPr>
        <w:t>Noventia</w:t>
      </w:r>
      <w:proofErr w:type="spellEnd"/>
      <w:r w:rsidR="006951D9" w:rsidRPr="003F0485">
        <w:rPr>
          <w:rFonts w:eastAsia="Calibri" w:cs="Calibri"/>
          <w:b/>
          <w:bCs/>
          <w:color w:val="000000"/>
          <w:lang w:eastAsia="it-IT"/>
        </w:rPr>
        <w:t xml:space="preserve"> </w:t>
      </w:r>
      <w:proofErr w:type="spellStart"/>
      <w:r w:rsidR="006951D9" w:rsidRPr="003F0485">
        <w:rPr>
          <w:rFonts w:eastAsia="Calibri" w:cs="Calibri"/>
          <w:b/>
          <w:bCs/>
          <w:color w:val="000000"/>
          <w:lang w:eastAsia="it-IT"/>
        </w:rPr>
        <w:t>Pharma</w:t>
      </w:r>
      <w:proofErr w:type="spellEnd"/>
      <w:r w:rsidR="00062636" w:rsidRPr="003F0485">
        <w:rPr>
          <w:rFonts w:eastAsia="Calibri" w:cs="Calibri"/>
          <w:b/>
          <w:bCs/>
          <w:color w:val="000000"/>
          <w:lang w:eastAsia="it-IT"/>
        </w:rPr>
        <w:t xml:space="preserve"> </w:t>
      </w:r>
      <w:r w:rsidRPr="003F0485" w:rsidDel="00E063FF">
        <w:rPr>
          <w:rFonts w:eastAsia="Calibri" w:cs="Calibri"/>
          <w:b/>
          <w:bCs/>
          <w:color w:val="000000"/>
          <w:lang w:eastAsia="it-IT"/>
        </w:rPr>
        <w:t xml:space="preserve"> </w:t>
      </w:r>
      <w:r w:rsidRPr="003F0485">
        <w:rPr>
          <w:rFonts w:eastAsia="Calibri" w:cs="Calibri"/>
          <w:b/>
          <w:bCs/>
          <w:lang w:eastAsia="it-IT"/>
        </w:rPr>
        <w:t xml:space="preserve">E’ STATO APPROVATO? </w:t>
      </w:r>
    </w:p>
    <w:p w:rsidR="004241AC" w:rsidRPr="003F0485" w:rsidRDefault="004241AC" w:rsidP="003F0485">
      <w:pPr>
        <w:autoSpaceDE w:val="0"/>
        <w:autoSpaceDN w:val="0"/>
        <w:adjustRightInd w:val="0"/>
        <w:spacing w:after="0" w:line="240" w:lineRule="auto"/>
        <w:jc w:val="both"/>
        <w:rPr>
          <w:rFonts w:eastAsia="Calibri" w:cs="Calibri"/>
          <w:lang w:eastAsia="it-IT"/>
        </w:rPr>
      </w:pPr>
      <w:r w:rsidRPr="003F0485">
        <w:rPr>
          <w:rFonts w:eastAsia="Calibri" w:cs="Calibri"/>
          <w:lang w:eastAsia="it-IT"/>
        </w:rPr>
        <w:t>La Commissione Tecnico Scientifica (CTS), nell</w:t>
      </w:r>
      <w:r w:rsidR="00C305BF" w:rsidRPr="003F0485">
        <w:rPr>
          <w:rFonts w:eastAsia="Calibri" w:cs="Calibri"/>
          <w:lang w:eastAsia="it-IT"/>
        </w:rPr>
        <w:t>a</w:t>
      </w:r>
      <w:r w:rsidRPr="003F0485">
        <w:rPr>
          <w:rFonts w:eastAsia="Calibri" w:cs="Calibri"/>
          <w:lang w:eastAsia="it-IT"/>
        </w:rPr>
        <w:t xml:space="preserve"> sedut</w:t>
      </w:r>
      <w:r w:rsidR="00C305BF" w:rsidRPr="003F0485">
        <w:rPr>
          <w:rFonts w:eastAsia="Calibri" w:cs="Calibri"/>
          <w:lang w:eastAsia="it-IT"/>
        </w:rPr>
        <w:t>a</w:t>
      </w:r>
      <w:r w:rsidRPr="003F0485">
        <w:rPr>
          <w:rFonts w:eastAsia="Calibri" w:cs="Calibri"/>
          <w:lang w:eastAsia="it-IT"/>
        </w:rPr>
        <w:t xml:space="preserve"> del </w:t>
      </w:r>
      <w:r w:rsidR="003F0485">
        <w:rPr>
          <w:rFonts w:eastAsia="Calibri" w:cs="Calibri"/>
          <w:lang w:eastAsia="it-IT"/>
        </w:rPr>
        <w:t xml:space="preserve">23-25 marzo </w:t>
      </w:r>
      <w:r w:rsidR="008348A8" w:rsidRPr="003F0485">
        <w:rPr>
          <w:rFonts w:eastAsia="Calibri" w:cs="Calibri"/>
          <w:lang w:eastAsia="it-IT"/>
        </w:rPr>
        <w:t>2015</w:t>
      </w:r>
      <w:r w:rsidRPr="003F0485">
        <w:rPr>
          <w:rFonts w:eastAsia="Calibri" w:cs="Calibri"/>
          <w:lang w:eastAsia="it-IT"/>
        </w:rPr>
        <w:t xml:space="preserve">, ha concluso che, conformemente ai requisiti della normativa vigente, come nel caso </w:t>
      </w:r>
      <w:r w:rsidR="00D20170" w:rsidRPr="003F0485">
        <w:rPr>
          <w:rFonts w:eastAsia="Calibri" w:cs="Calibri"/>
          <w:lang w:eastAsia="it-IT"/>
        </w:rPr>
        <w:t>del</w:t>
      </w:r>
      <w:r w:rsidRPr="003F0485">
        <w:rPr>
          <w:rFonts w:eastAsia="Calibri" w:cs="Calibri"/>
          <w:lang w:eastAsia="it-IT"/>
        </w:rPr>
        <w:t xml:space="preserve"> medicinal</w:t>
      </w:r>
      <w:r w:rsidR="00D20170" w:rsidRPr="003F0485">
        <w:rPr>
          <w:rFonts w:eastAsia="Calibri" w:cs="Calibri"/>
          <w:lang w:eastAsia="it-IT"/>
        </w:rPr>
        <w:t>e</w:t>
      </w:r>
      <w:r w:rsidRPr="003F0485">
        <w:rPr>
          <w:rFonts w:eastAsia="Calibri" w:cs="Calibri"/>
          <w:lang w:eastAsia="it-IT"/>
        </w:rPr>
        <w:t xml:space="preserve"> di riferimento </w:t>
      </w:r>
      <w:proofErr w:type="spellStart"/>
      <w:r w:rsidR="003F0485">
        <w:rPr>
          <w:rFonts w:eastAsia="Calibri" w:cs="Calibri"/>
          <w:lang w:eastAsia="it-IT"/>
        </w:rPr>
        <w:t>Durogesic</w:t>
      </w:r>
      <w:proofErr w:type="spellEnd"/>
      <w:r w:rsidRPr="003F0485">
        <w:rPr>
          <w:rFonts w:eastAsia="Calibri" w:cs="Calibri"/>
          <w:lang w:eastAsia="it-IT"/>
        </w:rPr>
        <w:t xml:space="preserve">, i benefici di </w:t>
      </w:r>
      <w:proofErr w:type="spellStart"/>
      <w:r w:rsidR="006951D9" w:rsidRPr="003F0485">
        <w:rPr>
          <w:rFonts w:eastAsia="Calibri" w:cs="Calibri"/>
          <w:lang w:eastAsia="it-IT"/>
        </w:rPr>
        <w:t>Fentanyl</w:t>
      </w:r>
      <w:proofErr w:type="spellEnd"/>
      <w:r w:rsidR="006951D9" w:rsidRPr="003F0485">
        <w:rPr>
          <w:rFonts w:eastAsia="Calibri" w:cs="Calibri"/>
          <w:lang w:eastAsia="it-IT"/>
        </w:rPr>
        <w:t xml:space="preserve"> </w:t>
      </w:r>
      <w:proofErr w:type="spellStart"/>
      <w:r w:rsidR="006951D9" w:rsidRPr="003F0485">
        <w:rPr>
          <w:rFonts w:eastAsia="Calibri" w:cs="Calibri"/>
          <w:lang w:eastAsia="it-IT"/>
        </w:rPr>
        <w:t>Noventia</w:t>
      </w:r>
      <w:proofErr w:type="spellEnd"/>
      <w:r w:rsidR="006951D9" w:rsidRPr="003F0485">
        <w:rPr>
          <w:rFonts w:eastAsia="Calibri" w:cs="Calibri"/>
          <w:lang w:eastAsia="it-IT"/>
        </w:rPr>
        <w:t xml:space="preserve"> </w:t>
      </w:r>
      <w:proofErr w:type="spellStart"/>
      <w:r w:rsidR="006951D9" w:rsidRPr="003F0485">
        <w:rPr>
          <w:rFonts w:eastAsia="Calibri" w:cs="Calibri"/>
          <w:lang w:eastAsia="it-IT"/>
        </w:rPr>
        <w:t>Pharma</w:t>
      </w:r>
      <w:proofErr w:type="spellEnd"/>
      <w:r w:rsidRPr="003F0485">
        <w:rPr>
          <w:rFonts w:eastAsia="Calibri" w:cs="Calibri"/>
          <w:lang w:eastAsia="it-IT"/>
        </w:rPr>
        <w:t xml:space="preserve"> </w:t>
      </w:r>
      <w:r w:rsidR="00010B82" w:rsidRPr="003F0485">
        <w:rPr>
          <w:rFonts w:eastAsia="Calibri" w:cs="Calibri"/>
          <w:lang w:eastAsia="it-IT"/>
        </w:rPr>
        <w:t>sono</w:t>
      </w:r>
      <w:r w:rsidRPr="003F0485">
        <w:rPr>
          <w:rFonts w:eastAsia="Calibri" w:cs="Calibri"/>
          <w:lang w:eastAsia="it-IT"/>
        </w:rPr>
        <w:t xml:space="preserve"> superiori ai rischi individuati. La CTS ha, inoltre, definito le modalità d</w:t>
      </w:r>
      <w:r w:rsidR="00E159A3" w:rsidRPr="003F0485">
        <w:rPr>
          <w:rFonts w:eastAsia="Calibri" w:cs="Calibri"/>
          <w:lang w:eastAsia="it-IT"/>
        </w:rPr>
        <w:t xml:space="preserve">i prescrizione di cui al punto </w:t>
      </w:r>
      <w:r w:rsidRPr="003F0485">
        <w:rPr>
          <w:rFonts w:eastAsia="Calibri" w:cs="Calibri"/>
          <w:lang w:eastAsia="it-IT"/>
        </w:rPr>
        <w:t>2) di questo Riassunto e la classe di rimborsabilità del medicinale</w:t>
      </w:r>
      <w:r w:rsidR="00D20170" w:rsidRPr="003F0485">
        <w:rPr>
          <w:rFonts w:eastAsia="Calibri" w:cs="Calibri"/>
          <w:lang w:eastAsia="it-IT"/>
        </w:rPr>
        <w:t xml:space="preserve"> </w:t>
      </w:r>
      <w:r w:rsidRPr="003F0485">
        <w:rPr>
          <w:rFonts w:eastAsia="Calibri" w:cs="Calibri"/>
          <w:lang w:eastAsia="it-IT"/>
        </w:rPr>
        <w:t>(</w:t>
      </w:r>
      <w:r w:rsidR="00D20170" w:rsidRPr="003F0485">
        <w:rPr>
          <w:rFonts w:eastAsia="Calibri" w:cs="Calibri"/>
          <w:lang w:eastAsia="it-IT"/>
        </w:rPr>
        <w:t>A</w:t>
      </w:r>
      <w:r w:rsidRPr="003F0485">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6951D9">
        <w:rPr>
          <w:rFonts w:eastAsia="Calibri" w:cs="Calibri"/>
          <w:b/>
          <w:bCs/>
          <w:color w:val="000000"/>
          <w:lang w:eastAsia="it-IT"/>
        </w:rPr>
        <w:t>Fentanyl</w:t>
      </w:r>
      <w:proofErr w:type="spellEnd"/>
      <w:r w:rsidR="006951D9">
        <w:rPr>
          <w:rFonts w:eastAsia="Calibri" w:cs="Calibri"/>
          <w:b/>
          <w:bCs/>
          <w:color w:val="000000"/>
          <w:lang w:eastAsia="it-IT"/>
        </w:rPr>
        <w:t xml:space="preserve"> </w:t>
      </w:r>
      <w:proofErr w:type="spellStart"/>
      <w:r w:rsidR="006951D9">
        <w:rPr>
          <w:rFonts w:eastAsia="Calibri" w:cs="Calibri"/>
          <w:b/>
          <w:bCs/>
          <w:color w:val="000000"/>
          <w:lang w:eastAsia="it-IT"/>
        </w:rPr>
        <w:t>Noventia</w:t>
      </w:r>
      <w:proofErr w:type="spellEnd"/>
      <w:r w:rsidR="006951D9">
        <w:rPr>
          <w:rFonts w:eastAsia="Calibri" w:cs="Calibri"/>
          <w:b/>
          <w:bCs/>
          <w:color w:val="000000"/>
          <w:lang w:eastAsia="it-IT"/>
        </w:rPr>
        <w:t xml:space="preserve"> </w:t>
      </w:r>
      <w:proofErr w:type="spellStart"/>
      <w:r w:rsidR="006951D9">
        <w:rPr>
          <w:rFonts w:eastAsia="Calibri" w:cs="Calibri"/>
          <w:b/>
          <w:bCs/>
          <w:color w:val="000000"/>
          <w:lang w:eastAsia="it-IT"/>
        </w:rPr>
        <w:t>Pharma</w:t>
      </w:r>
      <w:proofErr w:type="spellEnd"/>
      <w:r w:rsidRPr="002A3F14">
        <w:rPr>
          <w:rFonts w:eastAsia="Calibri" w:cs="Calibri"/>
          <w:b/>
          <w:bCs/>
          <w:color w:val="000000"/>
          <w:lang w:eastAsia="it-IT"/>
        </w:rPr>
        <w:t>?</w:t>
      </w:r>
    </w:p>
    <w:p w:rsidR="004241AC" w:rsidRPr="002A3F14" w:rsidRDefault="00031BAD"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6951D9">
        <w:rPr>
          <w:rFonts w:eastAsia="Calibri" w:cs="Calibri"/>
          <w:lang w:eastAsia="it-IT"/>
        </w:rPr>
        <w:t>Fentanyl</w:t>
      </w:r>
      <w:proofErr w:type="spellEnd"/>
      <w:r w:rsidR="006951D9">
        <w:rPr>
          <w:rFonts w:eastAsia="Calibri" w:cs="Calibri"/>
          <w:lang w:eastAsia="it-IT"/>
        </w:rPr>
        <w:t xml:space="preserve"> </w:t>
      </w:r>
      <w:proofErr w:type="spellStart"/>
      <w:r w:rsidR="006951D9">
        <w:rPr>
          <w:rFonts w:eastAsia="Calibri" w:cs="Calibri"/>
          <w:lang w:eastAsia="it-IT"/>
        </w:rPr>
        <w:t>Noventia</w:t>
      </w:r>
      <w:proofErr w:type="spellEnd"/>
      <w:r w:rsidR="006951D9">
        <w:rPr>
          <w:rFonts w:eastAsia="Calibri" w:cs="Calibri"/>
          <w:lang w:eastAsia="it-IT"/>
        </w:rPr>
        <w:t xml:space="preserve"> </w:t>
      </w:r>
      <w:proofErr w:type="spellStart"/>
      <w:r w:rsidR="006951D9">
        <w:rPr>
          <w:rFonts w:eastAsia="Calibri" w:cs="Calibri"/>
          <w:lang w:eastAsia="it-IT"/>
        </w:rPr>
        <w:t>Pharma</w:t>
      </w:r>
      <w:proofErr w:type="spellEnd"/>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6951D9">
        <w:rPr>
          <w:rFonts w:eastAsia="Calibri" w:cs="Calibri"/>
          <w:b/>
          <w:bCs/>
          <w:color w:val="000000"/>
          <w:lang w:eastAsia="it-IT"/>
        </w:rPr>
        <w:t>Fentanyl</w:t>
      </w:r>
      <w:proofErr w:type="spellEnd"/>
      <w:r w:rsidR="006951D9">
        <w:rPr>
          <w:rFonts w:eastAsia="Calibri" w:cs="Calibri"/>
          <w:b/>
          <w:bCs/>
          <w:color w:val="000000"/>
          <w:lang w:eastAsia="it-IT"/>
        </w:rPr>
        <w:t xml:space="preserve"> </w:t>
      </w:r>
      <w:proofErr w:type="spellStart"/>
      <w:r w:rsidR="006951D9">
        <w:rPr>
          <w:rFonts w:eastAsia="Calibri" w:cs="Calibri"/>
          <w:b/>
          <w:bCs/>
          <w:color w:val="000000"/>
          <w:lang w:eastAsia="it-IT"/>
        </w:rPr>
        <w:t>Noventia</w:t>
      </w:r>
      <w:proofErr w:type="spellEnd"/>
      <w:r w:rsidR="006951D9">
        <w:rPr>
          <w:rFonts w:eastAsia="Calibri" w:cs="Calibri"/>
          <w:b/>
          <w:bCs/>
          <w:color w:val="000000"/>
          <w:lang w:eastAsia="it-IT"/>
        </w:rPr>
        <w:t xml:space="preserve"> </w:t>
      </w:r>
      <w:proofErr w:type="spellStart"/>
      <w:r w:rsidR="006951D9">
        <w:rPr>
          <w:rFonts w:eastAsia="Calibri" w:cs="Calibri"/>
          <w:b/>
          <w:bCs/>
          <w:color w:val="000000"/>
          <w:lang w:eastAsia="it-IT"/>
        </w:rPr>
        <w:t>Pharma</w:t>
      </w:r>
      <w:proofErr w:type="spellEnd"/>
      <w:r w:rsidR="00062636">
        <w:rPr>
          <w:rFonts w:eastAsia="Calibri" w:cs="Calibri"/>
          <w:b/>
          <w:bCs/>
          <w:color w:val="000000"/>
          <w:lang w:eastAsia="it-IT"/>
        </w:rPr>
        <w:t xml:space="preserve"> </w:t>
      </w:r>
    </w:p>
    <w:p w:rsidR="004241AC" w:rsidRPr="00CA3A1E" w:rsidRDefault="00C305BF" w:rsidP="004241AC">
      <w:pPr>
        <w:autoSpaceDE w:val="0"/>
        <w:autoSpaceDN w:val="0"/>
        <w:adjustRightInd w:val="0"/>
        <w:spacing w:after="0" w:line="240" w:lineRule="auto"/>
        <w:jc w:val="both"/>
        <w:rPr>
          <w:rFonts w:eastAsia="Calibri" w:cs="Calibri"/>
          <w:bCs/>
          <w:lang w:eastAsia="it-IT"/>
        </w:rPr>
      </w:pPr>
      <w:r w:rsidRPr="00C305BF">
        <w:rPr>
          <w:rFonts w:eastAsia="Calibri" w:cs="Calibri"/>
          <w:bCs/>
          <w:iCs/>
          <w:lang w:eastAsia="it-IT"/>
        </w:rPr>
        <w:t>Il 13 luglio</w:t>
      </w:r>
      <w:r w:rsidR="004241AC" w:rsidRPr="00C305BF">
        <w:rPr>
          <w:rFonts w:eastAsia="Calibri" w:cs="Calibri"/>
          <w:bCs/>
          <w:iCs/>
          <w:lang w:eastAsia="it-IT"/>
        </w:rPr>
        <w:t xml:space="preserve"> 2015 l’AIFA ha rilasciato l’autorizzazione all’immissione in commercio di </w:t>
      </w:r>
      <w:proofErr w:type="spellStart"/>
      <w:r w:rsidR="006951D9">
        <w:rPr>
          <w:rFonts w:eastAsia="Calibri" w:cs="Calibri"/>
          <w:bCs/>
          <w:color w:val="000000"/>
          <w:lang w:eastAsia="it-IT"/>
        </w:rPr>
        <w:t>Fentanyl</w:t>
      </w:r>
      <w:proofErr w:type="spellEnd"/>
      <w:r w:rsidR="006951D9">
        <w:rPr>
          <w:rFonts w:eastAsia="Calibri" w:cs="Calibri"/>
          <w:bCs/>
          <w:color w:val="000000"/>
          <w:lang w:eastAsia="it-IT"/>
        </w:rPr>
        <w:t xml:space="preserve"> </w:t>
      </w:r>
      <w:proofErr w:type="spellStart"/>
      <w:r w:rsidR="006951D9">
        <w:rPr>
          <w:rFonts w:eastAsia="Calibri" w:cs="Calibri"/>
          <w:bCs/>
          <w:color w:val="000000"/>
          <w:lang w:eastAsia="it-IT"/>
        </w:rPr>
        <w:t>Noventia</w:t>
      </w:r>
      <w:proofErr w:type="spellEnd"/>
      <w:r w:rsidR="006951D9">
        <w:rPr>
          <w:rFonts w:eastAsia="Calibri" w:cs="Calibri"/>
          <w:bCs/>
          <w:color w:val="000000"/>
          <w:lang w:eastAsia="it-IT"/>
        </w:rPr>
        <w:t xml:space="preserve"> </w:t>
      </w:r>
      <w:proofErr w:type="spellStart"/>
      <w:r w:rsidR="006951D9">
        <w:rPr>
          <w:rFonts w:eastAsia="Calibri" w:cs="Calibri"/>
          <w:bCs/>
          <w:color w:val="000000"/>
          <w:lang w:eastAsia="it-IT"/>
        </w:rPr>
        <w:t>Pharma</w:t>
      </w:r>
      <w:proofErr w:type="spellEnd"/>
      <w:r w:rsidR="004241AC" w:rsidRPr="00C305BF">
        <w:rPr>
          <w:rFonts w:eastAsia="Calibri" w:cs="Calibri"/>
          <w:bCs/>
          <w:lang w:eastAsia="it-IT"/>
        </w:rPr>
        <w:t>.</w:t>
      </w:r>
      <w:r w:rsidR="004241AC" w:rsidRPr="00CA3A1E">
        <w:rPr>
          <w:rFonts w:eastAsia="Calibri" w:cs="Calibri"/>
          <w:bCs/>
          <w:lang w:eastAsia="it-IT"/>
        </w:rPr>
        <w:t xml:space="preserve"> </w:t>
      </w:r>
    </w:p>
    <w:p w:rsidR="00900C91" w:rsidRDefault="00900C91" w:rsidP="00900C91">
      <w:pPr>
        <w:autoSpaceDE w:val="0"/>
        <w:autoSpaceDN w:val="0"/>
        <w:adjustRightInd w:val="0"/>
        <w:spacing w:after="0" w:line="240" w:lineRule="auto"/>
        <w:jc w:val="both"/>
        <w:rPr>
          <w:rFonts w:eastAsia="Calibri" w:cs="Calibri"/>
          <w:lang w:eastAsia="it-IT"/>
        </w:rPr>
      </w:pPr>
    </w:p>
    <w:p w:rsidR="00900C91" w:rsidRDefault="00900C91" w:rsidP="00900C91">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6951D9">
        <w:rPr>
          <w:rFonts w:eastAsia="Calibri" w:cs="Calibri"/>
          <w:bCs/>
          <w:color w:val="000000"/>
          <w:lang w:eastAsia="it-IT"/>
        </w:rPr>
        <w:t>Fentanyl</w:t>
      </w:r>
      <w:proofErr w:type="spellEnd"/>
      <w:r w:rsidR="006951D9">
        <w:rPr>
          <w:rFonts w:eastAsia="Calibri" w:cs="Calibri"/>
          <w:bCs/>
          <w:color w:val="000000"/>
          <w:lang w:eastAsia="it-IT"/>
        </w:rPr>
        <w:t xml:space="preserve"> </w:t>
      </w:r>
      <w:proofErr w:type="spellStart"/>
      <w:r w:rsidR="006951D9">
        <w:rPr>
          <w:rFonts w:eastAsia="Calibri" w:cs="Calibri"/>
          <w:bCs/>
          <w:color w:val="000000"/>
          <w:lang w:eastAsia="it-IT"/>
        </w:rPr>
        <w:t>Noventia</w:t>
      </w:r>
      <w:proofErr w:type="spellEnd"/>
      <w:r w:rsidR="006951D9">
        <w:rPr>
          <w:rFonts w:eastAsia="Calibri" w:cs="Calibri"/>
          <w:bCs/>
          <w:color w:val="000000"/>
          <w:lang w:eastAsia="it-IT"/>
        </w:rPr>
        <w:t xml:space="preserve"> </w:t>
      </w:r>
      <w:proofErr w:type="spellStart"/>
      <w:r w:rsidR="006951D9">
        <w:rPr>
          <w:rFonts w:eastAsia="Calibri" w:cs="Calibri"/>
          <w:bCs/>
          <w:color w:val="000000"/>
          <w:lang w:eastAsia="it-IT"/>
        </w:rPr>
        <w:t>Pharma</w:t>
      </w:r>
      <w:proofErr w:type="spellEnd"/>
      <w:r w:rsidRPr="00CA3A1E">
        <w:rPr>
          <w:rFonts w:eastAsia="Calibri" w:cs="Calibri"/>
          <w:bCs/>
          <w:color w:val="000000"/>
          <w:lang w:eastAsia="it-IT"/>
        </w:rPr>
        <w:t>,</w:t>
      </w:r>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hyperlink r:id="rId6" w:history="1">
        <w:r w:rsidR="00947EF5" w:rsidRPr="00942845">
          <w:rPr>
            <w:rStyle w:val="Collegamentoipertestuale"/>
            <w:rFonts w:eastAsia="Calibri" w:cs="Calibri"/>
            <w:lang w:eastAsia="it-IT"/>
          </w:rPr>
          <w:t>https://farmaci.agenziafarmaco.gov.it/bancadatifarmaci</w:t>
        </w:r>
      </w:hyperlink>
      <w:r w:rsidR="00D20170">
        <w:rPr>
          <w:rFonts w:eastAsia="Calibri" w:cs="Calibri"/>
          <w:lang w:eastAsia="it-IT"/>
        </w:rPr>
        <w:t>)</w:t>
      </w:r>
      <w:r w:rsidRPr="002A3F14">
        <w:rPr>
          <w:rFonts w:eastAsia="Calibri" w:cs="Calibri"/>
          <w:lang w:eastAsia="it-IT"/>
        </w:rPr>
        <w:t xml:space="preserve"> o contattare il medico o </w:t>
      </w:r>
      <w:r w:rsidR="00FA55B0">
        <w:rPr>
          <w:rFonts w:eastAsia="Calibri" w:cs="Calibri"/>
          <w:lang w:eastAsia="it-IT"/>
        </w:rPr>
        <w:t xml:space="preserve">il </w:t>
      </w:r>
      <w:r w:rsidRPr="002A3F14">
        <w:rPr>
          <w:rFonts w:eastAsia="Calibri" w:cs="Calibri"/>
          <w:lang w:eastAsia="it-IT"/>
        </w:rPr>
        <w:t xml:space="preserve">farmacista. </w:t>
      </w:r>
    </w:p>
    <w:p w:rsidR="005F62FE" w:rsidRDefault="005F62FE"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r w:rsidRPr="00D66637">
        <w:rPr>
          <w:rFonts w:eastAsia="Calibri" w:cs="Calibri"/>
          <w:lang w:eastAsia="it-IT"/>
        </w:rPr>
        <w:t xml:space="preserve">Questo riassunto è stato redatto in data </w:t>
      </w:r>
      <w:r w:rsidR="00D66637" w:rsidRPr="00D66637">
        <w:rPr>
          <w:rFonts w:eastAsia="Calibri" w:cs="Calibri"/>
          <w:lang w:eastAsia="it-IT"/>
        </w:rPr>
        <w:t>30</w:t>
      </w:r>
      <w:r w:rsidR="00E35FFF" w:rsidRPr="00D66637">
        <w:rPr>
          <w:rFonts w:eastAsia="Calibri" w:cs="Calibri"/>
          <w:lang w:eastAsia="it-IT"/>
        </w:rPr>
        <w:t>.07.2015</w:t>
      </w:r>
      <w:r w:rsidRPr="00D66637">
        <w:rPr>
          <w:rFonts w:eastAsia="Calibri" w:cs="Calibri"/>
          <w:lang w:eastAsia="it-IT"/>
        </w:rPr>
        <w:t>.</w:t>
      </w:r>
      <w:r w:rsidRPr="002A3F14">
        <w:rPr>
          <w:rFonts w:eastAsia="Calibri" w:cs="Calibri"/>
          <w:lang w:eastAsia="it-IT"/>
        </w:rPr>
        <w:t xml:space="preserve"> </w:t>
      </w:r>
    </w:p>
    <w:p w:rsidR="00A41EA1" w:rsidRDefault="00A41EA1" w:rsidP="004241AC">
      <w:pPr>
        <w:spacing w:after="0" w:line="240" w:lineRule="auto"/>
        <w:jc w:val="both"/>
        <w:rPr>
          <w:rFonts w:eastAsia="Calibri" w:cs="Calibri"/>
          <w:lang w:eastAsia="it-IT"/>
        </w:rPr>
      </w:pPr>
    </w:p>
    <w:p w:rsidR="004241AC" w:rsidRDefault="004241AC" w:rsidP="004241AC">
      <w:pPr>
        <w:spacing w:after="0" w:line="240" w:lineRule="auto"/>
        <w:jc w:val="both"/>
      </w:pPr>
    </w:p>
    <w:p w:rsidR="00C24649" w:rsidRDefault="00C24649" w:rsidP="004241AC">
      <w:pPr>
        <w:spacing w:after="0" w:line="240" w:lineRule="auto"/>
        <w:jc w:val="both"/>
      </w:pPr>
    </w:p>
    <w:p w:rsidR="00C24649" w:rsidRDefault="00C24649" w:rsidP="004241AC">
      <w:pPr>
        <w:spacing w:after="0" w:line="240" w:lineRule="auto"/>
        <w:jc w:val="both"/>
      </w:pPr>
    </w:p>
    <w:p w:rsidR="003F0485" w:rsidRDefault="003F0485" w:rsidP="004241AC">
      <w:pPr>
        <w:spacing w:after="0" w:line="240" w:lineRule="auto"/>
        <w:jc w:val="both"/>
      </w:pPr>
    </w:p>
    <w:p w:rsidR="003F0485" w:rsidRDefault="003F0485" w:rsidP="004241AC">
      <w:pPr>
        <w:spacing w:after="0" w:line="240" w:lineRule="auto"/>
        <w:jc w:val="both"/>
      </w:pPr>
    </w:p>
    <w:p w:rsidR="003F0485" w:rsidRDefault="003F0485" w:rsidP="004241AC">
      <w:pPr>
        <w:spacing w:after="0" w:line="240" w:lineRule="auto"/>
        <w:jc w:val="both"/>
      </w:pPr>
    </w:p>
    <w:p w:rsidR="003F0485" w:rsidRDefault="003F0485" w:rsidP="004241AC">
      <w:pPr>
        <w:spacing w:after="0" w:line="240" w:lineRule="auto"/>
        <w:jc w:val="both"/>
      </w:pPr>
    </w:p>
    <w:p w:rsidR="00C24649" w:rsidRDefault="00C24649" w:rsidP="004241AC">
      <w:pPr>
        <w:spacing w:after="0" w:line="240" w:lineRule="auto"/>
        <w:jc w:val="both"/>
      </w:pPr>
    </w:p>
    <w:p w:rsidR="00900C91" w:rsidRDefault="00900C91" w:rsidP="00900C91">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900C91" w:rsidRDefault="00900C91" w:rsidP="00900C91">
      <w:pPr>
        <w:spacing w:after="0" w:line="240" w:lineRule="auto"/>
        <w:jc w:val="center"/>
        <w:rPr>
          <w:b/>
        </w:rPr>
      </w:pPr>
    </w:p>
    <w:p w:rsidR="00900C91" w:rsidRDefault="00900C91" w:rsidP="00900C91">
      <w:pPr>
        <w:spacing w:after="0" w:line="240" w:lineRule="auto"/>
        <w:jc w:val="center"/>
        <w:rPr>
          <w:b/>
        </w:rPr>
      </w:pPr>
    </w:p>
    <w:p w:rsidR="00900C91" w:rsidRDefault="00900C91" w:rsidP="00900C91">
      <w:pPr>
        <w:spacing w:after="0" w:line="240" w:lineRule="auto"/>
        <w:jc w:val="center"/>
        <w:rPr>
          <w:b/>
        </w:rPr>
      </w:pPr>
    </w:p>
    <w:p w:rsidR="00900C91" w:rsidRDefault="00900C91" w:rsidP="00900C91">
      <w:pPr>
        <w:spacing w:after="0" w:line="240" w:lineRule="auto"/>
        <w:jc w:val="center"/>
        <w:rPr>
          <w:b/>
        </w:rPr>
      </w:pPr>
    </w:p>
    <w:p w:rsidR="00900C91" w:rsidRPr="0033523E" w:rsidRDefault="00900C91" w:rsidP="00900C91">
      <w:pPr>
        <w:spacing w:after="0" w:line="240" w:lineRule="auto"/>
        <w:jc w:val="center"/>
        <w:rPr>
          <w:b/>
        </w:rPr>
      </w:pPr>
      <w:r w:rsidRPr="0033523E">
        <w:rPr>
          <w:b/>
        </w:rPr>
        <w:t>INDICE</w:t>
      </w:r>
    </w:p>
    <w:p w:rsidR="00900C91" w:rsidRDefault="00900C91" w:rsidP="00900C91">
      <w:pPr>
        <w:spacing w:after="0" w:line="240" w:lineRule="auto"/>
        <w:jc w:val="both"/>
      </w:pPr>
    </w:p>
    <w:p w:rsidR="00900C91" w:rsidRDefault="00900C91" w:rsidP="00900C91">
      <w:pPr>
        <w:spacing w:after="0" w:line="240" w:lineRule="auto"/>
        <w:jc w:val="both"/>
      </w:pPr>
    </w:p>
    <w:p w:rsidR="00900C91" w:rsidRDefault="00900C91" w:rsidP="00900C91">
      <w:pPr>
        <w:spacing w:after="0" w:line="240" w:lineRule="auto"/>
        <w:jc w:val="both"/>
      </w:pPr>
    </w:p>
    <w:p w:rsidR="00900C91" w:rsidRPr="008206E7" w:rsidRDefault="00900C91" w:rsidP="00900C91">
      <w:pPr>
        <w:pStyle w:val="Paragrafoelenco"/>
        <w:numPr>
          <w:ilvl w:val="0"/>
          <w:numId w:val="1"/>
        </w:numPr>
        <w:spacing w:after="0" w:line="240" w:lineRule="auto"/>
        <w:rPr>
          <w:b/>
        </w:rPr>
      </w:pPr>
      <w:r w:rsidRPr="008206E7">
        <w:rPr>
          <w:b/>
        </w:rPr>
        <w:t>INTRODUZIONE</w:t>
      </w:r>
    </w:p>
    <w:p w:rsidR="00900C91" w:rsidRPr="002A3F14" w:rsidRDefault="00900C91" w:rsidP="00900C91">
      <w:pPr>
        <w:spacing w:after="0" w:line="240" w:lineRule="auto"/>
        <w:jc w:val="both"/>
      </w:pPr>
    </w:p>
    <w:p w:rsidR="00900C91" w:rsidRDefault="00900C91" w:rsidP="00900C91">
      <w:pPr>
        <w:pStyle w:val="Paragrafoelenco"/>
        <w:numPr>
          <w:ilvl w:val="0"/>
          <w:numId w:val="1"/>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900C91" w:rsidRPr="0033523E" w:rsidRDefault="00900C91" w:rsidP="00900C91">
      <w:pPr>
        <w:pStyle w:val="Paragrafoelenco"/>
        <w:rPr>
          <w:b/>
        </w:rPr>
      </w:pPr>
    </w:p>
    <w:p w:rsidR="00900C91" w:rsidRDefault="00900C91" w:rsidP="00900C91">
      <w:pPr>
        <w:pStyle w:val="Paragrafoelenco"/>
        <w:numPr>
          <w:ilvl w:val="0"/>
          <w:numId w:val="1"/>
        </w:numPr>
        <w:spacing w:after="0" w:line="240" w:lineRule="auto"/>
        <w:jc w:val="both"/>
        <w:rPr>
          <w:b/>
        </w:rPr>
      </w:pPr>
      <w:r w:rsidRPr="00DF7B22">
        <w:rPr>
          <w:b/>
        </w:rPr>
        <w:t>ASPETTI NON CLINICI</w:t>
      </w:r>
    </w:p>
    <w:p w:rsidR="00900C91" w:rsidRPr="0033523E" w:rsidRDefault="00900C91" w:rsidP="00900C91">
      <w:pPr>
        <w:pStyle w:val="Paragrafoelenco"/>
        <w:rPr>
          <w:b/>
        </w:rPr>
      </w:pPr>
    </w:p>
    <w:p w:rsidR="00900C91" w:rsidRDefault="00900C91" w:rsidP="00900C91">
      <w:pPr>
        <w:pStyle w:val="Paragrafoelenco"/>
        <w:numPr>
          <w:ilvl w:val="0"/>
          <w:numId w:val="1"/>
        </w:numPr>
        <w:spacing w:after="0" w:line="240" w:lineRule="auto"/>
        <w:jc w:val="both"/>
        <w:rPr>
          <w:b/>
        </w:rPr>
      </w:pPr>
      <w:r w:rsidRPr="005A38F5">
        <w:rPr>
          <w:b/>
        </w:rPr>
        <w:t>A</w:t>
      </w:r>
      <w:r>
        <w:rPr>
          <w:b/>
        </w:rPr>
        <w:t>S</w:t>
      </w:r>
      <w:r w:rsidRPr="005A38F5">
        <w:rPr>
          <w:b/>
        </w:rPr>
        <w:t>PETTI CLINICI</w:t>
      </w:r>
    </w:p>
    <w:p w:rsidR="00900C91" w:rsidRPr="0033523E" w:rsidRDefault="00900C91" w:rsidP="00900C91">
      <w:pPr>
        <w:pStyle w:val="Paragrafoelenco"/>
        <w:rPr>
          <w:b/>
        </w:rPr>
      </w:pPr>
    </w:p>
    <w:p w:rsidR="00900C91" w:rsidRPr="002E4DCB" w:rsidRDefault="00900C91" w:rsidP="00900C91">
      <w:pPr>
        <w:pStyle w:val="Paragrafoelenco"/>
        <w:numPr>
          <w:ilvl w:val="0"/>
          <w:numId w:val="1"/>
        </w:numPr>
        <w:spacing w:after="0" w:line="240" w:lineRule="auto"/>
        <w:jc w:val="both"/>
        <w:rPr>
          <w:b/>
        </w:rPr>
      </w:pPr>
      <w:r w:rsidRPr="002E4DCB">
        <w:rPr>
          <w:b/>
        </w:rPr>
        <w:t xml:space="preserve">CONSULTAZIONE </w:t>
      </w:r>
      <w:r>
        <w:rPr>
          <w:b/>
        </w:rPr>
        <w:t>SUL FOGLIO ILLUSTRATIVO</w:t>
      </w:r>
    </w:p>
    <w:p w:rsidR="00900C91" w:rsidRDefault="00900C91" w:rsidP="00900C91">
      <w:pPr>
        <w:pStyle w:val="Paragrafoelenco"/>
        <w:spacing w:after="0" w:line="240" w:lineRule="auto"/>
        <w:ind w:left="1080"/>
        <w:jc w:val="both"/>
        <w:rPr>
          <w:b/>
        </w:rPr>
      </w:pPr>
    </w:p>
    <w:p w:rsidR="00900C91" w:rsidRPr="00BC23ED" w:rsidRDefault="00900C91" w:rsidP="00900C91">
      <w:pPr>
        <w:pStyle w:val="Paragrafoelenco"/>
        <w:numPr>
          <w:ilvl w:val="0"/>
          <w:numId w:val="1"/>
        </w:numPr>
        <w:spacing w:after="0" w:line="240" w:lineRule="auto"/>
        <w:jc w:val="both"/>
        <w:rPr>
          <w:b/>
        </w:rPr>
      </w:pPr>
      <w:r w:rsidRPr="00BC23ED">
        <w:rPr>
          <w:b/>
        </w:rPr>
        <w:t>CONCLUSIONI, VALUTAZIONE DEL RAPPORTO BENEFICIO/RISCHIO E RACCOMANDAZIONI</w:t>
      </w:r>
    </w:p>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ED287E" w:rsidRDefault="00ED287E" w:rsidP="00900C91"/>
    <w:p w:rsidR="00ED287E" w:rsidRDefault="00ED287E" w:rsidP="00900C91"/>
    <w:p w:rsidR="00900C91" w:rsidRDefault="00900C91" w:rsidP="00900C91"/>
    <w:p w:rsidR="00900C91" w:rsidRDefault="00900C91" w:rsidP="00900C91"/>
    <w:p w:rsidR="00900C91" w:rsidRPr="003F0485" w:rsidRDefault="00900C91" w:rsidP="003F0485">
      <w:pPr>
        <w:pStyle w:val="Paragrafoelenco"/>
        <w:numPr>
          <w:ilvl w:val="0"/>
          <w:numId w:val="2"/>
        </w:numPr>
        <w:spacing w:after="0" w:line="240" w:lineRule="auto"/>
        <w:rPr>
          <w:b/>
        </w:rPr>
      </w:pPr>
      <w:r w:rsidRPr="003F0485">
        <w:rPr>
          <w:b/>
        </w:rPr>
        <w:lastRenderedPageBreak/>
        <w:t>INTRODUZIONE</w:t>
      </w:r>
    </w:p>
    <w:p w:rsidR="00900C91" w:rsidRPr="003F0485" w:rsidRDefault="00900C91" w:rsidP="003F0485">
      <w:pPr>
        <w:autoSpaceDE w:val="0"/>
        <w:autoSpaceDN w:val="0"/>
        <w:adjustRightInd w:val="0"/>
        <w:spacing w:after="0" w:line="240" w:lineRule="auto"/>
        <w:jc w:val="both"/>
      </w:pPr>
      <w:r w:rsidRPr="003F0485">
        <w:t xml:space="preserve">Sulla base dei dati di qualità, sicurezza ed efficacia, l’AIFA ha rilasciato a </w:t>
      </w:r>
      <w:proofErr w:type="spellStart"/>
      <w:r w:rsidR="003F0485" w:rsidRPr="003F0485">
        <w:t>Noventia</w:t>
      </w:r>
      <w:proofErr w:type="spellEnd"/>
      <w:r w:rsidR="003F0485" w:rsidRPr="003F0485">
        <w:t xml:space="preserve"> </w:t>
      </w:r>
      <w:proofErr w:type="spellStart"/>
      <w:r w:rsidR="003F0485" w:rsidRPr="003F0485">
        <w:t>Pharma</w:t>
      </w:r>
      <w:proofErr w:type="spellEnd"/>
      <w:r w:rsidR="00C24649" w:rsidRPr="003F0485">
        <w:t xml:space="preserve"> </w:t>
      </w:r>
      <w:r w:rsidRPr="003F0485">
        <w:t xml:space="preserve">l’autorizzazione all’immissione in commercio (AIC) per il medicinale </w:t>
      </w:r>
      <w:proofErr w:type="spellStart"/>
      <w:r w:rsidR="006951D9" w:rsidRPr="003F0485">
        <w:t>Fentanyl</w:t>
      </w:r>
      <w:proofErr w:type="spellEnd"/>
      <w:r w:rsidR="006951D9" w:rsidRPr="003F0485">
        <w:t xml:space="preserve"> </w:t>
      </w:r>
      <w:proofErr w:type="spellStart"/>
      <w:r w:rsidR="006951D9" w:rsidRPr="003F0485">
        <w:t>Noventia</w:t>
      </w:r>
      <w:proofErr w:type="spellEnd"/>
      <w:r w:rsidR="006951D9" w:rsidRPr="003F0485">
        <w:t xml:space="preserve"> </w:t>
      </w:r>
      <w:proofErr w:type="spellStart"/>
      <w:r w:rsidR="006951D9" w:rsidRPr="003F0485">
        <w:t>Pharma</w:t>
      </w:r>
      <w:proofErr w:type="spellEnd"/>
      <w:r w:rsidRPr="003F0485">
        <w:t xml:space="preserve"> </w:t>
      </w:r>
      <w:r w:rsidR="00A2288E" w:rsidRPr="003F0485">
        <w:rPr>
          <w:rFonts w:eastAsia="Calibri" w:cs="Calibri"/>
          <w:bCs/>
          <w:iCs/>
          <w:lang w:eastAsia="it-IT"/>
        </w:rPr>
        <w:t xml:space="preserve">il </w:t>
      </w:r>
      <w:r w:rsidR="00C305BF" w:rsidRPr="003F0485">
        <w:rPr>
          <w:rFonts w:eastAsia="Calibri" w:cs="Calibri"/>
          <w:bCs/>
          <w:iCs/>
          <w:lang w:eastAsia="it-IT"/>
        </w:rPr>
        <w:t>13 luglio</w:t>
      </w:r>
      <w:r w:rsidRPr="003F0485">
        <w:rPr>
          <w:rFonts w:eastAsia="Calibri" w:cs="Calibri"/>
          <w:bCs/>
          <w:iCs/>
          <w:lang w:eastAsia="it-IT"/>
        </w:rPr>
        <w:t xml:space="preserve"> 2015</w:t>
      </w:r>
      <w:r w:rsidRPr="003F0485">
        <w:t xml:space="preserve">. </w:t>
      </w:r>
      <w:r w:rsidR="007E00D8" w:rsidRPr="003F0485">
        <w:t xml:space="preserve"> </w:t>
      </w:r>
    </w:p>
    <w:p w:rsidR="00C24649" w:rsidRPr="003F0485" w:rsidRDefault="00C24649" w:rsidP="003F0485">
      <w:pPr>
        <w:autoSpaceDE w:val="0"/>
        <w:autoSpaceDN w:val="0"/>
        <w:adjustRightInd w:val="0"/>
        <w:spacing w:after="0" w:line="240" w:lineRule="auto"/>
        <w:jc w:val="both"/>
      </w:pPr>
    </w:p>
    <w:p w:rsidR="00900C91" w:rsidRPr="003F0485" w:rsidRDefault="006951D9" w:rsidP="003F0485">
      <w:pPr>
        <w:autoSpaceDE w:val="0"/>
        <w:autoSpaceDN w:val="0"/>
        <w:adjustRightInd w:val="0"/>
        <w:spacing w:after="0" w:line="240" w:lineRule="auto"/>
        <w:jc w:val="both"/>
        <w:rPr>
          <w:rFonts w:eastAsia="Calibri" w:cs="Calibri"/>
          <w:color w:val="000000"/>
          <w:lang w:eastAsia="it-IT"/>
        </w:rPr>
      </w:pPr>
      <w:proofErr w:type="spellStart"/>
      <w:r w:rsidRPr="003F0485">
        <w:rPr>
          <w:rFonts w:eastAsia="Calibri" w:cs="Calibri"/>
          <w:color w:val="000000"/>
          <w:lang w:eastAsia="it-IT"/>
        </w:rPr>
        <w:t>Fentanyl</w:t>
      </w:r>
      <w:proofErr w:type="spellEnd"/>
      <w:r w:rsidRPr="003F0485">
        <w:rPr>
          <w:rFonts w:eastAsia="Calibri" w:cs="Calibri"/>
          <w:color w:val="000000"/>
          <w:lang w:eastAsia="it-IT"/>
        </w:rPr>
        <w:t xml:space="preserve"> </w:t>
      </w:r>
      <w:proofErr w:type="spellStart"/>
      <w:r w:rsidRPr="003F0485">
        <w:rPr>
          <w:rFonts w:eastAsia="Calibri" w:cs="Calibri"/>
          <w:color w:val="000000"/>
          <w:lang w:eastAsia="it-IT"/>
        </w:rPr>
        <w:t>Noventia</w:t>
      </w:r>
      <w:proofErr w:type="spellEnd"/>
      <w:r w:rsidRPr="003F0485">
        <w:rPr>
          <w:rFonts w:eastAsia="Calibri" w:cs="Calibri"/>
          <w:color w:val="000000"/>
          <w:lang w:eastAsia="it-IT"/>
        </w:rPr>
        <w:t xml:space="preserve"> </w:t>
      </w:r>
      <w:proofErr w:type="spellStart"/>
      <w:r w:rsidRPr="003F0485">
        <w:rPr>
          <w:rFonts w:eastAsia="Calibri" w:cs="Calibri"/>
          <w:color w:val="000000"/>
          <w:lang w:eastAsia="it-IT"/>
        </w:rPr>
        <w:t>Pharma</w:t>
      </w:r>
      <w:proofErr w:type="spellEnd"/>
      <w:r w:rsidR="00900C91" w:rsidRPr="003F0485">
        <w:rPr>
          <w:rFonts w:eastAsia="Calibri" w:cs="Calibri"/>
          <w:color w:val="000000"/>
          <w:lang w:eastAsia="it-IT"/>
        </w:rPr>
        <w:t xml:space="preserve"> può essere ottenuto solo dietro prescrizione da parte del medico (ricetta </w:t>
      </w:r>
      <w:r w:rsidR="003F0485" w:rsidRPr="003F0485">
        <w:rPr>
          <w:rFonts w:eastAsia="Calibri" w:cs="Calibri"/>
          <w:color w:val="000000"/>
          <w:lang w:eastAsia="it-IT"/>
        </w:rPr>
        <w:t xml:space="preserve">non </w:t>
      </w:r>
      <w:r w:rsidR="00900C91" w:rsidRPr="003F0485">
        <w:rPr>
          <w:rFonts w:eastAsia="Calibri" w:cs="Calibri"/>
          <w:color w:val="000000"/>
          <w:lang w:eastAsia="it-IT"/>
        </w:rPr>
        <w:t>ripetibile).</w:t>
      </w:r>
      <w:r w:rsidR="003F0485" w:rsidRPr="003F0485">
        <w:rPr>
          <w:rFonts w:eastAsia="Calibri" w:cs="Calibri"/>
          <w:color w:val="000000"/>
          <w:lang w:eastAsia="it-IT"/>
        </w:rPr>
        <w:t xml:space="preserve"> E’ un m</w:t>
      </w:r>
      <w:r w:rsidR="003F0485" w:rsidRPr="003F0485">
        <w:rPr>
          <w:rFonts w:ascii="Calibri" w:eastAsia="Calibri" w:hAnsi="Calibri" w:cs="Times New Roman"/>
          <w:noProof/>
        </w:rPr>
        <w:t>edicinale iscritto nella tabella II, sezione D del testo unico di cui al D.P.R. 309/90</w:t>
      </w:r>
      <w:r w:rsidR="003F0485" w:rsidRPr="003F0485">
        <w:rPr>
          <w:rFonts w:ascii="Calibri" w:hAnsi="Calibri"/>
          <w:noProof/>
        </w:rPr>
        <w:t>.</w:t>
      </w:r>
    </w:p>
    <w:p w:rsidR="00900C91" w:rsidRPr="003F0485" w:rsidRDefault="00900C91" w:rsidP="003F0485">
      <w:pPr>
        <w:spacing w:after="0" w:line="240" w:lineRule="auto"/>
        <w:jc w:val="both"/>
      </w:pPr>
    </w:p>
    <w:p w:rsidR="00900C91" w:rsidRPr="003F0485" w:rsidRDefault="00900C91" w:rsidP="003F0485">
      <w:pPr>
        <w:spacing w:after="0" w:line="240" w:lineRule="auto"/>
        <w:jc w:val="both"/>
      </w:pPr>
      <w:r w:rsidRPr="003F0485">
        <w:t>Questa procedura è stata presentata ai sensi dell’art. 10</w:t>
      </w:r>
      <w:r w:rsidR="007461B9" w:rsidRPr="003F0485">
        <w:t>(1)</w:t>
      </w:r>
      <w:r w:rsidRPr="003F0485">
        <w:t xml:space="preserve"> della Direttiva 2001/83/EU </w:t>
      </w:r>
      <w:proofErr w:type="spellStart"/>
      <w:r w:rsidRPr="003F0485">
        <w:t>s.m.i.</w:t>
      </w:r>
      <w:proofErr w:type="spellEnd"/>
    </w:p>
    <w:p w:rsidR="00900C91" w:rsidRPr="003F0485" w:rsidRDefault="00900C91" w:rsidP="003F0485">
      <w:pPr>
        <w:widowControl w:val="0"/>
        <w:spacing w:after="0" w:line="240" w:lineRule="auto"/>
        <w:jc w:val="both"/>
        <w:rPr>
          <w:rFonts w:eastAsia="Calibri" w:cs="Calibri"/>
          <w:bCs/>
          <w:color w:val="000000"/>
          <w:lang w:eastAsia="it-IT"/>
        </w:rPr>
      </w:pPr>
    </w:p>
    <w:p w:rsidR="00900C91" w:rsidRPr="003F0485" w:rsidRDefault="006951D9" w:rsidP="003F0485">
      <w:pPr>
        <w:widowControl w:val="0"/>
        <w:spacing w:after="0" w:line="240" w:lineRule="auto"/>
        <w:jc w:val="both"/>
        <w:rPr>
          <w:rFonts w:eastAsia="Calibri" w:cs="Calibri"/>
          <w:color w:val="000000"/>
          <w:lang w:eastAsia="it-IT"/>
        </w:rPr>
      </w:pPr>
      <w:proofErr w:type="spellStart"/>
      <w:r w:rsidRPr="003F0485">
        <w:rPr>
          <w:rFonts w:eastAsia="Calibri" w:cs="Calibri"/>
          <w:bCs/>
          <w:color w:val="000000"/>
          <w:lang w:eastAsia="it-IT"/>
        </w:rPr>
        <w:t>Fentanyl</w:t>
      </w:r>
      <w:proofErr w:type="spellEnd"/>
      <w:r w:rsidRPr="003F0485">
        <w:rPr>
          <w:rFonts w:eastAsia="Calibri" w:cs="Calibri"/>
          <w:bCs/>
          <w:color w:val="000000"/>
          <w:lang w:eastAsia="it-IT"/>
        </w:rPr>
        <w:t xml:space="preserve"> </w:t>
      </w:r>
      <w:proofErr w:type="spellStart"/>
      <w:r w:rsidRPr="003F0485">
        <w:rPr>
          <w:rFonts w:eastAsia="Calibri" w:cs="Calibri"/>
          <w:bCs/>
          <w:color w:val="000000"/>
          <w:lang w:eastAsia="it-IT"/>
        </w:rPr>
        <w:t>Noventia</w:t>
      </w:r>
      <w:proofErr w:type="spellEnd"/>
      <w:r w:rsidRPr="003F0485">
        <w:rPr>
          <w:rFonts w:eastAsia="Calibri" w:cs="Calibri"/>
          <w:bCs/>
          <w:color w:val="000000"/>
          <w:lang w:eastAsia="it-IT"/>
        </w:rPr>
        <w:t xml:space="preserve"> </w:t>
      </w:r>
      <w:proofErr w:type="spellStart"/>
      <w:r w:rsidRPr="003F0485">
        <w:rPr>
          <w:rFonts w:eastAsia="Calibri" w:cs="Calibri"/>
          <w:bCs/>
          <w:color w:val="000000"/>
          <w:lang w:eastAsia="it-IT"/>
        </w:rPr>
        <w:t>Pharma</w:t>
      </w:r>
      <w:proofErr w:type="spellEnd"/>
      <w:r w:rsidR="00900C91" w:rsidRPr="003F0485">
        <w:rPr>
          <w:rFonts w:eastAsia="Calibri" w:cs="Calibri"/>
          <w:bCs/>
          <w:color w:val="000000"/>
          <w:lang w:eastAsia="it-IT"/>
        </w:rPr>
        <w:t xml:space="preserve"> </w:t>
      </w:r>
      <w:r w:rsidR="00900C91" w:rsidRPr="003F0485">
        <w:rPr>
          <w:rFonts w:eastAsia="Calibri" w:cs="Calibri"/>
          <w:color w:val="000000"/>
          <w:lang w:eastAsia="it-IT"/>
        </w:rPr>
        <w:t>è un medicinale</w:t>
      </w:r>
      <w:r w:rsidR="009246CB" w:rsidRPr="003F0485">
        <w:rPr>
          <w:rFonts w:eastAsia="Calibri" w:cs="Calibri"/>
          <w:color w:val="000000"/>
          <w:lang w:eastAsia="it-IT"/>
        </w:rPr>
        <w:t xml:space="preserve"> generico</w:t>
      </w:r>
      <w:r w:rsidR="00900C91" w:rsidRPr="003F0485">
        <w:rPr>
          <w:rFonts w:eastAsia="Calibri" w:cs="Calibri"/>
          <w:color w:val="000000"/>
          <w:lang w:eastAsia="it-IT"/>
        </w:rPr>
        <w:t xml:space="preserve"> contenente </w:t>
      </w:r>
      <w:r w:rsidR="00835A03" w:rsidRPr="003F0485">
        <w:rPr>
          <w:rFonts w:eastAsia="Calibri" w:cs="Calibri"/>
          <w:color w:val="000000"/>
          <w:lang w:eastAsia="it-IT"/>
        </w:rPr>
        <w:t>un</w:t>
      </w:r>
      <w:r w:rsidR="009246CB" w:rsidRPr="003F0485">
        <w:rPr>
          <w:rFonts w:eastAsia="Calibri" w:cs="Calibri"/>
          <w:color w:val="000000"/>
          <w:lang w:eastAsia="it-IT"/>
        </w:rPr>
        <w:t xml:space="preserve"> principi</w:t>
      </w:r>
      <w:r w:rsidR="00835A03" w:rsidRPr="003F0485">
        <w:rPr>
          <w:rFonts w:eastAsia="Calibri" w:cs="Calibri"/>
          <w:color w:val="000000"/>
          <w:lang w:eastAsia="it-IT"/>
        </w:rPr>
        <w:t>o</w:t>
      </w:r>
      <w:r w:rsidR="009246CB" w:rsidRPr="003F0485">
        <w:rPr>
          <w:rFonts w:eastAsia="Calibri" w:cs="Calibri"/>
          <w:color w:val="000000"/>
          <w:lang w:eastAsia="it-IT"/>
        </w:rPr>
        <w:t xml:space="preserve"> attiv</w:t>
      </w:r>
      <w:r w:rsidR="00835A03" w:rsidRPr="003F0485">
        <w:rPr>
          <w:rFonts w:eastAsia="Calibri" w:cs="Calibri"/>
          <w:color w:val="000000"/>
          <w:lang w:eastAsia="it-IT"/>
        </w:rPr>
        <w:t>o</w:t>
      </w:r>
      <w:r w:rsidR="009246CB" w:rsidRPr="003F0485">
        <w:rPr>
          <w:rFonts w:eastAsia="Calibri" w:cs="Calibri"/>
          <w:color w:val="000000"/>
          <w:lang w:eastAsia="it-IT"/>
        </w:rPr>
        <w:t xml:space="preserve">, </w:t>
      </w:r>
      <w:proofErr w:type="spellStart"/>
      <w:r w:rsidRPr="003F0485">
        <w:rPr>
          <w:rFonts w:eastAsia="Calibri" w:cs="Calibri"/>
          <w:bCs/>
          <w:color w:val="000000"/>
          <w:lang w:eastAsia="it-IT"/>
        </w:rPr>
        <w:t>fentanil</w:t>
      </w:r>
      <w:proofErr w:type="spellEnd"/>
      <w:r w:rsidR="009246CB" w:rsidRPr="003F0485">
        <w:rPr>
          <w:rFonts w:eastAsia="Calibri" w:cs="Calibri"/>
          <w:bCs/>
          <w:color w:val="000000"/>
          <w:lang w:eastAsia="it-IT"/>
        </w:rPr>
        <w:t>,</w:t>
      </w:r>
      <w:r w:rsidR="00900C91" w:rsidRPr="003F0485">
        <w:rPr>
          <w:rFonts w:eastAsia="Calibri" w:cs="Calibri"/>
          <w:color w:val="000000"/>
          <w:lang w:eastAsia="it-IT"/>
        </w:rPr>
        <w:t xml:space="preserve"> present</w:t>
      </w:r>
      <w:r w:rsidR="00835A03" w:rsidRPr="003F0485">
        <w:rPr>
          <w:rFonts w:eastAsia="Calibri" w:cs="Calibri"/>
          <w:color w:val="000000"/>
          <w:lang w:eastAsia="it-IT"/>
        </w:rPr>
        <w:t>e</w:t>
      </w:r>
      <w:r w:rsidR="00900C91" w:rsidRPr="003F0485">
        <w:rPr>
          <w:rFonts w:eastAsia="Calibri" w:cs="Calibri"/>
          <w:color w:val="000000"/>
          <w:lang w:eastAsia="it-IT"/>
        </w:rPr>
        <w:t xml:space="preserve"> </w:t>
      </w:r>
      <w:r w:rsidR="007E00D8" w:rsidRPr="003F0485">
        <w:rPr>
          <w:rFonts w:eastAsia="Calibri" w:cs="Calibri"/>
          <w:color w:val="000000"/>
          <w:lang w:eastAsia="it-IT"/>
        </w:rPr>
        <w:t xml:space="preserve">nel medicinale di riferimento </w:t>
      </w:r>
      <w:proofErr w:type="spellStart"/>
      <w:r w:rsidR="003F0485" w:rsidRPr="003F0485">
        <w:rPr>
          <w:rFonts w:eastAsia="Calibri" w:cs="Calibri"/>
          <w:color w:val="000000"/>
          <w:lang w:eastAsia="it-IT"/>
        </w:rPr>
        <w:t>Durogesic</w:t>
      </w:r>
      <w:proofErr w:type="spellEnd"/>
      <w:r w:rsidR="007E00D8" w:rsidRPr="003F0485">
        <w:rPr>
          <w:rFonts w:eastAsia="Calibri" w:cs="Calibri"/>
          <w:color w:val="000000"/>
          <w:lang w:eastAsia="it-IT"/>
        </w:rPr>
        <w:t>, autorizzato in Italia da più di 10 anni.</w:t>
      </w:r>
    </w:p>
    <w:p w:rsidR="00900C91" w:rsidRPr="003F0485" w:rsidRDefault="00900C91" w:rsidP="003F0485">
      <w:pPr>
        <w:spacing w:after="0" w:line="240" w:lineRule="auto"/>
        <w:jc w:val="both"/>
        <w:rPr>
          <w:highlight w:val="yellow"/>
        </w:rPr>
      </w:pPr>
    </w:p>
    <w:p w:rsidR="007461B9" w:rsidRPr="003F0485" w:rsidRDefault="006951D9" w:rsidP="003F0485">
      <w:pPr>
        <w:tabs>
          <w:tab w:val="left" w:pos="0"/>
        </w:tabs>
        <w:overflowPunct w:val="0"/>
        <w:autoSpaceDE w:val="0"/>
        <w:autoSpaceDN w:val="0"/>
        <w:adjustRightInd w:val="0"/>
        <w:spacing w:after="0" w:line="240" w:lineRule="auto"/>
        <w:jc w:val="both"/>
        <w:textAlignment w:val="baseline"/>
        <w:rPr>
          <w:rFonts w:ascii="Calibri" w:hAnsi="Calibri"/>
        </w:rPr>
      </w:pPr>
      <w:proofErr w:type="spellStart"/>
      <w:r w:rsidRPr="003F0485">
        <w:rPr>
          <w:rFonts w:eastAsia="Calibri" w:cs="Calibri"/>
          <w:bCs/>
          <w:color w:val="000000"/>
          <w:lang w:eastAsia="it-IT"/>
        </w:rPr>
        <w:t>Fentanyl</w:t>
      </w:r>
      <w:proofErr w:type="spellEnd"/>
      <w:r w:rsidRPr="003F0485">
        <w:rPr>
          <w:rFonts w:eastAsia="Calibri" w:cs="Calibri"/>
          <w:bCs/>
          <w:color w:val="000000"/>
          <w:lang w:eastAsia="it-IT"/>
        </w:rPr>
        <w:t xml:space="preserve"> </w:t>
      </w:r>
      <w:proofErr w:type="spellStart"/>
      <w:r w:rsidRPr="003F0485">
        <w:rPr>
          <w:rFonts w:eastAsia="Calibri" w:cs="Calibri"/>
          <w:bCs/>
          <w:color w:val="000000"/>
          <w:lang w:eastAsia="it-IT"/>
        </w:rPr>
        <w:t>Noventia</w:t>
      </w:r>
      <w:proofErr w:type="spellEnd"/>
      <w:r w:rsidRPr="003F0485">
        <w:rPr>
          <w:rFonts w:eastAsia="Calibri" w:cs="Calibri"/>
          <w:bCs/>
          <w:color w:val="000000"/>
          <w:lang w:eastAsia="it-IT"/>
        </w:rPr>
        <w:t xml:space="preserve"> </w:t>
      </w:r>
      <w:proofErr w:type="spellStart"/>
      <w:r w:rsidRPr="003F0485">
        <w:rPr>
          <w:rFonts w:eastAsia="Calibri" w:cs="Calibri"/>
          <w:bCs/>
          <w:color w:val="000000"/>
          <w:lang w:eastAsia="it-IT"/>
        </w:rPr>
        <w:t>Pharma</w:t>
      </w:r>
      <w:proofErr w:type="spellEnd"/>
      <w:r w:rsidR="00C305BF" w:rsidRPr="003F0485">
        <w:rPr>
          <w:rFonts w:eastAsia="Calibri" w:cs="Calibri"/>
          <w:bCs/>
          <w:color w:val="000000"/>
          <w:lang w:eastAsia="it-IT"/>
        </w:rPr>
        <w:t xml:space="preserve">, il cui codice ATC è </w:t>
      </w:r>
      <w:r w:rsidR="003F0485" w:rsidRPr="003F0485">
        <w:rPr>
          <w:rFonts w:ascii="Calibri" w:hAnsi="Calibri"/>
        </w:rPr>
        <w:t>N02AB03</w:t>
      </w:r>
      <w:r w:rsidR="00C305BF" w:rsidRPr="003F0485">
        <w:rPr>
          <w:rFonts w:eastAsia="DejaVuSans" w:cs="DejaVuSans"/>
        </w:rPr>
        <w:t xml:space="preserve">, </w:t>
      </w:r>
      <w:r w:rsidR="00C305BF" w:rsidRPr="003F0485">
        <w:rPr>
          <w:rFonts w:eastAsia="Calibri" w:cs="Calibri"/>
          <w:color w:val="000000"/>
          <w:lang w:eastAsia="it-IT"/>
        </w:rPr>
        <w:t xml:space="preserve">contiene il principio attivo </w:t>
      </w:r>
      <w:proofErr w:type="spellStart"/>
      <w:r w:rsidRPr="003F0485">
        <w:rPr>
          <w:rFonts w:eastAsia="Calibri" w:cs="Calibri"/>
          <w:color w:val="000000"/>
          <w:lang w:eastAsia="it-IT"/>
        </w:rPr>
        <w:t>fentanil</w:t>
      </w:r>
      <w:proofErr w:type="spellEnd"/>
      <w:r w:rsidR="00C305BF" w:rsidRPr="003F0485">
        <w:rPr>
          <w:rFonts w:eastAsia="Calibri" w:cs="Calibri"/>
          <w:color w:val="000000"/>
          <w:lang w:eastAsia="it-IT"/>
        </w:rPr>
        <w:t xml:space="preserve"> che </w:t>
      </w:r>
      <w:r w:rsidR="003F0485" w:rsidRPr="003F0485">
        <w:rPr>
          <w:rFonts w:ascii="Calibri" w:hAnsi="Calibri"/>
        </w:rPr>
        <w:t xml:space="preserve">è un analgesico oppiaceo con affinità prevalentemente per i recettori µ. Le sue principali azioni terapeutiche sono l’analgesia e la </w:t>
      </w:r>
      <w:proofErr w:type="spellStart"/>
      <w:r w:rsidR="003F0485" w:rsidRPr="003F0485">
        <w:rPr>
          <w:rFonts w:ascii="Calibri" w:hAnsi="Calibri"/>
        </w:rPr>
        <w:t>sedazione</w:t>
      </w:r>
      <w:proofErr w:type="spellEnd"/>
      <w:r w:rsidR="003F0485" w:rsidRPr="003F0485">
        <w:rPr>
          <w:rFonts w:ascii="Calibri" w:hAnsi="Calibri"/>
        </w:rPr>
        <w:t>.</w:t>
      </w:r>
    </w:p>
    <w:p w:rsidR="003F0485" w:rsidRPr="003F0485" w:rsidRDefault="003F0485" w:rsidP="003F0485">
      <w:pPr>
        <w:tabs>
          <w:tab w:val="left" w:pos="0"/>
        </w:tabs>
        <w:overflowPunct w:val="0"/>
        <w:autoSpaceDE w:val="0"/>
        <w:autoSpaceDN w:val="0"/>
        <w:adjustRightInd w:val="0"/>
        <w:spacing w:after="0" w:line="240" w:lineRule="auto"/>
        <w:jc w:val="both"/>
        <w:textAlignment w:val="baseline"/>
        <w:rPr>
          <w:iCs/>
        </w:rPr>
      </w:pPr>
    </w:p>
    <w:p w:rsidR="003F0485" w:rsidRPr="003F0485" w:rsidRDefault="006951D9" w:rsidP="003F0485">
      <w:pPr>
        <w:autoSpaceDE w:val="0"/>
        <w:autoSpaceDN w:val="0"/>
        <w:adjustRightInd w:val="0"/>
        <w:spacing w:after="0" w:line="240" w:lineRule="auto"/>
        <w:jc w:val="both"/>
        <w:rPr>
          <w:spacing w:val="-2"/>
        </w:rPr>
      </w:pPr>
      <w:proofErr w:type="spellStart"/>
      <w:r w:rsidRPr="003F0485">
        <w:rPr>
          <w:rFonts w:eastAsia="Calibri" w:cs="Calibri"/>
          <w:color w:val="000000"/>
          <w:lang w:eastAsia="it-IT"/>
        </w:rPr>
        <w:t>Fentanyl</w:t>
      </w:r>
      <w:proofErr w:type="spellEnd"/>
      <w:r w:rsidRPr="003F0485">
        <w:rPr>
          <w:rFonts w:eastAsia="Calibri" w:cs="Calibri"/>
          <w:color w:val="000000"/>
          <w:lang w:eastAsia="it-IT"/>
        </w:rPr>
        <w:t xml:space="preserve"> </w:t>
      </w:r>
      <w:proofErr w:type="spellStart"/>
      <w:r w:rsidRPr="003F0485">
        <w:rPr>
          <w:rFonts w:eastAsia="Calibri" w:cs="Calibri"/>
          <w:color w:val="000000"/>
          <w:lang w:eastAsia="it-IT"/>
        </w:rPr>
        <w:t>Noventia</w:t>
      </w:r>
      <w:proofErr w:type="spellEnd"/>
      <w:r w:rsidRPr="003F0485">
        <w:rPr>
          <w:rFonts w:eastAsia="Calibri" w:cs="Calibri"/>
          <w:color w:val="000000"/>
          <w:lang w:eastAsia="it-IT"/>
        </w:rPr>
        <w:t xml:space="preserve"> </w:t>
      </w:r>
      <w:proofErr w:type="spellStart"/>
      <w:r w:rsidRPr="003F0485">
        <w:rPr>
          <w:rFonts w:eastAsia="Calibri" w:cs="Calibri"/>
          <w:color w:val="000000"/>
          <w:lang w:eastAsia="it-IT"/>
        </w:rPr>
        <w:t>Pharma</w:t>
      </w:r>
      <w:proofErr w:type="spellEnd"/>
      <w:r w:rsidR="00900C91" w:rsidRPr="003F0485">
        <w:rPr>
          <w:rFonts w:eastAsia="Calibri" w:cs="Calibri"/>
          <w:color w:val="000000"/>
          <w:lang w:eastAsia="it-IT"/>
        </w:rPr>
        <w:t xml:space="preserve"> </w:t>
      </w:r>
      <w:r w:rsidR="00900C91" w:rsidRPr="003F0485">
        <w:rPr>
          <w:rFonts w:cs="Helvetica"/>
        </w:rPr>
        <w:t>è indicato</w:t>
      </w:r>
      <w:r w:rsidR="003F0485" w:rsidRPr="003F0485">
        <w:rPr>
          <w:spacing w:val="-2"/>
        </w:rPr>
        <w:t>, per gli adulti e gli adolescenti di età superiore a 16 anni, nel trattamento del dolore cronico da cancro e del dolore ribelle che necessita di un'analgesia a base di sostanze oppiacee.</w:t>
      </w:r>
    </w:p>
    <w:p w:rsidR="003F0485" w:rsidRPr="003F0485" w:rsidRDefault="003F0485" w:rsidP="003F0485">
      <w:pPr>
        <w:tabs>
          <w:tab w:val="left" w:pos="0"/>
          <w:tab w:val="left" w:pos="1014"/>
          <w:tab w:val="left" w:pos="2160"/>
        </w:tabs>
        <w:suppressAutoHyphens/>
        <w:spacing w:after="0" w:line="240" w:lineRule="auto"/>
        <w:jc w:val="both"/>
        <w:rPr>
          <w:rFonts w:ascii="Calibri" w:hAnsi="Calibri"/>
          <w:spacing w:val="-2"/>
        </w:rPr>
      </w:pPr>
      <w:r w:rsidRPr="003F0485">
        <w:rPr>
          <w:rFonts w:ascii="Calibri" w:hAnsi="Calibri"/>
          <w:spacing w:val="-2"/>
        </w:rPr>
        <w:t xml:space="preserve">Per i bambini di età compresa tra 2 anni e 16 anni, </w:t>
      </w:r>
      <w:proofErr w:type="spellStart"/>
      <w:r w:rsidRPr="003F0485">
        <w:rPr>
          <w:rFonts w:ascii="Calibri" w:hAnsi="Calibri"/>
        </w:rPr>
        <w:t>Fentanyl</w:t>
      </w:r>
      <w:proofErr w:type="spellEnd"/>
      <w:r w:rsidRPr="003F0485">
        <w:rPr>
          <w:rFonts w:ascii="Calibri" w:hAnsi="Calibri"/>
        </w:rPr>
        <w:t xml:space="preserve"> </w:t>
      </w:r>
      <w:proofErr w:type="spellStart"/>
      <w:r w:rsidRPr="003F0485">
        <w:rPr>
          <w:rFonts w:ascii="Calibri" w:hAnsi="Calibri"/>
        </w:rPr>
        <w:t>Noventia</w:t>
      </w:r>
      <w:proofErr w:type="spellEnd"/>
      <w:r w:rsidRPr="003F0485">
        <w:rPr>
          <w:rFonts w:ascii="Calibri" w:hAnsi="Calibri"/>
        </w:rPr>
        <w:t xml:space="preserve"> </w:t>
      </w:r>
      <w:proofErr w:type="spellStart"/>
      <w:r w:rsidRPr="003F0485">
        <w:rPr>
          <w:rFonts w:ascii="Calibri" w:hAnsi="Calibri"/>
        </w:rPr>
        <w:t>Pharma</w:t>
      </w:r>
      <w:proofErr w:type="spellEnd"/>
      <w:r w:rsidRPr="003F0485">
        <w:rPr>
          <w:rFonts w:ascii="Calibri" w:hAnsi="Calibri"/>
          <w:spacing w:val="-2"/>
        </w:rPr>
        <w:t xml:space="preserve"> è indicato nel trattamento a lungo termine del dolore severo nei bambini che sono già in trattamento con sostanze oppiacee.</w:t>
      </w:r>
    </w:p>
    <w:p w:rsidR="00900C91" w:rsidRPr="003F0485" w:rsidRDefault="00900C91" w:rsidP="003F0485">
      <w:pPr>
        <w:spacing w:after="0" w:line="240" w:lineRule="auto"/>
        <w:jc w:val="both"/>
      </w:pPr>
    </w:p>
    <w:p w:rsidR="00900C91" w:rsidRPr="003F0485" w:rsidRDefault="00900C91" w:rsidP="003F0485">
      <w:pPr>
        <w:spacing w:after="0" w:line="240" w:lineRule="auto"/>
        <w:jc w:val="both"/>
      </w:pPr>
      <w:r w:rsidRPr="003F0485">
        <w:t xml:space="preserve">Poiché </w:t>
      </w:r>
      <w:proofErr w:type="spellStart"/>
      <w:r w:rsidR="006951D9" w:rsidRPr="003F0485">
        <w:t>Fentanyl</w:t>
      </w:r>
      <w:proofErr w:type="spellEnd"/>
      <w:r w:rsidR="006951D9" w:rsidRPr="003F0485">
        <w:t xml:space="preserve"> </w:t>
      </w:r>
      <w:proofErr w:type="spellStart"/>
      <w:r w:rsidR="006951D9" w:rsidRPr="003F0485">
        <w:t>Noventia</w:t>
      </w:r>
      <w:proofErr w:type="spellEnd"/>
      <w:r w:rsidR="006951D9" w:rsidRPr="003F0485">
        <w:t xml:space="preserve"> </w:t>
      </w:r>
      <w:proofErr w:type="spellStart"/>
      <w:r w:rsidR="006951D9" w:rsidRPr="003F0485">
        <w:t>Pharma</w:t>
      </w:r>
      <w:proofErr w:type="spellEnd"/>
      <w:r w:rsidRPr="003F0485">
        <w:t xml:space="preserve"> contiene </w:t>
      </w:r>
      <w:r w:rsidR="00A2288E" w:rsidRPr="003F0485">
        <w:t xml:space="preserve">un </w:t>
      </w:r>
      <w:r w:rsidRPr="003F0485">
        <w:t>principi</w:t>
      </w:r>
      <w:r w:rsidR="00A2288E" w:rsidRPr="003F0485">
        <w:t>o</w:t>
      </w:r>
      <w:r w:rsidRPr="003F0485">
        <w:t xml:space="preserve"> attiv</w:t>
      </w:r>
      <w:r w:rsidR="00A2288E" w:rsidRPr="003F0485">
        <w:t>o</w:t>
      </w:r>
      <w:r w:rsidRPr="003F0485">
        <w:t xml:space="preserve"> not</w:t>
      </w:r>
      <w:r w:rsidR="00A2288E" w:rsidRPr="003F0485">
        <w:t>o</w:t>
      </w:r>
      <w:r w:rsidRPr="003F0485">
        <w:t xml:space="preserve">, non sono stati forniti nuovi dati non clinici e clinici: questo approccio è accettabile poiché il medicinale di riferimento </w:t>
      </w:r>
      <w:proofErr w:type="spellStart"/>
      <w:r w:rsidR="003F0485" w:rsidRPr="003F0485">
        <w:t>Durogesic</w:t>
      </w:r>
      <w:proofErr w:type="spellEnd"/>
      <w:r w:rsidRPr="003F0485">
        <w:t xml:space="preserve"> è autorizzato </w:t>
      </w:r>
      <w:r w:rsidR="00A41EA1" w:rsidRPr="003F0485">
        <w:t xml:space="preserve">in Italia </w:t>
      </w:r>
      <w:r w:rsidRPr="003F0485">
        <w:t>da oltre 10 anni.</w:t>
      </w:r>
    </w:p>
    <w:p w:rsidR="00900C91" w:rsidRPr="003F0485" w:rsidRDefault="00900C91" w:rsidP="003F0485">
      <w:pPr>
        <w:spacing w:after="0" w:line="240" w:lineRule="auto"/>
        <w:jc w:val="both"/>
      </w:pPr>
      <w:r w:rsidRPr="003F0485">
        <w:t xml:space="preserve">La richiesta di AIC è supportata da uno studio di bioequivalenza che ha confrontato i profili farmacocinetici del medicinale test </w:t>
      </w:r>
      <w:proofErr w:type="spellStart"/>
      <w:r w:rsidR="006951D9" w:rsidRPr="003F0485">
        <w:t>Fentanyl</w:t>
      </w:r>
      <w:proofErr w:type="spellEnd"/>
      <w:r w:rsidR="006951D9" w:rsidRPr="003F0485">
        <w:t xml:space="preserve"> </w:t>
      </w:r>
      <w:proofErr w:type="spellStart"/>
      <w:r w:rsidR="006951D9" w:rsidRPr="003F0485">
        <w:t>Noventia</w:t>
      </w:r>
      <w:proofErr w:type="spellEnd"/>
      <w:r w:rsidR="006951D9" w:rsidRPr="003F0485">
        <w:t xml:space="preserve"> </w:t>
      </w:r>
      <w:proofErr w:type="spellStart"/>
      <w:r w:rsidR="006951D9" w:rsidRPr="003F0485">
        <w:t>Pharma</w:t>
      </w:r>
      <w:proofErr w:type="spellEnd"/>
      <w:r w:rsidRPr="003F0485">
        <w:t xml:space="preserve"> e quelli del medicinale</w:t>
      </w:r>
      <w:r w:rsidR="00F147C1" w:rsidRPr="003F0485">
        <w:t xml:space="preserve"> di riferimento</w:t>
      </w:r>
      <w:r w:rsidRPr="003F0485">
        <w:t xml:space="preserve"> </w:t>
      </w:r>
      <w:proofErr w:type="spellStart"/>
      <w:r w:rsidR="003F0485" w:rsidRPr="003F0485">
        <w:t>Durogesic</w:t>
      </w:r>
      <w:proofErr w:type="spellEnd"/>
      <w:r w:rsidR="00A41EA1" w:rsidRPr="003F0485">
        <w:t xml:space="preserve"> </w:t>
      </w:r>
      <w:r w:rsidR="00F147C1" w:rsidRPr="003F0485">
        <w:t>autorizzato in Italia</w:t>
      </w:r>
      <w:r w:rsidRPr="003F0485">
        <w:t>.</w:t>
      </w:r>
    </w:p>
    <w:p w:rsidR="00900C91" w:rsidRPr="003F0485" w:rsidRDefault="00900C91" w:rsidP="003F0485">
      <w:pPr>
        <w:spacing w:after="0" w:line="240" w:lineRule="auto"/>
        <w:jc w:val="both"/>
      </w:pPr>
      <w:r w:rsidRPr="003F0485">
        <w:t>Lo studio di bioequivalenza è stato condotto in conformità alle linee guida di Buona Pratica Clinica (</w:t>
      </w:r>
      <w:proofErr w:type="spellStart"/>
      <w:r w:rsidRPr="003F0485">
        <w:rPr>
          <w:i/>
        </w:rPr>
        <w:t>Good</w:t>
      </w:r>
      <w:proofErr w:type="spellEnd"/>
      <w:r w:rsidRPr="003F0485">
        <w:rPr>
          <w:i/>
        </w:rPr>
        <w:t xml:space="preserve"> </w:t>
      </w:r>
      <w:proofErr w:type="spellStart"/>
      <w:r w:rsidRPr="003F0485">
        <w:rPr>
          <w:i/>
        </w:rPr>
        <w:t>Clinical</w:t>
      </w:r>
      <w:proofErr w:type="spellEnd"/>
      <w:r w:rsidRPr="003F0485">
        <w:rPr>
          <w:i/>
        </w:rPr>
        <w:t xml:space="preserve"> </w:t>
      </w:r>
      <w:proofErr w:type="spellStart"/>
      <w:r w:rsidRPr="003F0485">
        <w:rPr>
          <w:i/>
        </w:rPr>
        <w:t>Practice</w:t>
      </w:r>
      <w:proofErr w:type="spellEnd"/>
      <w:r w:rsidRPr="003F0485">
        <w:t xml:space="preserve"> - GCP).</w:t>
      </w:r>
    </w:p>
    <w:p w:rsidR="00900C91" w:rsidRPr="003F0485" w:rsidRDefault="00900C91" w:rsidP="003F0485">
      <w:pPr>
        <w:spacing w:after="0" w:line="240" w:lineRule="auto"/>
        <w:jc w:val="both"/>
      </w:pPr>
    </w:p>
    <w:p w:rsidR="008A59E9" w:rsidRDefault="00900C91" w:rsidP="003F0485">
      <w:pPr>
        <w:spacing w:after="0" w:line="240" w:lineRule="auto"/>
        <w:jc w:val="both"/>
      </w:pPr>
      <w:r w:rsidRPr="003F0485">
        <w:t>Le officine coinvolte n</w:t>
      </w:r>
      <w:r w:rsidRPr="00900C91">
        <w:t>ella produzione sono conformi alle linee guida di Buona Pratica di Fabbricazione (</w:t>
      </w:r>
      <w:proofErr w:type="spellStart"/>
      <w:r w:rsidRPr="00900C91">
        <w:rPr>
          <w:i/>
        </w:rPr>
        <w:t>Good</w:t>
      </w:r>
      <w:proofErr w:type="spellEnd"/>
      <w:r w:rsidRPr="00900C91">
        <w:rPr>
          <w:i/>
        </w:rPr>
        <w:t xml:space="preserve"> Manufacturing </w:t>
      </w:r>
      <w:proofErr w:type="spellStart"/>
      <w:r w:rsidRPr="00900C91">
        <w:rPr>
          <w:i/>
        </w:rPr>
        <w:t>Practice</w:t>
      </w:r>
      <w:proofErr w:type="spellEnd"/>
      <w:r w:rsidRPr="00900C91">
        <w:t xml:space="preserve"> - GMP). </w:t>
      </w:r>
      <w:r w:rsidR="008A59E9">
        <w:t xml:space="preserve">Le autorità </w:t>
      </w:r>
      <w:r w:rsidR="00E35FFF">
        <w:t>regolatorie</w:t>
      </w:r>
      <w:r w:rsidR="008A59E9">
        <w:t xml:space="preserve"> europee competenti hanno rilasciato i certificati GMP per i siti di produzione.</w:t>
      </w:r>
    </w:p>
    <w:p w:rsidR="00900C91" w:rsidRPr="00900C91" w:rsidRDefault="00900C91" w:rsidP="00900C91">
      <w:pPr>
        <w:spacing w:after="0" w:line="240" w:lineRule="auto"/>
        <w:jc w:val="both"/>
        <w:rPr>
          <w:highlight w:val="yellow"/>
        </w:rPr>
      </w:pPr>
    </w:p>
    <w:p w:rsidR="00900C91" w:rsidRPr="00900C91" w:rsidRDefault="00900C91" w:rsidP="00900C91">
      <w:pPr>
        <w:spacing w:after="0" w:line="240" w:lineRule="auto"/>
        <w:jc w:val="both"/>
      </w:pPr>
      <w:r w:rsidRPr="00900C91">
        <w:t>Il sistema di Farmacovigilanza descritto dal titolare dell’AIC è conforme ai requisiti previsti dalla normativa corrente. E’ stato presentato un Piano di gestione del rischio (</w:t>
      </w:r>
      <w:proofErr w:type="spellStart"/>
      <w:r w:rsidRPr="00900C91">
        <w:rPr>
          <w:i/>
        </w:rPr>
        <w:t>Risk</w:t>
      </w:r>
      <w:proofErr w:type="spellEnd"/>
      <w:r w:rsidRPr="00900C91">
        <w:rPr>
          <w:i/>
        </w:rPr>
        <w:t xml:space="preserve"> Management </w:t>
      </w:r>
      <w:proofErr w:type="spellStart"/>
      <w:r w:rsidRPr="00900C91">
        <w:rPr>
          <w:i/>
        </w:rPr>
        <w:t>Plan</w:t>
      </w:r>
      <w:proofErr w:type="spellEnd"/>
      <w:r w:rsidRPr="00900C91">
        <w:t xml:space="preserve"> – RMP) accettabile.</w:t>
      </w:r>
    </w:p>
    <w:p w:rsidR="00900C91" w:rsidRPr="00900C91" w:rsidRDefault="00900C91" w:rsidP="00900C91">
      <w:pPr>
        <w:spacing w:after="0" w:line="240" w:lineRule="auto"/>
        <w:jc w:val="both"/>
      </w:pPr>
    </w:p>
    <w:p w:rsidR="00900C91" w:rsidRPr="00A751F8" w:rsidRDefault="00900C91" w:rsidP="00A751F8">
      <w:pPr>
        <w:spacing w:after="0" w:line="240" w:lineRule="auto"/>
        <w:jc w:val="both"/>
      </w:pPr>
      <w:r w:rsidRPr="00900C91">
        <w:t xml:space="preserve">Il titolare di AIC ha presentato una adeguata giustificazione della non presentazione della Valutazione del Rischio ambientale; questo approccio è accettabile in quanto </w:t>
      </w:r>
      <w:proofErr w:type="spellStart"/>
      <w:r w:rsidR="006951D9">
        <w:t>Fentanyl</w:t>
      </w:r>
      <w:proofErr w:type="spellEnd"/>
      <w:r w:rsidR="006951D9">
        <w:t xml:space="preserve"> </w:t>
      </w:r>
      <w:proofErr w:type="spellStart"/>
      <w:r w:rsidR="006951D9">
        <w:t>Noventia</w:t>
      </w:r>
      <w:proofErr w:type="spellEnd"/>
      <w:r w:rsidR="006951D9">
        <w:t xml:space="preserve"> </w:t>
      </w:r>
      <w:proofErr w:type="spellStart"/>
      <w:r w:rsidR="006951D9">
        <w:t>Pharma</w:t>
      </w:r>
      <w:proofErr w:type="spellEnd"/>
      <w:r w:rsidRPr="00900C91">
        <w:t xml:space="preserve"> contiene principi attivi noti presenti in medicinali autorizzati; inoltre, non sono presenti componenti geneticamente </w:t>
      </w:r>
      <w:r w:rsidRPr="00A751F8">
        <w:t>modificati; il metodo di produzione e la formulazione del medicinale non presentano problematiche di carattere ambientale.</w:t>
      </w:r>
    </w:p>
    <w:p w:rsidR="00900C91" w:rsidRPr="00A751F8" w:rsidRDefault="00900C91" w:rsidP="00A751F8">
      <w:pPr>
        <w:spacing w:after="0" w:line="240" w:lineRule="auto"/>
        <w:jc w:val="both"/>
      </w:pPr>
    </w:p>
    <w:p w:rsidR="00900C91" w:rsidRPr="00A751F8" w:rsidRDefault="00900C91" w:rsidP="00A751F8">
      <w:pPr>
        <w:spacing w:after="0" w:line="240" w:lineRule="auto"/>
        <w:jc w:val="both"/>
      </w:pPr>
    </w:p>
    <w:p w:rsidR="00900C91" w:rsidRPr="00A751F8" w:rsidRDefault="00900C91" w:rsidP="00A751F8">
      <w:pPr>
        <w:pStyle w:val="Paragrafoelenco"/>
        <w:numPr>
          <w:ilvl w:val="0"/>
          <w:numId w:val="2"/>
        </w:numPr>
        <w:spacing w:after="0" w:line="240" w:lineRule="auto"/>
        <w:jc w:val="both"/>
        <w:rPr>
          <w:b/>
        </w:rPr>
      </w:pPr>
      <w:r w:rsidRPr="00A751F8">
        <w:rPr>
          <w:b/>
        </w:rPr>
        <w:t xml:space="preserve">ASPETTI </w:t>
      </w:r>
      <w:proofErr w:type="spellStart"/>
      <w:r w:rsidRPr="00A751F8">
        <w:rPr>
          <w:b/>
        </w:rPr>
        <w:t>DI</w:t>
      </w:r>
      <w:proofErr w:type="spellEnd"/>
      <w:r w:rsidRPr="00A751F8">
        <w:rPr>
          <w:b/>
        </w:rPr>
        <w:t xml:space="preserve"> QUALITA’</w:t>
      </w:r>
    </w:p>
    <w:p w:rsidR="00900C91" w:rsidRPr="00A751F8" w:rsidRDefault="00900C91" w:rsidP="00A751F8">
      <w:pPr>
        <w:spacing w:after="0" w:line="240" w:lineRule="auto"/>
        <w:jc w:val="both"/>
      </w:pPr>
      <w:r w:rsidRPr="00A751F8">
        <w:rPr>
          <w:b/>
        </w:rPr>
        <w:t xml:space="preserve">II.1 PRINCIPIO ATTIVO </w:t>
      </w:r>
      <w:r w:rsidR="006951D9" w:rsidRPr="00A751F8">
        <w:rPr>
          <w:b/>
        </w:rPr>
        <w:t>FENTANIL</w:t>
      </w:r>
      <w:r w:rsidR="00512512" w:rsidRPr="00A751F8">
        <w:rPr>
          <w:b/>
        </w:rPr>
        <w:t xml:space="preserve"> </w:t>
      </w:r>
    </w:p>
    <w:p w:rsidR="00900C91" w:rsidRPr="00A751F8" w:rsidRDefault="00900C91" w:rsidP="00A751F8">
      <w:pPr>
        <w:autoSpaceDE w:val="0"/>
        <w:autoSpaceDN w:val="0"/>
        <w:adjustRightInd w:val="0"/>
        <w:spacing w:after="0" w:line="240" w:lineRule="auto"/>
        <w:rPr>
          <w:highlight w:val="yellow"/>
        </w:rPr>
      </w:pPr>
      <w:r w:rsidRPr="00A751F8">
        <w:rPr>
          <w:u w:val="single"/>
        </w:rPr>
        <w:t>Nome chimico</w:t>
      </w:r>
      <w:r w:rsidR="00F147C1" w:rsidRPr="00A751F8">
        <w:t>:</w:t>
      </w:r>
      <w:r w:rsidR="00FD0C63" w:rsidRPr="00A751F8">
        <w:t xml:space="preserve"> </w:t>
      </w:r>
      <w:proofErr w:type="spellStart"/>
      <w:r w:rsidR="00A751F8" w:rsidRPr="00A751F8">
        <w:rPr>
          <w:rStyle w:val="s1"/>
          <w:rFonts w:asciiTheme="minorHAnsi" w:hAnsiTheme="minorHAnsi"/>
          <w:i/>
          <w:iCs/>
        </w:rPr>
        <w:t>N</w:t>
      </w:r>
      <w:r w:rsidR="00A751F8" w:rsidRPr="00A751F8">
        <w:rPr>
          <w:rStyle w:val="s1"/>
          <w:rFonts w:asciiTheme="minorHAnsi" w:hAnsiTheme="minorHAnsi"/>
        </w:rPr>
        <w:t>-Phenyl-</w:t>
      </w:r>
      <w:r w:rsidR="00A751F8" w:rsidRPr="00A751F8">
        <w:rPr>
          <w:rStyle w:val="s1"/>
          <w:rFonts w:asciiTheme="minorHAnsi" w:hAnsiTheme="minorHAnsi"/>
          <w:i/>
          <w:iCs/>
        </w:rPr>
        <w:t>N</w:t>
      </w:r>
      <w:r w:rsidR="00A751F8" w:rsidRPr="00A751F8">
        <w:rPr>
          <w:rStyle w:val="s1"/>
          <w:rFonts w:asciiTheme="minorHAnsi" w:hAnsiTheme="minorHAnsi"/>
        </w:rPr>
        <w:t>-</w:t>
      </w:r>
      <w:proofErr w:type="spellEnd"/>
      <w:r w:rsidR="00A751F8" w:rsidRPr="00A751F8">
        <w:rPr>
          <w:rStyle w:val="s1"/>
          <w:rFonts w:asciiTheme="minorHAnsi" w:hAnsiTheme="minorHAnsi"/>
        </w:rPr>
        <w:t>[1-(2-phenylethyl)piperidin-4-yl]</w:t>
      </w:r>
      <w:proofErr w:type="spellStart"/>
      <w:r w:rsidR="00A751F8" w:rsidRPr="00A751F8">
        <w:rPr>
          <w:rStyle w:val="s1"/>
          <w:rFonts w:asciiTheme="minorHAnsi" w:hAnsiTheme="minorHAnsi"/>
        </w:rPr>
        <w:t>propanamide</w:t>
      </w:r>
      <w:proofErr w:type="spellEnd"/>
    </w:p>
    <w:p w:rsidR="00E9199F" w:rsidRPr="00A751F8" w:rsidRDefault="00900C91" w:rsidP="00A751F8">
      <w:pPr>
        <w:spacing w:after="0" w:line="240" w:lineRule="auto"/>
        <w:jc w:val="both"/>
        <w:rPr>
          <w:u w:val="single"/>
        </w:rPr>
      </w:pPr>
      <w:r w:rsidRPr="00A751F8">
        <w:rPr>
          <w:u w:val="single"/>
        </w:rPr>
        <w:t>Struttura</w:t>
      </w:r>
      <w:r w:rsidRPr="00A751F8">
        <w:t>:</w:t>
      </w:r>
    </w:p>
    <w:p w:rsidR="00900C91" w:rsidRPr="00A751F8" w:rsidRDefault="00900C91" w:rsidP="00A751F8">
      <w:pPr>
        <w:spacing w:after="0" w:line="240" w:lineRule="auto"/>
        <w:jc w:val="center"/>
      </w:pPr>
    </w:p>
    <w:p w:rsidR="00E9199F" w:rsidRPr="00A751F8" w:rsidRDefault="00A751F8" w:rsidP="00A751F8">
      <w:pPr>
        <w:spacing w:after="0" w:line="240" w:lineRule="auto"/>
        <w:jc w:val="center"/>
        <w:rPr>
          <w:u w:val="single"/>
        </w:rPr>
      </w:pPr>
      <w:r w:rsidRPr="00A751F8">
        <w:rPr>
          <w:rFonts w:cs="Arial"/>
          <w:noProof/>
          <w:lang w:eastAsia="it-IT"/>
        </w:rPr>
        <w:drawing>
          <wp:inline distT="0" distB="0" distL="0" distR="0">
            <wp:extent cx="943476" cy="600055"/>
            <wp:effectExtent l="19050" t="0" r="9024" b="0"/>
            <wp:docPr id="2" name="Immagine 1" descr="P:\_dp\804\XML-IN\Images\cf1210-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1210-b.tif"/>
                    <pic:cNvPicPr>
                      <a:picLocks noChangeAspect="1" noChangeArrowheads="1"/>
                    </pic:cNvPicPr>
                  </pic:nvPicPr>
                  <pic:blipFill>
                    <a:blip r:embed="rId7" cstate="print"/>
                    <a:srcRect/>
                    <a:stretch>
                      <a:fillRect/>
                    </a:stretch>
                  </pic:blipFill>
                  <pic:spPr bwMode="auto">
                    <a:xfrm>
                      <a:off x="0" y="0"/>
                      <a:ext cx="951330" cy="605050"/>
                    </a:xfrm>
                    <a:prstGeom prst="rect">
                      <a:avLst/>
                    </a:prstGeom>
                    <a:noFill/>
                    <a:ln w="9525">
                      <a:noFill/>
                      <a:miter lim="800000"/>
                      <a:headEnd/>
                      <a:tailEnd/>
                    </a:ln>
                  </pic:spPr>
                </pic:pic>
              </a:graphicData>
            </a:graphic>
          </wp:inline>
        </w:drawing>
      </w:r>
    </w:p>
    <w:p w:rsidR="00E9199F" w:rsidRPr="00A751F8" w:rsidRDefault="00E9199F" w:rsidP="00A751F8">
      <w:pPr>
        <w:spacing w:after="0" w:line="240" w:lineRule="auto"/>
        <w:jc w:val="both"/>
        <w:rPr>
          <w:vertAlign w:val="subscript"/>
          <w:lang w:val="pt-PT"/>
        </w:rPr>
      </w:pPr>
      <w:r w:rsidRPr="00A751F8">
        <w:rPr>
          <w:u w:val="single"/>
        </w:rPr>
        <w:lastRenderedPageBreak/>
        <w:t>Formula molecolare</w:t>
      </w:r>
      <w:r w:rsidRPr="00A751F8">
        <w:t>:</w:t>
      </w:r>
      <w:r w:rsidRPr="00A751F8">
        <w:rPr>
          <w:rStyle w:val="s1"/>
          <w:rFonts w:asciiTheme="minorHAnsi" w:hAnsiTheme="minorHAnsi"/>
        </w:rPr>
        <w:t xml:space="preserve"> </w:t>
      </w:r>
      <w:r w:rsidR="00A751F8" w:rsidRPr="00A751F8">
        <w:rPr>
          <w:rStyle w:val="s1"/>
          <w:rFonts w:asciiTheme="minorHAnsi" w:hAnsiTheme="minorHAnsi"/>
        </w:rPr>
        <w:t>C</w:t>
      </w:r>
      <w:r w:rsidR="00A751F8" w:rsidRPr="00A751F8">
        <w:rPr>
          <w:rStyle w:val="s1"/>
          <w:rFonts w:asciiTheme="minorHAnsi" w:hAnsiTheme="minorHAnsi"/>
          <w:vertAlign w:val="subscript"/>
        </w:rPr>
        <w:t>22</w:t>
      </w:r>
      <w:r w:rsidR="00A751F8" w:rsidRPr="00A751F8">
        <w:rPr>
          <w:rStyle w:val="s1"/>
          <w:rFonts w:asciiTheme="minorHAnsi" w:hAnsiTheme="minorHAnsi"/>
        </w:rPr>
        <w:t>H</w:t>
      </w:r>
      <w:r w:rsidR="00A751F8" w:rsidRPr="00A751F8">
        <w:rPr>
          <w:rStyle w:val="s1"/>
          <w:rFonts w:asciiTheme="minorHAnsi" w:hAnsiTheme="minorHAnsi"/>
          <w:vertAlign w:val="subscript"/>
        </w:rPr>
        <w:t>28</w:t>
      </w:r>
      <w:r w:rsidR="00A751F8" w:rsidRPr="00A751F8">
        <w:rPr>
          <w:rStyle w:val="s1"/>
          <w:rFonts w:asciiTheme="minorHAnsi" w:hAnsiTheme="minorHAnsi"/>
        </w:rPr>
        <w:t>N</w:t>
      </w:r>
      <w:r w:rsidR="00A751F8" w:rsidRPr="00A751F8">
        <w:rPr>
          <w:rStyle w:val="s1"/>
          <w:rFonts w:asciiTheme="minorHAnsi" w:hAnsiTheme="minorHAnsi"/>
          <w:vertAlign w:val="subscript"/>
        </w:rPr>
        <w:t>2</w:t>
      </w:r>
      <w:r w:rsidR="00A751F8" w:rsidRPr="00A751F8">
        <w:rPr>
          <w:rStyle w:val="s1"/>
          <w:rFonts w:asciiTheme="minorHAnsi" w:hAnsiTheme="minorHAnsi"/>
        </w:rPr>
        <w:t>O</w:t>
      </w:r>
    </w:p>
    <w:p w:rsidR="00900C91" w:rsidRPr="00A751F8" w:rsidRDefault="00900C91" w:rsidP="00A751F8">
      <w:pPr>
        <w:spacing w:after="0" w:line="240" w:lineRule="auto"/>
        <w:jc w:val="both"/>
      </w:pPr>
      <w:r w:rsidRPr="00A751F8">
        <w:rPr>
          <w:u w:val="single"/>
        </w:rPr>
        <w:t>Peso molecolare</w:t>
      </w:r>
      <w:r w:rsidRPr="00A751F8">
        <w:t>:</w:t>
      </w:r>
      <w:r w:rsidRPr="00A751F8">
        <w:rPr>
          <w:rFonts w:cs="Arial"/>
          <w:color w:val="252525"/>
          <w:shd w:val="clear" w:color="auto" w:fill="F9F9F9"/>
        </w:rPr>
        <w:t xml:space="preserve"> </w:t>
      </w:r>
      <w:r w:rsidR="00A751F8" w:rsidRPr="00A751F8">
        <w:rPr>
          <w:rStyle w:val="s1"/>
          <w:rFonts w:asciiTheme="minorHAnsi" w:hAnsiTheme="minorHAnsi"/>
        </w:rPr>
        <w:t xml:space="preserve">336.5 </w:t>
      </w:r>
      <w:r w:rsidRPr="00A751F8">
        <w:rPr>
          <w:rStyle w:val="s1"/>
          <w:rFonts w:asciiTheme="minorHAnsi" w:hAnsiTheme="minorHAnsi"/>
        </w:rPr>
        <w:t>g/mol</w:t>
      </w:r>
    </w:p>
    <w:p w:rsidR="00A751F8" w:rsidRPr="00A751F8" w:rsidRDefault="00900C91" w:rsidP="00A751F8">
      <w:pPr>
        <w:spacing w:after="0" w:line="240" w:lineRule="auto"/>
        <w:jc w:val="both"/>
        <w:rPr>
          <w:rFonts w:eastAsia="Times New Roman" w:cs="Times New Roman"/>
          <w:lang w:eastAsia="it-IT"/>
        </w:rPr>
      </w:pPr>
      <w:r w:rsidRPr="00A751F8">
        <w:rPr>
          <w:u w:val="single"/>
        </w:rPr>
        <w:t>CAS</w:t>
      </w:r>
      <w:r w:rsidRPr="00A751F8">
        <w:t xml:space="preserve">: </w:t>
      </w:r>
      <w:r w:rsidR="00A751F8" w:rsidRPr="00A751F8">
        <w:rPr>
          <w:rFonts w:eastAsia="Times New Roman" w:cs="Arial"/>
          <w:lang w:eastAsia="it-IT"/>
        </w:rPr>
        <w:t>[437-38-7]</w:t>
      </w:r>
    </w:p>
    <w:p w:rsidR="00900C91" w:rsidRPr="00A751F8" w:rsidRDefault="00900C91" w:rsidP="00A751F8">
      <w:pPr>
        <w:spacing w:after="0" w:line="240" w:lineRule="auto"/>
        <w:jc w:val="both"/>
      </w:pPr>
      <w:r w:rsidRPr="00A751F8">
        <w:rPr>
          <w:u w:val="single"/>
        </w:rPr>
        <w:t>Aspetto</w:t>
      </w:r>
      <w:r w:rsidRPr="00A751F8">
        <w:t>: polvere bianca o quasi bianca</w:t>
      </w:r>
      <w:r w:rsidR="00A751F8" w:rsidRPr="00A751F8">
        <w:t>.</w:t>
      </w:r>
    </w:p>
    <w:p w:rsidR="00900C91" w:rsidRPr="00A751F8" w:rsidRDefault="00900C91" w:rsidP="00A751F8">
      <w:pPr>
        <w:spacing w:after="0" w:line="240" w:lineRule="auto"/>
        <w:jc w:val="both"/>
        <w:rPr>
          <w:rStyle w:val="s1"/>
          <w:rFonts w:asciiTheme="minorHAnsi" w:hAnsiTheme="minorHAnsi"/>
        </w:rPr>
      </w:pPr>
      <w:r w:rsidRPr="00A751F8">
        <w:rPr>
          <w:u w:val="single"/>
        </w:rPr>
        <w:t>Solubilità</w:t>
      </w:r>
      <w:r w:rsidR="00972CE3" w:rsidRPr="00A751F8">
        <w:t xml:space="preserve">: </w:t>
      </w:r>
      <w:r w:rsidR="00E9199F" w:rsidRPr="00A751F8">
        <w:t xml:space="preserve">praticamente </w:t>
      </w:r>
      <w:r w:rsidR="00FD0C63" w:rsidRPr="00A751F8">
        <w:t>insolubile in acqua</w:t>
      </w:r>
      <w:r w:rsidR="00FD0C63" w:rsidRPr="00A751F8">
        <w:rPr>
          <w:rStyle w:val="s1"/>
          <w:rFonts w:asciiTheme="minorHAnsi" w:hAnsiTheme="minorHAnsi"/>
        </w:rPr>
        <w:t xml:space="preserve">, </w:t>
      </w:r>
      <w:r w:rsidR="00E9199F" w:rsidRPr="00A751F8">
        <w:rPr>
          <w:rStyle w:val="s1"/>
          <w:rFonts w:asciiTheme="minorHAnsi" w:hAnsiTheme="minorHAnsi"/>
        </w:rPr>
        <w:t>facilmente solubile in etanolo 96%</w:t>
      </w:r>
      <w:r w:rsidR="00317178">
        <w:rPr>
          <w:rStyle w:val="s1"/>
          <w:rFonts w:asciiTheme="minorHAnsi" w:hAnsiTheme="minorHAnsi"/>
        </w:rPr>
        <w:t xml:space="preserve"> </w:t>
      </w:r>
      <w:r w:rsidR="00A751F8" w:rsidRPr="00A751F8">
        <w:rPr>
          <w:rStyle w:val="s1"/>
          <w:rFonts w:asciiTheme="minorHAnsi" w:hAnsiTheme="minorHAnsi"/>
        </w:rPr>
        <w:t>e in metanolo</w:t>
      </w:r>
      <w:r w:rsidR="00E9199F" w:rsidRPr="00A751F8">
        <w:rPr>
          <w:rStyle w:val="s1"/>
          <w:rFonts w:asciiTheme="minorHAnsi" w:hAnsiTheme="minorHAnsi"/>
        </w:rPr>
        <w:t>.</w:t>
      </w:r>
    </w:p>
    <w:p w:rsidR="00900C91" w:rsidRPr="00A751F8" w:rsidRDefault="00900C91" w:rsidP="00A751F8">
      <w:pPr>
        <w:spacing w:after="0" w:line="240" w:lineRule="auto"/>
        <w:jc w:val="both"/>
      </w:pPr>
      <w:r w:rsidRPr="00A751F8">
        <w:rPr>
          <w:u w:val="single"/>
        </w:rPr>
        <w:t>Polimorfismo</w:t>
      </w:r>
      <w:r w:rsidRPr="00A751F8">
        <w:t xml:space="preserve">: </w:t>
      </w:r>
      <w:proofErr w:type="spellStart"/>
      <w:r w:rsidR="006951D9" w:rsidRPr="00A751F8">
        <w:rPr>
          <w:lang w:eastAsia="it-IT"/>
        </w:rPr>
        <w:t>fentanil</w:t>
      </w:r>
      <w:proofErr w:type="spellEnd"/>
      <w:r w:rsidR="00835A03" w:rsidRPr="00A751F8">
        <w:rPr>
          <w:lang w:eastAsia="it-IT"/>
        </w:rPr>
        <w:t xml:space="preserve"> </w:t>
      </w:r>
      <w:r w:rsidRPr="00A751F8">
        <w:rPr>
          <w:lang w:eastAsia="it-IT"/>
        </w:rPr>
        <w:t>mostra polimorfismo</w:t>
      </w:r>
      <w:r w:rsidRPr="00A751F8">
        <w:t>.</w:t>
      </w:r>
    </w:p>
    <w:p w:rsidR="00E9199F" w:rsidRPr="00A751F8" w:rsidRDefault="00E9199F" w:rsidP="00A751F8">
      <w:pPr>
        <w:spacing w:after="0" w:line="240" w:lineRule="auto"/>
        <w:jc w:val="both"/>
      </w:pPr>
    </w:p>
    <w:p w:rsidR="00E9199F" w:rsidRPr="00A751F8" w:rsidRDefault="007461B9" w:rsidP="00A751F8">
      <w:pPr>
        <w:spacing w:after="0" w:line="240" w:lineRule="auto"/>
        <w:jc w:val="both"/>
      </w:pPr>
      <w:r w:rsidRPr="00A751F8">
        <w:t xml:space="preserve">Il principio attivo </w:t>
      </w:r>
      <w:proofErr w:type="spellStart"/>
      <w:r w:rsidR="006951D9" w:rsidRPr="00A751F8">
        <w:t>fentanil</w:t>
      </w:r>
      <w:proofErr w:type="spellEnd"/>
      <w:r w:rsidR="00512512" w:rsidRPr="00A751F8">
        <w:t xml:space="preserve"> </w:t>
      </w:r>
      <w:r w:rsidRPr="00A751F8">
        <w:t xml:space="preserve">è </w:t>
      </w:r>
      <w:r w:rsidR="009A33E4" w:rsidRPr="00A751F8">
        <w:t>presente</w:t>
      </w:r>
      <w:r w:rsidRPr="00A751F8">
        <w:t xml:space="preserve"> in Farmacopea Europea; </w:t>
      </w:r>
      <w:r w:rsidR="00A751F8">
        <w:t>il</w:t>
      </w:r>
      <w:r w:rsidR="00E9199F" w:rsidRPr="00A751F8">
        <w:t xml:space="preserve"> produttor</w:t>
      </w:r>
      <w:r w:rsidR="00A751F8">
        <w:t>e</w:t>
      </w:r>
      <w:r w:rsidR="00E9199F" w:rsidRPr="00A751F8">
        <w:t xml:space="preserve"> di principio attivo </w:t>
      </w:r>
      <w:r w:rsidR="009A33E4" w:rsidRPr="00A751F8">
        <w:t>ha</w:t>
      </w:r>
      <w:r w:rsidRPr="00A751F8">
        <w:t xml:space="preserve"> presentato un ASMF</w:t>
      </w:r>
      <w:r w:rsidR="00E9199F" w:rsidRPr="00A751F8">
        <w:t>.</w:t>
      </w:r>
    </w:p>
    <w:p w:rsidR="007461B9" w:rsidRPr="00A751F8" w:rsidRDefault="00A751F8" w:rsidP="00A751F8">
      <w:pPr>
        <w:spacing w:after="0" w:line="240" w:lineRule="auto"/>
        <w:jc w:val="both"/>
      </w:pPr>
      <w:r>
        <w:t>L</w:t>
      </w:r>
      <w:r w:rsidR="007461B9" w:rsidRPr="00A751F8">
        <w:t>a sintesi del principio attivo è stata adeguatamente descritta a partire da idonei materiali di partenza; sono utilizzati appropriati controlli di processo e degli intermedi di sintesi.</w:t>
      </w:r>
    </w:p>
    <w:p w:rsidR="007461B9" w:rsidRPr="00A751F8" w:rsidRDefault="007461B9" w:rsidP="00A751F8">
      <w:pPr>
        <w:spacing w:after="0" w:line="240" w:lineRule="auto"/>
        <w:jc w:val="both"/>
      </w:pPr>
      <w:r w:rsidRPr="00A751F8">
        <w:t>I materiali e i reagenti utilizzati nella sintesi sono di qualità adeguata.</w:t>
      </w:r>
    </w:p>
    <w:p w:rsidR="007461B9" w:rsidRPr="00A751F8" w:rsidRDefault="007461B9" w:rsidP="00A751F8">
      <w:pPr>
        <w:spacing w:after="0" w:line="240" w:lineRule="auto"/>
        <w:jc w:val="both"/>
      </w:pPr>
      <w:r w:rsidRPr="00A751F8">
        <w:t>I materiali, gli intermedi, i reagenti utilizzati nella sintesi non sono di origine umana, biologica o geneticamente modificata.</w:t>
      </w:r>
    </w:p>
    <w:p w:rsidR="007461B9" w:rsidRPr="00A751F8" w:rsidRDefault="007461B9" w:rsidP="00A751F8">
      <w:pPr>
        <w:spacing w:after="0" w:line="240" w:lineRule="auto"/>
        <w:jc w:val="both"/>
      </w:pPr>
      <w:r w:rsidRPr="00A751F8">
        <w:t>Le specifiche del principio attivo sono appropriate e controllati con metodi analitici adeguatamente convalidati. Sono stati forniti certificati analitici che confermano la qualità del principio attivo.</w:t>
      </w:r>
    </w:p>
    <w:p w:rsidR="00E9199F" w:rsidRPr="00A751F8" w:rsidRDefault="00972CE3" w:rsidP="00A751F8">
      <w:pPr>
        <w:spacing w:after="0" w:line="240" w:lineRule="auto"/>
        <w:jc w:val="both"/>
      </w:pPr>
      <w:r w:rsidRPr="00A751F8">
        <w:t xml:space="preserve">Il principio attivo è confezionato in un adeguato contenitore, per il quale sono stati forniti specifiche e certificati analitici. Il confezionamento </w:t>
      </w:r>
      <w:r w:rsidR="00E9199F" w:rsidRPr="00A751F8">
        <w:t>consiste in</w:t>
      </w:r>
      <w:r w:rsidR="00317178" w:rsidRPr="00A751F8">
        <w:t xml:space="preserve"> una </w:t>
      </w:r>
      <w:r w:rsidR="00317178">
        <w:t xml:space="preserve">doppia </w:t>
      </w:r>
      <w:r w:rsidR="00317178" w:rsidRPr="00A751F8">
        <w:t xml:space="preserve">sacca in polietilene </w:t>
      </w:r>
      <w:r w:rsidR="00317178">
        <w:t xml:space="preserve">inserita all’interno di un contenitore in </w:t>
      </w:r>
      <w:r w:rsidR="00317178" w:rsidRPr="00966088">
        <w:t>polietilene ad alta densità</w:t>
      </w:r>
      <w:r w:rsidR="00E9199F" w:rsidRPr="00A751F8">
        <w:t xml:space="preserve"> </w:t>
      </w:r>
      <w:r w:rsidR="00A751F8">
        <w:t>oppure in un contenitore di vetro ambrato di tipo III</w:t>
      </w:r>
      <w:r w:rsidR="00E9199F" w:rsidRPr="00A751F8">
        <w:t>.</w:t>
      </w:r>
    </w:p>
    <w:p w:rsidR="007461B9" w:rsidRPr="006B2954" w:rsidRDefault="00972CE3" w:rsidP="006B2954">
      <w:pPr>
        <w:spacing w:after="0" w:line="240" w:lineRule="auto"/>
        <w:jc w:val="both"/>
        <w:rPr>
          <w:szCs w:val="24"/>
        </w:rPr>
      </w:pPr>
      <w:r w:rsidRPr="00A751F8">
        <w:t>Sono stati forniti adeguati studi di stabilità per il</w:t>
      </w:r>
      <w:r w:rsidR="00A751F8">
        <w:t xml:space="preserve"> principio attivo conservato nei</w:t>
      </w:r>
      <w:r w:rsidRPr="00A751F8">
        <w:t xml:space="preserve"> confezionament</w:t>
      </w:r>
      <w:r w:rsidR="00A751F8">
        <w:t>i</w:t>
      </w:r>
      <w:r w:rsidRPr="00A751F8">
        <w:t xml:space="preserve"> propost</w:t>
      </w:r>
      <w:r w:rsidR="00A751F8">
        <w:t>i</w:t>
      </w:r>
      <w:r w:rsidRPr="00A751F8">
        <w:t xml:space="preserve"> </w:t>
      </w:r>
      <w:r w:rsidRPr="006B2954">
        <w:rPr>
          <w:szCs w:val="24"/>
        </w:rPr>
        <w:t xml:space="preserve">per il commercio. Sulla base di questi dati, è stato approvato un periodo di </w:t>
      </w:r>
      <w:r w:rsidR="00A751F8" w:rsidRPr="006B2954">
        <w:rPr>
          <w:szCs w:val="24"/>
        </w:rPr>
        <w:t>validità di 24</w:t>
      </w:r>
      <w:r w:rsidRPr="006B2954">
        <w:rPr>
          <w:szCs w:val="24"/>
        </w:rPr>
        <w:t xml:space="preserve"> mesi</w:t>
      </w:r>
      <w:r w:rsidR="00D2154A" w:rsidRPr="006B2954">
        <w:rPr>
          <w:szCs w:val="24"/>
        </w:rPr>
        <w:t>.</w:t>
      </w:r>
    </w:p>
    <w:p w:rsidR="00D2154A" w:rsidRPr="006B2954" w:rsidRDefault="00D2154A" w:rsidP="006B2954">
      <w:pPr>
        <w:spacing w:after="0" w:line="240" w:lineRule="auto"/>
        <w:jc w:val="both"/>
        <w:rPr>
          <w:szCs w:val="24"/>
          <w:highlight w:val="yellow"/>
        </w:rPr>
      </w:pPr>
    </w:p>
    <w:p w:rsidR="00354339" w:rsidRPr="006B2954" w:rsidRDefault="00354339" w:rsidP="006B2954">
      <w:pPr>
        <w:spacing w:after="0" w:line="240" w:lineRule="auto"/>
        <w:jc w:val="both"/>
        <w:rPr>
          <w:highlight w:val="yellow"/>
        </w:rPr>
      </w:pPr>
    </w:p>
    <w:p w:rsidR="00900C91" w:rsidRPr="006B2954" w:rsidRDefault="00900C91" w:rsidP="006B2954">
      <w:pPr>
        <w:spacing w:after="0" w:line="240" w:lineRule="auto"/>
        <w:jc w:val="both"/>
        <w:rPr>
          <w:b/>
        </w:rPr>
      </w:pPr>
      <w:r w:rsidRPr="006B2954">
        <w:rPr>
          <w:b/>
        </w:rPr>
        <w:t>II.2 PRODOTTO FINITO</w:t>
      </w:r>
    </w:p>
    <w:p w:rsidR="00900C91" w:rsidRPr="006B2954" w:rsidRDefault="00900C91" w:rsidP="006B2954">
      <w:pPr>
        <w:spacing w:after="0" w:line="240" w:lineRule="auto"/>
        <w:jc w:val="both"/>
        <w:rPr>
          <w:b/>
        </w:rPr>
      </w:pPr>
      <w:r w:rsidRPr="006B2954">
        <w:rPr>
          <w:b/>
        </w:rPr>
        <w:t>Descrizione e composizione</w:t>
      </w:r>
    </w:p>
    <w:p w:rsidR="006B2954" w:rsidRPr="006B2954" w:rsidRDefault="006951D9" w:rsidP="006B2954">
      <w:pPr>
        <w:shd w:val="clear" w:color="auto" w:fill="FFFFFF"/>
        <w:tabs>
          <w:tab w:val="left" w:pos="893"/>
        </w:tabs>
        <w:spacing w:after="0" w:line="240" w:lineRule="auto"/>
        <w:jc w:val="both"/>
        <w:rPr>
          <w:rFonts w:ascii="Calibri" w:hAnsi="Calibri"/>
        </w:rPr>
      </w:pPr>
      <w:proofErr w:type="spellStart"/>
      <w:r w:rsidRPr="006B2954">
        <w:rPr>
          <w:rFonts w:eastAsia="Calibri" w:cs="Calibri"/>
          <w:color w:val="000000"/>
          <w:lang w:eastAsia="it-IT"/>
        </w:rPr>
        <w:t>Fentanyl</w:t>
      </w:r>
      <w:proofErr w:type="spellEnd"/>
      <w:r w:rsidRPr="006B2954">
        <w:rPr>
          <w:rFonts w:eastAsia="Calibri" w:cs="Calibri"/>
          <w:color w:val="000000"/>
          <w:lang w:eastAsia="it-IT"/>
        </w:rPr>
        <w:t xml:space="preserve"> </w:t>
      </w:r>
      <w:proofErr w:type="spellStart"/>
      <w:r w:rsidRPr="006B2954">
        <w:rPr>
          <w:rFonts w:eastAsia="Calibri" w:cs="Calibri"/>
          <w:color w:val="000000"/>
          <w:lang w:eastAsia="it-IT"/>
        </w:rPr>
        <w:t>Noventia</w:t>
      </w:r>
      <w:proofErr w:type="spellEnd"/>
      <w:r w:rsidRPr="006B2954">
        <w:rPr>
          <w:rFonts w:eastAsia="Calibri" w:cs="Calibri"/>
          <w:color w:val="000000"/>
          <w:lang w:eastAsia="it-IT"/>
        </w:rPr>
        <w:t xml:space="preserve"> </w:t>
      </w:r>
      <w:proofErr w:type="spellStart"/>
      <w:r w:rsidRPr="006B2954">
        <w:rPr>
          <w:rFonts w:eastAsia="Calibri" w:cs="Calibri"/>
          <w:color w:val="000000"/>
          <w:lang w:eastAsia="it-IT"/>
        </w:rPr>
        <w:t>Pharma</w:t>
      </w:r>
      <w:proofErr w:type="spellEnd"/>
      <w:r w:rsidR="00900C91" w:rsidRPr="006B2954">
        <w:rPr>
          <w:rFonts w:eastAsia="Calibri" w:cs="Calibri"/>
          <w:color w:val="000000"/>
          <w:lang w:eastAsia="it-IT"/>
        </w:rPr>
        <w:t xml:space="preserve"> è disponibile in </w:t>
      </w:r>
      <w:r w:rsidR="00A751F8" w:rsidRPr="006B2954">
        <w:rPr>
          <w:color w:val="000000"/>
        </w:rPr>
        <w:t xml:space="preserve">cerotti </w:t>
      </w:r>
      <w:proofErr w:type="spellStart"/>
      <w:r w:rsidR="00A751F8" w:rsidRPr="006B2954">
        <w:rPr>
          <w:color w:val="000000"/>
        </w:rPr>
        <w:t>transdermici</w:t>
      </w:r>
      <w:proofErr w:type="spellEnd"/>
      <w:r w:rsidR="00D2154A" w:rsidRPr="006B2954">
        <w:rPr>
          <w:color w:val="000000"/>
        </w:rPr>
        <w:t xml:space="preserve"> </w:t>
      </w:r>
      <w:r w:rsidR="006B2954" w:rsidRPr="006B2954">
        <w:rPr>
          <w:rFonts w:eastAsia="Calibri" w:cs="Calibri"/>
          <w:color w:val="000000"/>
          <w:lang w:eastAsia="it-IT"/>
        </w:rPr>
        <w:t xml:space="preserve">che rilasciano 12 microgrammi/ora, 25 microgrammi/ora, 50 microgrammi/ora, 75 microgrammi/ora, 100 microgrammi/ora </w:t>
      </w:r>
      <w:r w:rsidR="006B2954" w:rsidRPr="006B2954">
        <w:rPr>
          <w:rFonts w:cs="Helvetica"/>
        </w:rPr>
        <w:t>di principio attivo</w:t>
      </w:r>
      <w:r w:rsidR="006B2954" w:rsidRPr="006B2954">
        <w:rPr>
          <w:rFonts w:ascii="Calibri" w:hAnsi="Calibri"/>
        </w:rPr>
        <w:t>.</w:t>
      </w:r>
    </w:p>
    <w:p w:rsidR="00A751F8" w:rsidRPr="006B2954" w:rsidRDefault="006B2954" w:rsidP="006B2954">
      <w:pPr>
        <w:shd w:val="clear" w:color="auto" w:fill="FFFFFF"/>
        <w:tabs>
          <w:tab w:val="left" w:pos="893"/>
        </w:tabs>
        <w:spacing w:after="0" w:line="240" w:lineRule="auto"/>
        <w:jc w:val="both"/>
        <w:rPr>
          <w:rFonts w:ascii="Calibri" w:hAnsi="Calibri"/>
        </w:rPr>
      </w:pPr>
      <w:r w:rsidRPr="006B2954">
        <w:rPr>
          <w:rFonts w:ascii="Calibri" w:hAnsi="Calibri"/>
        </w:rPr>
        <w:t xml:space="preserve">Il </w:t>
      </w:r>
      <w:r w:rsidR="00A751F8" w:rsidRPr="006B2954">
        <w:rPr>
          <w:rFonts w:ascii="Calibri" w:hAnsi="Calibri"/>
        </w:rPr>
        <w:t xml:space="preserve">cerotto </w:t>
      </w:r>
      <w:proofErr w:type="spellStart"/>
      <w:r w:rsidR="00A751F8" w:rsidRPr="006B2954">
        <w:rPr>
          <w:rFonts w:ascii="Calibri" w:hAnsi="Calibri"/>
        </w:rPr>
        <w:t>transdermico</w:t>
      </w:r>
      <w:proofErr w:type="spellEnd"/>
      <w:r w:rsidR="00A751F8" w:rsidRPr="006B2954">
        <w:rPr>
          <w:rFonts w:ascii="Calibri" w:hAnsi="Calibri"/>
        </w:rPr>
        <w:t xml:space="preserve"> consiste in un supporto impermeabile colorato in </w:t>
      </w:r>
      <w:r w:rsidR="00317178">
        <w:rPr>
          <w:rFonts w:ascii="Calibri" w:hAnsi="Calibri"/>
        </w:rPr>
        <w:t>marrone chiaro</w:t>
      </w:r>
      <w:r w:rsidR="00A751F8" w:rsidRPr="006B2954">
        <w:rPr>
          <w:rFonts w:ascii="Calibri" w:hAnsi="Calibri"/>
        </w:rPr>
        <w:t>, una riserva di farmaco, una membrana che controlla la velocità di rilascio ed un adesivo cutaneo, con film di protezione che copre l’adesivo fino a quando non viene rimosso prima dell’applicazione.</w:t>
      </w:r>
    </w:p>
    <w:p w:rsidR="00A751F8" w:rsidRPr="006B2954" w:rsidRDefault="00A751F8" w:rsidP="006B2954">
      <w:pPr>
        <w:spacing w:after="0" w:line="240" w:lineRule="auto"/>
        <w:jc w:val="both"/>
        <w:rPr>
          <w:rFonts w:ascii="Calibri" w:hAnsi="Calibri"/>
        </w:rPr>
      </w:pPr>
      <w:r w:rsidRPr="006B2954">
        <w:rPr>
          <w:rFonts w:ascii="Calibri" w:hAnsi="Calibri"/>
        </w:rPr>
        <w:t>I cerotti portano impresso:</w:t>
      </w:r>
    </w:p>
    <w:p w:rsidR="00A751F8" w:rsidRPr="006B2954" w:rsidRDefault="00A751F8" w:rsidP="006B2954">
      <w:pPr>
        <w:spacing w:after="0" w:line="240" w:lineRule="auto"/>
        <w:jc w:val="both"/>
        <w:rPr>
          <w:rFonts w:ascii="Calibri" w:hAnsi="Calibri"/>
        </w:rPr>
      </w:pPr>
      <w:r w:rsidRPr="006B2954">
        <w:rPr>
          <w:rFonts w:ascii="Calibri" w:hAnsi="Calibri"/>
        </w:rPr>
        <w:t>“</w:t>
      </w:r>
      <w:proofErr w:type="spellStart"/>
      <w:r w:rsidRPr="006B2954">
        <w:rPr>
          <w:rFonts w:ascii="Calibri" w:hAnsi="Calibri"/>
        </w:rPr>
        <w:t>Fentanyl</w:t>
      </w:r>
      <w:proofErr w:type="spellEnd"/>
      <w:r w:rsidRPr="006B2954">
        <w:rPr>
          <w:rFonts w:ascii="Calibri" w:hAnsi="Calibri"/>
        </w:rPr>
        <w:t xml:space="preserve"> 12 µg/h” in inchiostro rosso</w:t>
      </w:r>
    </w:p>
    <w:p w:rsidR="00A751F8" w:rsidRPr="006B2954" w:rsidRDefault="00A751F8" w:rsidP="006B2954">
      <w:pPr>
        <w:spacing w:after="0" w:line="240" w:lineRule="auto"/>
        <w:jc w:val="both"/>
        <w:rPr>
          <w:rFonts w:ascii="Calibri" w:hAnsi="Calibri"/>
        </w:rPr>
      </w:pPr>
      <w:r w:rsidRPr="006B2954">
        <w:rPr>
          <w:rFonts w:ascii="Calibri" w:hAnsi="Calibri"/>
        </w:rPr>
        <w:t>“</w:t>
      </w:r>
      <w:proofErr w:type="spellStart"/>
      <w:r w:rsidRPr="006B2954">
        <w:rPr>
          <w:rFonts w:ascii="Calibri" w:hAnsi="Calibri"/>
        </w:rPr>
        <w:t>Fentanyl</w:t>
      </w:r>
      <w:proofErr w:type="spellEnd"/>
      <w:r w:rsidRPr="006B2954">
        <w:rPr>
          <w:rFonts w:ascii="Calibri" w:hAnsi="Calibri"/>
        </w:rPr>
        <w:t xml:space="preserve"> 25 µg/h” in inchiostro rosso</w:t>
      </w:r>
    </w:p>
    <w:p w:rsidR="00A751F8" w:rsidRPr="006B2954" w:rsidRDefault="00A751F8" w:rsidP="006B2954">
      <w:pPr>
        <w:spacing w:after="0" w:line="240" w:lineRule="auto"/>
        <w:jc w:val="both"/>
        <w:rPr>
          <w:rFonts w:ascii="Calibri" w:hAnsi="Calibri"/>
        </w:rPr>
      </w:pPr>
      <w:r w:rsidRPr="006B2954">
        <w:rPr>
          <w:rFonts w:ascii="Calibri" w:hAnsi="Calibri"/>
        </w:rPr>
        <w:t>“</w:t>
      </w:r>
      <w:proofErr w:type="spellStart"/>
      <w:r w:rsidRPr="006B2954">
        <w:rPr>
          <w:rFonts w:ascii="Calibri" w:hAnsi="Calibri"/>
        </w:rPr>
        <w:t>Fentanyl</w:t>
      </w:r>
      <w:proofErr w:type="spellEnd"/>
      <w:r w:rsidRPr="006B2954">
        <w:rPr>
          <w:rFonts w:ascii="Calibri" w:hAnsi="Calibri"/>
        </w:rPr>
        <w:t xml:space="preserve"> 50 µg/h” in inchiostro rosso o verde</w:t>
      </w:r>
    </w:p>
    <w:p w:rsidR="00A751F8" w:rsidRPr="006B2954" w:rsidRDefault="00A751F8" w:rsidP="006B2954">
      <w:pPr>
        <w:spacing w:after="0" w:line="240" w:lineRule="auto"/>
        <w:jc w:val="both"/>
        <w:rPr>
          <w:rFonts w:ascii="Calibri" w:hAnsi="Calibri"/>
        </w:rPr>
      </w:pPr>
      <w:bookmarkStart w:id="2" w:name="Composition"/>
      <w:bookmarkEnd w:id="2"/>
      <w:r w:rsidRPr="006B2954">
        <w:rPr>
          <w:rFonts w:ascii="Calibri" w:hAnsi="Calibri"/>
        </w:rPr>
        <w:t>“</w:t>
      </w:r>
      <w:proofErr w:type="spellStart"/>
      <w:r w:rsidRPr="006B2954">
        <w:rPr>
          <w:rFonts w:ascii="Calibri" w:hAnsi="Calibri"/>
        </w:rPr>
        <w:t>Fentanyl</w:t>
      </w:r>
      <w:proofErr w:type="spellEnd"/>
      <w:r w:rsidRPr="006B2954">
        <w:rPr>
          <w:rFonts w:ascii="Calibri" w:hAnsi="Calibri"/>
        </w:rPr>
        <w:t xml:space="preserve"> 75 µg/h” in inchiostro rosso o blu</w:t>
      </w:r>
    </w:p>
    <w:p w:rsidR="00A751F8" w:rsidRPr="006B2954" w:rsidRDefault="00A751F8" w:rsidP="006B2954">
      <w:pPr>
        <w:spacing w:after="0" w:line="240" w:lineRule="auto"/>
        <w:jc w:val="both"/>
        <w:rPr>
          <w:rFonts w:ascii="Calibri" w:hAnsi="Calibri"/>
        </w:rPr>
      </w:pPr>
      <w:r w:rsidRPr="006B2954">
        <w:rPr>
          <w:rFonts w:ascii="Calibri" w:hAnsi="Calibri"/>
        </w:rPr>
        <w:t>“</w:t>
      </w:r>
      <w:proofErr w:type="spellStart"/>
      <w:r w:rsidRPr="006B2954">
        <w:rPr>
          <w:rFonts w:ascii="Calibri" w:hAnsi="Calibri"/>
        </w:rPr>
        <w:t>Fentanyl</w:t>
      </w:r>
      <w:proofErr w:type="spellEnd"/>
      <w:r w:rsidRPr="006B2954">
        <w:rPr>
          <w:rFonts w:ascii="Calibri" w:hAnsi="Calibri"/>
        </w:rPr>
        <w:t xml:space="preserve"> 100 µg/h” in inchiostro rosso o grigio.</w:t>
      </w:r>
    </w:p>
    <w:p w:rsidR="004F01AD" w:rsidRPr="006B2954" w:rsidRDefault="00900C91" w:rsidP="006B2954">
      <w:pPr>
        <w:widowControl w:val="0"/>
        <w:spacing w:after="0" w:line="240" w:lineRule="auto"/>
        <w:jc w:val="both"/>
      </w:pPr>
      <w:r w:rsidRPr="006B2954">
        <w:t>Gli eccipienti sono</w:t>
      </w:r>
      <w:r w:rsidR="004F01AD" w:rsidRPr="006B2954">
        <w:t>:</w:t>
      </w:r>
    </w:p>
    <w:p w:rsidR="006B2954" w:rsidRPr="006B2954" w:rsidRDefault="006B2954" w:rsidP="006B2954">
      <w:pPr>
        <w:spacing w:after="0" w:line="240" w:lineRule="auto"/>
        <w:jc w:val="both"/>
        <w:rPr>
          <w:rFonts w:ascii="Calibri" w:hAnsi="Calibri"/>
          <w:i/>
          <w:u w:val="single"/>
        </w:rPr>
      </w:pPr>
      <w:r w:rsidRPr="006B2954">
        <w:rPr>
          <w:rFonts w:ascii="Calibri" w:hAnsi="Calibri"/>
          <w:i/>
          <w:u w:val="single"/>
        </w:rPr>
        <w:t xml:space="preserve">Strato esterno di rivestimento </w:t>
      </w:r>
    </w:p>
    <w:p w:rsidR="006B2954" w:rsidRPr="006B2954" w:rsidRDefault="006B2954" w:rsidP="006B2954">
      <w:pPr>
        <w:spacing w:after="0" w:line="240" w:lineRule="auto"/>
        <w:jc w:val="both"/>
        <w:rPr>
          <w:rFonts w:ascii="Calibri" w:hAnsi="Calibri"/>
        </w:rPr>
      </w:pPr>
      <w:r w:rsidRPr="006B2954">
        <w:rPr>
          <w:rFonts w:ascii="Calibri" w:hAnsi="Calibri"/>
        </w:rPr>
        <w:t>Film di polietilene tereftalato con rivestimento di rilascio in fluorocarbonio.</w:t>
      </w:r>
    </w:p>
    <w:p w:rsidR="006B2954" w:rsidRPr="006B2954" w:rsidRDefault="006B2954" w:rsidP="006B2954">
      <w:pPr>
        <w:spacing w:after="0" w:line="240" w:lineRule="auto"/>
        <w:jc w:val="both"/>
        <w:rPr>
          <w:rFonts w:ascii="Calibri" w:hAnsi="Calibri"/>
          <w:i/>
          <w:u w:val="single"/>
        </w:rPr>
      </w:pPr>
      <w:r w:rsidRPr="006B2954">
        <w:rPr>
          <w:rFonts w:ascii="Calibri" w:hAnsi="Calibri"/>
          <w:i/>
          <w:u w:val="single"/>
        </w:rPr>
        <w:t>Strato di supporto</w:t>
      </w:r>
    </w:p>
    <w:p w:rsidR="006B2954" w:rsidRPr="006B2954" w:rsidRDefault="006B2954" w:rsidP="006B2954">
      <w:pPr>
        <w:spacing w:after="0" w:line="240" w:lineRule="auto"/>
        <w:jc w:val="both"/>
        <w:rPr>
          <w:rFonts w:ascii="Calibri" w:hAnsi="Calibri"/>
        </w:rPr>
      </w:pPr>
      <w:r w:rsidRPr="006B2954">
        <w:rPr>
          <w:rFonts w:ascii="Calibri" w:hAnsi="Calibri"/>
        </w:rPr>
        <w:t>Film colorato di polietilene tereftalato/</w:t>
      </w:r>
      <w:proofErr w:type="spellStart"/>
      <w:r w:rsidRPr="006B2954">
        <w:rPr>
          <w:rFonts w:ascii="Calibri" w:hAnsi="Calibri"/>
        </w:rPr>
        <w:t>etilen-vinil-acetato</w:t>
      </w:r>
      <w:proofErr w:type="spellEnd"/>
      <w:r w:rsidRPr="006B2954">
        <w:rPr>
          <w:rFonts w:ascii="Calibri" w:hAnsi="Calibri"/>
        </w:rPr>
        <w:t xml:space="preserve"> copolimero.</w:t>
      </w:r>
    </w:p>
    <w:p w:rsidR="006B2954" w:rsidRPr="006B2954" w:rsidRDefault="006B2954" w:rsidP="006B2954">
      <w:pPr>
        <w:spacing w:after="0" w:line="240" w:lineRule="auto"/>
        <w:jc w:val="both"/>
        <w:rPr>
          <w:rFonts w:ascii="Calibri" w:hAnsi="Calibri"/>
          <w:i/>
          <w:u w:val="single"/>
        </w:rPr>
      </w:pPr>
      <w:r w:rsidRPr="006B2954">
        <w:rPr>
          <w:rFonts w:ascii="Calibri" w:hAnsi="Calibri"/>
          <w:i/>
          <w:u w:val="single"/>
        </w:rPr>
        <w:t>Strato adesivo del farmaco</w:t>
      </w:r>
    </w:p>
    <w:p w:rsidR="006B2954" w:rsidRPr="006B2954" w:rsidRDefault="006B2954" w:rsidP="006B2954">
      <w:pPr>
        <w:spacing w:after="0" w:line="240" w:lineRule="auto"/>
        <w:jc w:val="both"/>
        <w:rPr>
          <w:rFonts w:ascii="Calibri" w:hAnsi="Calibri"/>
        </w:rPr>
      </w:pPr>
      <w:r w:rsidRPr="006B2954">
        <w:rPr>
          <w:rFonts w:ascii="Calibri" w:hAnsi="Calibri"/>
        </w:rPr>
        <w:t>Silicone adesivo (</w:t>
      </w:r>
      <w:proofErr w:type="spellStart"/>
      <w:r w:rsidRPr="006B2954">
        <w:rPr>
          <w:rFonts w:ascii="Calibri" w:hAnsi="Calibri"/>
        </w:rPr>
        <w:t>polidimetilsiloxano</w:t>
      </w:r>
      <w:proofErr w:type="spellEnd"/>
      <w:r w:rsidRPr="006B2954">
        <w:rPr>
          <w:rFonts w:ascii="Calibri" w:hAnsi="Calibri"/>
        </w:rPr>
        <w:t>, resina di silicati)</w:t>
      </w:r>
    </w:p>
    <w:p w:rsidR="006B2954" w:rsidRPr="006B2954" w:rsidRDefault="006B2954" w:rsidP="006B2954">
      <w:pPr>
        <w:spacing w:after="0" w:line="240" w:lineRule="auto"/>
        <w:jc w:val="both"/>
        <w:rPr>
          <w:rFonts w:ascii="Calibri" w:hAnsi="Calibri"/>
        </w:rPr>
      </w:pPr>
      <w:proofErr w:type="spellStart"/>
      <w:r w:rsidRPr="006B2954">
        <w:rPr>
          <w:rFonts w:ascii="Calibri" w:hAnsi="Calibri"/>
        </w:rPr>
        <w:t>Polidimetilsiloxano</w:t>
      </w:r>
      <w:proofErr w:type="spellEnd"/>
      <w:r w:rsidRPr="006B2954">
        <w:rPr>
          <w:rFonts w:ascii="Calibri" w:hAnsi="Calibri"/>
        </w:rPr>
        <w:t>.</w:t>
      </w:r>
    </w:p>
    <w:p w:rsidR="006B2954" w:rsidRPr="006B2954" w:rsidRDefault="006B2954" w:rsidP="006B2954">
      <w:pPr>
        <w:spacing w:after="0" w:line="240" w:lineRule="auto"/>
        <w:jc w:val="both"/>
        <w:rPr>
          <w:rFonts w:ascii="Calibri" w:hAnsi="Calibri"/>
          <w:i/>
          <w:u w:val="single"/>
        </w:rPr>
      </w:pPr>
      <w:r w:rsidRPr="006B2954">
        <w:rPr>
          <w:rFonts w:ascii="Calibri" w:hAnsi="Calibri"/>
          <w:i/>
          <w:u w:val="single"/>
        </w:rPr>
        <w:t>Membrana che controlla il rilascio</w:t>
      </w:r>
    </w:p>
    <w:p w:rsidR="006B2954" w:rsidRDefault="006B2954" w:rsidP="006B2954">
      <w:pPr>
        <w:spacing w:after="0" w:line="240" w:lineRule="auto"/>
        <w:jc w:val="both"/>
        <w:rPr>
          <w:rFonts w:ascii="Calibri" w:hAnsi="Calibri"/>
        </w:rPr>
      </w:pPr>
      <w:r w:rsidRPr="006B2954">
        <w:rPr>
          <w:rFonts w:ascii="Calibri" w:hAnsi="Calibri"/>
        </w:rPr>
        <w:t>Film di etilene vinilacetato copolimero.</w:t>
      </w:r>
    </w:p>
    <w:p w:rsidR="006B2954" w:rsidRPr="006B2954" w:rsidRDefault="006B2954" w:rsidP="006B2954">
      <w:pPr>
        <w:spacing w:after="0" w:line="240" w:lineRule="auto"/>
        <w:jc w:val="both"/>
        <w:rPr>
          <w:rFonts w:ascii="Calibri" w:hAnsi="Calibri"/>
          <w:i/>
          <w:u w:val="single"/>
        </w:rPr>
      </w:pPr>
      <w:r w:rsidRPr="006B2954">
        <w:rPr>
          <w:rFonts w:ascii="Calibri" w:hAnsi="Calibri"/>
          <w:i/>
          <w:u w:val="single"/>
        </w:rPr>
        <w:t>Strato adesivo della pelle</w:t>
      </w:r>
    </w:p>
    <w:p w:rsidR="006B2954" w:rsidRPr="006B2954" w:rsidRDefault="006B2954" w:rsidP="006B2954">
      <w:pPr>
        <w:spacing w:after="0" w:line="240" w:lineRule="auto"/>
        <w:jc w:val="both"/>
        <w:rPr>
          <w:rFonts w:ascii="Calibri" w:hAnsi="Calibri"/>
        </w:rPr>
      </w:pPr>
      <w:r w:rsidRPr="006B2954">
        <w:rPr>
          <w:rFonts w:ascii="Calibri" w:hAnsi="Calibri"/>
        </w:rPr>
        <w:t>Silicone adesivo (</w:t>
      </w:r>
      <w:proofErr w:type="spellStart"/>
      <w:r w:rsidRPr="006B2954">
        <w:rPr>
          <w:rFonts w:ascii="Calibri" w:hAnsi="Calibri"/>
        </w:rPr>
        <w:t>polidimetilsiloxano</w:t>
      </w:r>
      <w:proofErr w:type="spellEnd"/>
      <w:r w:rsidRPr="006B2954">
        <w:rPr>
          <w:rFonts w:ascii="Calibri" w:hAnsi="Calibri"/>
        </w:rPr>
        <w:t>, resina di silicati)</w:t>
      </w:r>
    </w:p>
    <w:p w:rsidR="006B2954" w:rsidRPr="006B2954" w:rsidRDefault="006B2954" w:rsidP="006B2954">
      <w:pPr>
        <w:spacing w:after="0" w:line="240" w:lineRule="auto"/>
        <w:jc w:val="both"/>
        <w:rPr>
          <w:rFonts w:ascii="Calibri" w:hAnsi="Calibri"/>
        </w:rPr>
      </w:pPr>
      <w:proofErr w:type="spellStart"/>
      <w:r w:rsidRPr="006B2954">
        <w:rPr>
          <w:rFonts w:ascii="Calibri" w:hAnsi="Calibri"/>
        </w:rPr>
        <w:t>Polidimetilsiloxano</w:t>
      </w:r>
      <w:proofErr w:type="spellEnd"/>
      <w:r w:rsidRPr="006B2954">
        <w:rPr>
          <w:rFonts w:ascii="Calibri" w:hAnsi="Calibri"/>
        </w:rPr>
        <w:t>.</w:t>
      </w:r>
    </w:p>
    <w:p w:rsidR="006B2954" w:rsidRPr="006B2954" w:rsidRDefault="006B2954" w:rsidP="006B2954">
      <w:pPr>
        <w:spacing w:after="0" w:line="240" w:lineRule="auto"/>
        <w:jc w:val="both"/>
        <w:rPr>
          <w:rFonts w:ascii="Calibri" w:hAnsi="Calibri"/>
          <w:i/>
          <w:u w:val="single"/>
        </w:rPr>
      </w:pPr>
      <w:r w:rsidRPr="006B2954">
        <w:rPr>
          <w:rFonts w:ascii="Calibri" w:hAnsi="Calibri"/>
          <w:i/>
          <w:u w:val="single"/>
        </w:rPr>
        <w:t>Strato di protezione</w:t>
      </w:r>
    </w:p>
    <w:p w:rsidR="006B2954" w:rsidRPr="006B2954" w:rsidRDefault="006B2954" w:rsidP="006B2954">
      <w:pPr>
        <w:spacing w:after="0" w:line="240" w:lineRule="auto"/>
        <w:jc w:val="both"/>
        <w:rPr>
          <w:rFonts w:ascii="Calibri" w:hAnsi="Calibri"/>
        </w:rPr>
      </w:pPr>
      <w:r w:rsidRPr="006B2954">
        <w:rPr>
          <w:rFonts w:ascii="Calibri" w:hAnsi="Calibri"/>
        </w:rPr>
        <w:t>Film di polietilene tereftalato con rivestimento di rilascio in fluorocarbonio.</w:t>
      </w:r>
    </w:p>
    <w:p w:rsidR="006B2954" w:rsidRPr="006B2954" w:rsidRDefault="006B2954" w:rsidP="006B2954">
      <w:pPr>
        <w:spacing w:after="0" w:line="240" w:lineRule="auto"/>
        <w:jc w:val="both"/>
        <w:rPr>
          <w:rFonts w:ascii="Calibri" w:hAnsi="Calibri"/>
          <w:i/>
          <w:u w:val="single"/>
        </w:rPr>
      </w:pPr>
      <w:r w:rsidRPr="006B2954">
        <w:rPr>
          <w:rFonts w:ascii="Calibri" w:hAnsi="Calibri"/>
          <w:i/>
          <w:u w:val="single"/>
        </w:rPr>
        <w:t>Inchiostro da stampa</w:t>
      </w:r>
    </w:p>
    <w:p w:rsidR="006B2954" w:rsidRPr="006B2954" w:rsidRDefault="006B2954" w:rsidP="006B2954">
      <w:pPr>
        <w:spacing w:after="0" w:line="240" w:lineRule="auto"/>
        <w:jc w:val="both"/>
        <w:rPr>
          <w:rFonts w:ascii="Calibri" w:hAnsi="Calibri"/>
        </w:rPr>
      </w:pPr>
      <w:r w:rsidRPr="006B2954">
        <w:rPr>
          <w:rFonts w:ascii="Calibri" w:hAnsi="Calibri"/>
        </w:rPr>
        <w:t>Inchiostro marrone chiaro, rosso, verde, blu o grigio.</w:t>
      </w:r>
    </w:p>
    <w:p w:rsidR="006B2954" w:rsidRPr="006B2954" w:rsidRDefault="00972CE3" w:rsidP="006B2954">
      <w:pPr>
        <w:spacing w:after="0" w:line="240" w:lineRule="auto"/>
        <w:ind w:right="13"/>
        <w:jc w:val="both"/>
      </w:pPr>
      <w:r w:rsidRPr="006B2954">
        <w:lastRenderedPageBreak/>
        <w:t>Tutti gli eccipienti sono conformi alla relativa monografia di Farmacopea Europea</w:t>
      </w:r>
      <w:r w:rsidR="00360D3C" w:rsidRPr="006B2954">
        <w:t>, ad eccezione</w:t>
      </w:r>
      <w:r w:rsidR="006B2954" w:rsidRPr="006B2954">
        <w:t xml:space="preserve"> di</w:t>
      </w:r>
      <w:r w:rsidR="00360D3C" w:rsidRPr="006B2954">
        <w:t xml:space="preserve"> </w:t>
      </w:r>
      <w:r w:rsidR="006B2954" w:rsidRPr="006B2954">
        <w:t>f</w:t>
      </w:r>
      <w:r w:rsidR="006B2954" w:rsidRPr="006B2954">
        <w:rPr>
          <w:rFonts w:ascii="Calibri" w:hAnsi="Calibri"/>
        </w:rPr>
        <w:t>ilm di polietilene tereftalato con rivestimento di rilascio in fluorocarbonio</w:t>
      </w:r>
      <w:r w:rsidR="006B2954" w:rsidRPr="006B2954">
        <w:rPr>
          <w:color w:val="000000"/>
        </w:rPr>
        <w:t>, inchiostri, silicone adesivo, f</w:t>
      </w:r>
      <w:r w:rsidR="006B2954" w:rsidRPr="006B2954">
        <w:rPr>
          <w:rFonts w:ascii="Calibri" w:hAnsi="Calibri"/>
        </w:rPr>
        <w:t xml:space="preserve">ilm di etilene vinilacetato copolimero, film di etilene vinilacetato copolimero, </w:t>
      </w:r>
      <w:r w:rsidR="006B2954" w:rsidRPr="006B2954">
        <w:t>le cui specifiche sono state adeguatamente definite dal produttore.</w:t>
      </w:r>
    </w:p>
    <w:p w:rsidR="00972CE3" w:rsidRPr="006B2954" w:rsidRDefault="00972CE3" w:rsidP="006B2954">
      <w:pPr>
        <w:spacing w:after="0" w:line="240" w:lineRule="auto"/>
        <w:jc w:val="both"/>
      </w:pPr>
      <w:r w:rsidRPr="006B2954">
        <w:t>Nessun eccipiente è ottenuto da organismi geneticamente modificati; non sono presenti eccipienti mai utilizzati nell’uomo.</w:t>
      </w:r>
    </w:p>
    <w:p w:rsidR="00900C91" w:rsidRPr="006B2954" w:rsidRDefault="00900C91" w:rsidP="006B2954">
      <w:pPr>
        <w:spacing w:after="0" w:line="240" w:lineRule="auto"/>
        <w:jc w:val="both"/>
      </w:pPr>
    </w:p>
    <w:p w:rsidR="00900C91" w:rsidRPr="006B2954" w:rsidRDefault="00900C91" w:rsidP="006B2954">
      <w:pPr>
        <w:spacing w:after="0" w:line="240" w:lineRule="auto"/>
        <w:jc w:val="both"/>
        <w:rPr>
          <w:b/>
        </w:rPr>
      </w:pPr>
      <w:r w:rsidRPr="006B2954">
        <w:rPr>
          <w:b/>
        </w:rPr>
        <w:t>Sviluppo farmaceutico</w:t>
      </w:r>
    </w:p>
    <w:p w:rsidR="00900C91" w:rsidRPr="006B2954" w:rsidRDefault="00900C91" w:rsidP="006B2954">
      <w:pPr>
        <w:spacing w:after="0" w:line="240" w:lineRule="auto"/>
        <w:jc w:val="both"/>
      </w:pPr>
      <w:r w:rsidRPr="006B2954">
        <w:t>Sono stati forniti dettagli dello sviluppo farmaceutico e questi sono stati ritenuti soddisfacenti.</w:t>
      </w:r>
    </w:p>
    <w:p w:rsidR="00D33431" w:rsidRPr="006B2954" w:rsidRDefault="00900C91" w:rsidP="006B2954">
      <w:pPr>
        <w:spacing w:after="0" w:line="240" w:lineRule="auto"/>
        <w:jc w:val="both"/>
      </w:pPr>
      <w:r w:rsidRPr="006B2954">
        <w:t xml:space="preserve">Lo scopo era quello di ottenere un medicinale </w:t>
      </w:r>
      <w:proofErr w:type="spellStart"/>
      <w:r w:rsidRPr="006B2954">
        <w:t>bioequivalente</w:t>
      </w:r>
      <w:proofErr w:type="spellEnd"/>
      <w:r w:rsidRPr="006B2954">
        <w:t xml:space="preserve"> al medicinale </w:t>
      </w:r>
      <w:r w:rsidR="00A02D62" w:rsidRPr="006B2954">
        <w:t xml:space="preserve">di riferimento </w:t>
      </w:r>
      <w:proofErr w:type="spellStart"/>
      <w:r w:rsidR="003F0485" w:rsidRPr="006B2954">
        <w:t>Durogesic</w:t>
      </w:r>
      <w:proofErr w:type="spellEnd"/>
      <w:r w:rsidR="00D33431" w:rsidRPr="006B2954">
        <w:t xml:space="preserve"> autorizzato in Italia.</w:t>
      </w:r>
    </w:p>
    <w:p w:rsidR="00900C91" w:rsidRPr="006B2954" w:rsidRDefault="00D33431" w:rsidP="006B2954">
      <w:pPr>
        <w:spacing w:after="0" w:line="240" w:lineRule="auto"/>
        <w:jc w:val="both"/>
      </w:pPr>
      <w:r w:rsidRPr="006B2954">
        <w:t>S</w:t>
      </w:r>
      <w:r w:rsidR="00900C91" w:rsidRPr="006B2954">
        <w:t>ono stati forniti dati comparati</w:t>
      </w:r>
      <w:r w:rsidR="00897FDC" w:rsidRPr="006B2954">
        <w:t>v</w:t>
      </w:r>
      <w:r w:rsidR="00900C91" w:rsidRPr="006B2954">
        <w:t>i relativi al profilo di dissoluzione e al profilo di impurezze rispetto al medicinale di riferimento. I dati sono soddisfacenti.</w:t>
      </w:r>
    </w:p>
    <w:p w:rsidR="00900C91" w:rsidRPr="006B2954" w:rsidRDefault="00900C91" w:rsidP="006B2954">
      <w:pPr>
        <w:spacing w:after="0" w:line="240" w:lineRule="auto"/>
        <w:jc w:val="both"/>
      </w:pPr>
    </w:p>
    <w:p w:rsidR="00900C91" w:rsidRPr="006B2954" w:rsidRDefault="00900C91" w:rsidP="006B2954">
      <w:pPr>
        <w:spacing w:after="0" w:line="240" w:lineRule="auto"/>
        <w:jc w:val="both"/>
        <w:rPr>
          <w:b/>
        </w:rPr>
      </w:pPr>
      <w:r w:rsidRPr="006B2954">
        <w:rPr>
          <w:b/>
        </w:rPr>
        <w:t xml:space="preserve">Produzione </w:t>
      </w:r>
    </w:p>
    <w:p w:rsidR="00900C91" w:rsidRPr="006B2954" w:rsidRDefault="00900C91" w:rsidP="006B2954">
      <w:pPr>
        <w:spacing w:after="0" w:line="240" w:lineRule="auto"/>
        <w:jc w:val="both"/>
      </w:pPr>
      <w:r w:rsidRPr="006B2954">
        <w:t>Sono stati forniti una descrizione del metodo di produzione e la relativa flow-chart.</w:t>
      </w:r>
    </w:p>
    <w:p w:rsidR="00900C91" w:rsidRPr="006B2954" w:rsidRDefault="00900C91" w:rsidP="006B2954">
      <w:pPr>
        <w:spacing w:after="0" w:line="240" w:lineRule="auto"/>
        <w:jc w:val="both"/>
      </w:pPr>
      <w:r w:rsidRPr="006B2954">
        <w:t>I controlli effettuati nel corso della produzione sono appropriati per la natura del medicinale e del metodo di produzione. Sono stati forniti, inoltre, dati soddisfacenti relativi alla convalida del metodo di produzione.</w:t>
      </w:r>
    </w:p>
    <w:p w:rsidR="00900C91" w:rsidRPr="006B2954" w:rsidRDefault="00900C91" w:rsidP="006B2954">
      <w:pPr>
        <w:spacing w:after="0" w:line="240" w:lineRule="auto"/>
        <w:jc w:val="both"/>
      </w:pPr>
    </w:p>
    <w:p w:rsidR="00900C91" w:rsidRPr="006B2954" w:rsidRDefault="00900C91" w:rsidP="006B2954">
      <w:pPr>
        <w:spacing w:after="0" w:line="240" w:lineRule="auto"/>
        <w:jc w:val="both"/>
        <w:rPr>
          <w:b/>
        </w:rPr>
      </w:pPr>
      <w:r w:rsidRPr="006B2954">
        <w:rPr>
          <w:b/>
        </w:rPr>
        <w:t>Specifiche del prodotto finito</w:t>
      </w:r>
    </w:p>
    <w:p w:rsidR="00900C91" w:rsidRPr="002E1D56" w:rsidRDefault="00900C91" w:rsidP="006B2954">
      <w:pPr>
        <w:spacing w:after="0" w:line="240" w:lineRule="auto"/>
        <w:jc w:val="both"/>
      </w:pPr>
      <w:r w:rsidRPr="002E1D56">
        <w:t>Sono state fornite adeguate specifiche di controllo per il prodotto finito al rilascio e alla fine della validità. I metodi analitici sono stati descritti e adeguatamente convalidati. Sono stati forniti, inoltre, dati analitici per tutti i dosaggi del prodotto finito: questi dati dimostrano che i lotti prodotti sono in accordo alle specifiche proposte. Sono stati forniti, infine, certificati analitici per gli standard di riferimento utilizzati.</w:t>
      </w:r>
    </w:p>
    <w:p w:rsidR="00900C91" w:rsidRPr="002E1D56" w:rsidRDefault="00900C91" w:rsidP="00900C91">
      <w:pPr>
        <w:spacing w:after="0" w:line="240" w:lineRule="auto"/>
        <w:jc w:val="both"/>
        <w:rPr>
          <w:b/>
        </w:rPr>
      </w:pPr>
    </w:p>
    <w:p w:rsidR="00900C91" w:rsidRPr="002E1D56" w:rsidRDefault="00900C91" w:rsidP="00900C91">
      <w:pPr>
        <w:spacing w:after="0" w:line="240" w:lineRule="auto"/>
        <w:jc w:val="both"/>
        <w:rPr>
          <w:b/>
        </w:rPr>
      </w:pPr>
      <w:r w:rsidRPr="002E1D56">
        <w:rPr>
          <w:b/>
        </w:rPr>
        <w:t>Contenitore</w:t>
      </w:r>
    </w:p>
    <w:p w:rsidR="00900C91" w:rsidRPr="002E1D56" w:rsidRDefault="006951D9" w:rsidP="00900C91">
      <w:pPr>
        <w:spacing w:after="0" w:line="240" w:lineRule="auto"/>
        <w:jc w:val="both"/>
      </w:pPr>
      <w:proofErr w:type="spellStart"/>
      <w:r w:rsidRPr="002E1D56">
        <w:t>Fentanyl</w:t>
      </w:r>
      <w:proofErr w:type="spellEnd"/>
      <w:r w:rsidRPr="002E1D56">
        <w:t xml:space="preserve"> </w:t>
      </w:r>
      <w:proofErr w:type="spellStart"/>
      <w:r w:rsidRPr="002E1D56">
        <w:t>Noventia</w:t>
      </w:r>
      <w:proofErr w:type="spellEnd"/>
      <w:r w:rsidRPr="002E1D56">
        <w:t xml:space="preserve"> </w:t>
      </w:r>
      <w:proofErr w:type="spellStart"/>
      <w:r w:rsidRPr="002E1D56">
        <w:t>Pharma</w:t>
      </w:r>
      <w:proofErr w:type="spellEnd"/>
      <w:r w:rsidR="00900C91" w:rsidRPr="002E1D56">
        <w:t xml:space="preserve"> è confezionato </w:t>
      </w:r>
      <w:r w:rsidR="006B2954" w:rsidRPr="002E1D56">
        <w:rPr>
          <w:rFonts w:ascii="Calibri" w:hAnsi="Calibri"/>
        </w:rPr>
        <w:t>in buste a prova di bambino, con alluminio come barriera principale e uno strato saldato a caldo dal lato del medicinale. Il medicinale è posto tra le 2 pareti della busta, con lo strato termosaldato (poli</w:t>
      </w:r>
      <w:r w:rsidR="002E1D56">
        <w:rPr>
          <w:rFonts w:ascii="Calibri" w:hAnsi="Calibri"/>
        </w:rPr>
        <w:t>-</w:t>
      </w:r>
      <w:r w:rsidR="006B2954" w:rsidRPr="002E1D56">
        <w:rPr>
          <w:rFonts w:ascii="Calibri" w:hAnsi="Calibri"/>
        </w:rPr>
        <w:t>(</w:t>
      </w:r>
      <w:proofErr w:type="spellStart"/>
      <w:r w:rsidR="006B2954" w:rsidRPr="002E1D56">
        <w:rPr>
          <w:rFonts w:ascii="Calibri" w:hAnsi="Calibri"/>
        </w:rPr>
        <w:t>etilen-co-acido</w:t>
      </w:r>
      <w:proofErr w:type="spellEnd"/>
      <w:r w:rsidR="006B2954" w:rsidRPr="002E1D56">
        <w:rPr>
          <w:rFonts w:ascii="Calibri" w:hAnsi="Calibri"/>
        </w:rPr>
        <w:t xml:space="preserve"> metacrilico)copolimero) di entrambe le sezioni a contatto con il medicinale.</w:t>
      </w:r>
      <w:r w:rsidR="00900C91" w:rsidRPr="002E1D56">
        <w:t xml:space="preserve"> Sono state fornite specifiche e certificati analitici per tutti i componenti del confezionamento primario, che è adeguato per il medicinale.</w:t>
      </w:r>
    </w:p>
    <w:p w:rsidR="009404E8" w:rsidRPr="002E1D56" w:rsidRDefault="009404E8" w:rsidP="00900C91">
      <w:pPr>
        <w:spacing w:after="0" w:line="240" w:lineRule="auto"/>
        <w:jc w:val="both"/>
      </w:pPr>
    </w:p>
    <w:p w:rsidR="00900C91" w:rsidRPr="002E1D56" w:rsidRDefault="00900C91" w:rsidP="00900C91">
      <w:pPr>
        <w:spacing w:after="0" w:line="240" w:lineRule="auto"/>
        <w:jc w:val="both"/>
        <w:rPr>
          <w:b/>
        </w:rPr>
      </w:pPr>
      <w:r w:rsidRPr="002E1D56">
        <w:rPr>
          <w:b/>
        </w:rPr>
        <w:t>Stabilità</w:t>
      </w:r>
    </w:p>
    <w:p w:rsidR="00972CE3" w:rsidRPr="002E1D56" w:rsidRDefault="00900C91" w:rsidP="00972CE3">
      <w:pPr>
        <w:spacing w:after="0" w:line="240" w:lineRule="auto"/>
        <w:jc w:val="both"/>
      </w:pPr>
      <w:r w:rsidRPr="002E1D56">
        <w:t xml:space="preserve">Studi di stabilità sul prodotto finito sono stati condotti in accordo alle correnti linee guida e i risultati sono entro i limiti delle specifiche autorizzate. Sulla base di questi risultati, </w:t>
      </w:r>
      <w:r w:rsidR="00972CE3" w:rsidRPr="002E1D56">
        <w:t xml:space="preserve">è stato autorizzato un periodo di validità di </w:t>
      </w:r>
      <w:r w:rsidR="00360D3C" w:rsidRPr="002E1D56">
        <w:t>3</w:t>
      </w:r>
      <w:r w:rsidR="00A02D62" w:rsidRPr="002E1D56">
        <w:t xml:space="preserve"> anni</w:t>
      </w:r>
      <w:r w:rsidR="00972CE3" w:rsidRPr="002E1D56">
        <w:t xml:space="preserve"> </w:t>
      </w:r>
      <w:r w:rsidR="002E1D56">
        <w:t>protetto dall’umidità</w:t>
      </w:r>
      <w:r w:rsidR="002E1D56" w:rsidRPr="002E1D56">
        <w:t xml:space="preserve"> </w:t>
      </w:r>
      <w:r w:rsidR="002E1D56">
        <w:t xml:space="preserve">e </w:t>
      </w:r>
      <w:r w:rsidR="00A02D62" w:rsidRPr="002E1D56">
        <w:t>con</w:t>
      </w:r>
      <w:r w:rsidR="00972CE3" w:rsidRPr="002E1D56">
        <w:t xml:space="preserve"> conservazione</w:t>
      </w:r>
      <w:r w:rsidR="00A02D62" w:rsidRPr="002E1D56">
        <w:t xml:space="preserve"> a temperatura non superiore a 25°C</w:t>
      </w:r>
      <w:r w:rsidR="002E1D56">
        <w:t>.</w:t>
      </w:r>
    </w:p>
    <w:p w:rsidR="00900C91" w:rsidRDefault="00900C91" w:rsidP="00900C91">
      <w:pPr>
        <w:spacing w:after="0" w:line="240" w:lineRule="auto"/>
        <w:jc w:val="both"/>
      </w:pPr>
    </w:p>
    <w:p w:rsidR="006C448B" w:rsidRDefault="006C448B" w:rsidP="00900C91">
      <w:pPr>
        <w:spacing w:after="0" w:line="240" w:lineRule="auto"/>
        <w:jc w:val="both"/>
      </w:pPr>
    </w:p>
    <w:p w:rsidR="00900C91" w:rsidRPr="002E1D56" w:rsidRDefault="00900C91" w:rsidP="00900C91">
      <w:pPr>
        <w:spacing w:after="0" w:line="240" w:lineRule="auto"/>
        <w:jc w:val="both"/>
        <w:rPr>
          <w:b/>
        </w:rPr>
      </w:pPr>
      <w:r w:rsidRPr="002E1D56">
        <w:rPr>
          <w:b/>
        </w:rPr>
        <w:t>II.3 Discussione sugli aspetti di qualità</w:t>
      </w:r>
    </w:p>
    <w:p w:rsidR="00900C91" w:rsidRDefault="00900C91" w:rsidP="00900C91">
      <w:pPr>
        <w:spacing w:after="0" w:line="240" w:lineRule="auto"/>
        <w:jc w:val="both"/>
      </w:pPr>
      <w:r w:rsidRPr="002E1D56">
        <w:t xml:space="preserve">Tutte le criticità evidenziate nel corso della valutazione sono state risolte e la qualità di </w:t>
      </w:r>
      <w:proofErr w:type="spellStart"/>
      <w:r w:rsidR="006951D9" w:rsidRPr="002E1D56">
        <w:t>Fentanyl</w:t>
      </w:r>
      <w:proofErr w:type="spellEnd"/>
      <w:r w:rsidR="006951D9" w:rsidRPr="002E1D56">
        <w:t xml:space="preserve"> </w:t>
      </w:r>
      <w:proofErr w:type="spellStart"/>
      <w:r w:rsidR="006951D9" w:rsidRPr="002E1D56">
        <w:t>Noventia</w:t>
      </w:r>
      <w:proofErr w:type="spellEnd"/>
      <w:r w:rsidR="006951D9" w:rsidRPr="002E1D56">
        <w:t xml:space="preserve"> </w:t>
      </w:r>
      <w:proofErr w:type="spellStart"/>
      <w:r w:rsidR="006951D9" w:rsidRPr="002E1D56">
        <w:t>Pharma</w:t>
      </w:r>
      <w:proofErr w:type="spellEnd"/>
      <w:r w:rsidRPr="002E1D56">
        <w:t xml:space="preserve"> è considerata adeguata. Non ci sono obiezioni per l’approvazione di </w:t>
      </w:r>
      <w:proofErr w:type="spellStart"/>
      <w:r w:rsidR="006951D9" w:rsidRPr="002E1D56">
        <w:t>Fentanyl</w:t>
      </w:r>
      <w:proofErr w:type="spellEnd"/>
      <w:r w:rsidR="006951D9" w:rsidRPr="002E1D56">
        <w:t xml:space="preserve"> </w:t>
      </w:r>
      <w:proofErr w:type="spellStart"/>
      <w:r w:rsidR="006951D9" w:rsidRPr="002E1D56">
        <w:t>Noventia</w:t>
      </w:r>
      <w:proofErr w:type="spellEnd"/>
      <w:r w:rsidR="006951D9" w:rsidRPr="002E1D56">
        <w:t xml:space="preserve"> </w:t>
      </w:r>
      <w:proofErr w:type="spellStart"/>
      <w:r w:rsidR="006951D9" w:rsidRPr="002E1D56">
        <w:t>Pharma</w:t>
      </w:r>
      <w:proofErr w:type="spellEnd"/>
      <w:r w:rsidRPr="002E1D56">
        <w:t xml:space="preserve"> dal</w:t>
      </w:r>
      <w:r w:rsidRPr="00360D3C">
        <w:t xml:space="preserve"> punto di vista chimico-farmaceutico.</w:t>
      </w:r>
    </w:p>
    <w:p w:rsidR="00900C91" w:rsidRDefault="00900C91" w:rsidP="00900C91">
      <w:pPr>
        <w:spacing w:after="0" w:line="240" w:lineRule="auto"/>
        <w:jc w:val="both"/>
      </w:pPr>
    </w:p>
    <w:p w:rsidR="00900C91" w:rsidRDefault="00900C91" w:rsidP="00900C91">
      <w:pPr>
        <w:spacing w:after="0" w:line="240" w:lineRule="auto"/>
        <w:jc w:val="both"/>
      </w:pPr>
    </w:p>
    <w:p w:rsidR="00900C91" w:rsidRPr="002E1D56" w:rsidRDefault="00900C91" w:rsidP="002E1D56">
      <w:pPr>
        <w:pStyle w:val="Paragrafoelenco"/>
        <w:numPr>
          <w:ilvl w:val="0"/>
          <w:numId w:val="2"/>
        </w:numPr>
        <w:spacing w:after="0" w:line="240" w:lineRule="auto"/>
        <w:jc w:val="both"/>
        <w:rPr>
          <w:b/>
        </w:rPr>
      </w:pPr>
      <w:r w:rsidRPr="002E1D56">
        <w:rPr>
          <w:b/>
        </w:rPr>
        <w:t>ASPETTI NON CLINICI</w:t>
      </w:r>
    </w:p>
    <w:p w:rsidR="00D33431" w:rsidRPr="002E1D56" w:rsidRDefault="00900C91" w:rsidP="002E1D56">
      <w:pPr>
        <w:spacing w:after="0" w:line="240" w:lineRule="auto"/>
        <w:jc w:val="both"/>
      </w:pPr>
      <w:r w:rsidRPr="002E1D56">
        <w:t xml:space="preserve">Non sono stati condotti specifici studi non clinici, in quanto </w:t>
      </w:r>
      <w:proofErr w:type="spellStart"/>
      <w:r w:rsidR="006951D9" w:rsidRPr="002E1D56">
        <w:t>Fentanyl</w:t>
      </w:r>
      <w:proofErr w:type="spellEnd"/>
      <w:r w:rsidR="006951D9" w:rsidRPr="002E1D56">
        <w:t xml:space="preserve"> </w:t>
      </w:r>
      <w:proofErr w:type="spellStart"/>
      <w:r w:rsidR="006951D9" w:rsidRPr="002E1D56">
        <w:t>Noventia</w:t>
      </w:r>
      <w:proofErr w:type="spellEnd"/>
      <w:r w:rsidR="006951D9" w:rsidRPr="002E1D56">
        <w:t xml:space="preserve"> </w:t>
      </w:r>
      <w:proofErr w:type="spellStart"/>
      <w:r w:rsidR="006951D9" w:rsidRPr="002E1D56">
        <w:t>Pharma</w:t>
      </w:r>
      <w:proofErr w:type="spellEnd"/>
      <w:r w:rsidRPr="002E1D56">
        <w:t xml:space="preserve"> contiene </w:t>
      </w:r>
      <w:r w:rsidR="002E1D56" w:rsidRPr="002E1D56">
        <w:t xml:space="preserve">un principio </w:t>
      </w:r>
      <w:r w:rsidRPr="002E1D56">
        <w:t>attiv</w:t>
      </w:r>
      <w:r w:rsidR="002E1D56" w:rsidRPr="002E1D56">
        <w:t>o noto</w:t>
      </w:r>
      <w:r w:rsidRPr="002E1D56">
        <w:t xml:space="preserve">: questo approccio è accettabile poiché il medicinale di riferimento </w:t>
      </w:r>
      <w:proofErr w:type="spellStart"/>
      <w:r w:rsidR="003F0485" w:rsidRPr="002E1D56">
        <w:t>Durogesic</w:t>
      </w:r>
      <w:proofErr w:type="spellEnd"/>
      <w:r w:rsidRPr="002E1D56">
        <w:t xml:space="preserve"> è autorizzato </w:t>
      </w:r>
      <w:r w:rsidR="00D33431" w:rsidRPr="002E1D56">
        <w:t xml:space="preserve">in Italia </w:t>
      </w:r>
      <w:r w:rsidRPr="002E1D56">
        <w:t>da oltre 10 anni</w:t>
      </w:r>
      <w:r w:rsidR="00D33431" w:rsidRPr="002E1D56">
        <w:t>.</w:t>
      </w:r>
    </w:p>
    <w:p w:rsidR="00900C91" w:rsidRPr="002E1D56" w:rsidRDefault="00900C91" w:rsidP="002E1D56">
      <w:pPr>
        <w:spacing w:after="0" w:line="240" w:lineRule="auto"/>
        <w:jc w:val="both"/>
      </w:pPr>
      <w:r w:rsidRPr="002E1D56">
        <w:t>Non ci sono obiezioni per l’approvazione dal punto di vista non clinico.</w:t>
      </w:r>
    </w:p>
    <w:p w:rsidR="00900C91" w:rsidRPr="002E1D56" w:rsidRDefault="00900C91" w:rsidP="002E1D56">
      <w:pPr>
        <w:spacing w:after="0" w:line="240" w:lineRule="auto"/>
        <w:jc w:val="both"/>
      </w:pPr>
    </w:p>
    <w:p w:rsidR="00900C91" w:rsidRDefault="00900C91" w:rsidP="002E1D56">
      <w:pPr>
        <w:spacing w:after="0" w:line="240" w:lineRule="auto"/>
        <w:jc w:val="both"/>
      </w:pPr>
    </w:p>
    <w:p w:rsidR="006C448B" w:rsidRDefault="006C448B" w:rsidP="002E1D56">
      <w:pPr>
        <w:spacing w:after="0" w:line="240" w:lineRule="auto"/>
        <w:jc w:val="both"/>
      </w:pPr>
    </w:p>
    <w:p w:rsidR="006C448B" w:rsidRPr="002E1D56" w:rsidRDefault="006C448B" w:rsidP="002E1D56">
      <w:pPr>
        <w:spacing w:after="0" w:line="240" w:lineRule="auto"/>
        <w:jc w:val="both"/>
      </w:pPr>
    </w:p>
    <w:p w:rsidR="00900C91" w:rsidRPr="002E1D56" w:rsidRDefault="00900C91" w:rsidP="002E1D56">
      <w:pPr>
        <w:pStyle w:val="Paragrafoelenco"/>
        <w:numPr>
          <w:ilvl w:val="0"/>
          <w:numId w:val="2"/>
        </w:numPr>
        <w:spacing w:after="0" w:line="240" w:lineRule="auto"/>
        <w:jc w:val="both"/>
        <w:rPr>
          <w:b/>
        </w:rPr>
      </w:pPr>
      <w:r w:rsidRPr="002E1D56">
        <w:rPr>
          <w:b/>
        </w:rPr>
        <w:lastRenderedPageBreak/>
        <w:t>ASPETTI CLINICI</w:t>
      </w:r>
    </w:p>
    <w:p w:rsidR="00D2154A" w:rsidRPr="002E1D56" w:rsidRDefault="006951D9" w:rsidP="002E1D56">
      <w:pPr>
        <w:autoSpaceDE w:val="0"/>
        <w:autoSpaceDN w:val="0"/>
        <w:adjustRightInd w:val="0"/>
        <w:spacing w:after="0" w:line="240" w:lineRule="auto"/>
        <w:jc w:val="both"/>
        <w:rPr>
          <w:rFonts w:cs="Helvetica"/>
        </w:rPr>
      </w:pPr>
      <w:proofErr w:type="spellStart"/>
      <w:r w:rsidRPr="002E1D56">
        <w:rPr>
          <w:rFonts w:eastAsia="Calibri" w:cs="Calibri"/>
          <w:color w:val="000000"/>
          <w:lang w:eastAsia="it-IT"/>
        </w:rPr>
        <w:t>Fentanyl</w:t>
      </w:r>
      <w:proofErr w:type="spellEnd"/>
      <w:r w:rsidRPr="002E1D56">
        <w:rPr>
          <w:rFonts w:eastAsia="Calibri" w:cs="Calibri"/>
          <w:color w:val="000000"/>
          <w:lang w:eastAsia="it-IT"/>
        </w:rPr>
        <w:t xml:space="preserve"> </w:t>
      </w:r>
      <w:proofErr w:type="spellStart"/>
      <w:r w:rsidRPr="002E1D56">
        <w:rPr>
          <w:rFonts w:eastAsia="Calibri" w:cs="Calibri"/>
          <w:color w:val="000000"/>
          <w:lang w:eastAsia="it-IT"/>
        </w:rPr>
        <w:t>Noventia</w:t>
      </w:r>
      <w:proofErr w:type="spellEnd"/>
      <w:r w:rsidRPr="002E1D56">
        <w:rPr>
          <w:rFonts w:eastAsia="Calibri" w:cs="Calibri"/>
          <w:color w:val="000000"/>
          <w:lang w:eastAsia="it-IT"/>
        </w:rPr>
        <w:t xml:space="preserve"> </w:t>
      </w:r>
      <w:proofErr w:type="spellStart"/>
      <w:r w:rsidRPr="002E1D56">
        <w:rPr>
          <w:rFonts w:eastAsia="Calibri" w:cs="Calibri"/>
          <w:color w:val="000000"/>
          <w:lang w:eastAsia="it-IT"/>
        </w:rPr>
        <w:t>Pharma</w:t>
      </w:r>
      <w:proofErr w:type="spellEnd"/>
      <w:r w:rsidR="00D2154A" w:rsidRPr="002E1D56">
        <w:rPr>
          <w:rFonts w:eastAsia="Calibri" w:cs="Calibri"/>
          <w:color w:val="000000"/>
          <w:lang w:eastAsia="it-IT"/>
        </w:rPr>
        <w:t xml:space="preserve"> </w:t>
      </w:r>
      <w:r w:rsidR="00D2154A" w:rsidRPr="002E1D56">
        <w:rPr>
          <w:rFonts w:cs="Helvetica"/>
        </w:rPr>
        <w:t>è indicato</w:t>
      </w:r>
      <w:r w:rsidR="002E1D56" w:rsidRPr="002E1D56">
        <w:rPr>
          <w:rFonts w:cs="Helvetica"/>
        </w:rPr>
        <w:t>:</w:t>
      </w:r>
    </w:p>
    <w:p w:rsidR="002E1D56" w:rsidRPr="002E1D56" w:rsidRDefault="002E1D56" w:rsidP="006C448B">
      <w:pPr>
        <w:tabs>
          <w:tab w:val="left" w:pos="731"/>
          <w:tab w:val="left" w:pos="1014"/>
          <w:tab w:val="left" w:pos="2160"/>
        </w:tabs>
        <w:suppressAutoHyphens/>
        <w:spacing w:after="0" w:line="240" w:lineRule="auto"/>
        <w:jc w:val="both"/>
        <w:rPr>
          <w:rFonts w:ascii="Calibri" w:hAnsi="Calibri"/>
          <w:spacing w:val="-2"/>
        </w:rPr>
      </w:pPr>
      <w:r w:rsidRPr="002E1D56">
        <w:rPr>
          <w:rFonts w:ascii="Calibri" w:hAnsi="Calibri"/>
          <w:i/>
          <w:spacing w:val="-2"/>
        </w:rPr>
        <w:t>Adulti:</w:t>
      </w:r>
      <w:r w:rsidR="006C448B">
        <w:rPr>
          <w:rFonts w:ascii="Calibri" w:hAnsi="Calibri"/>
          <w:i/>
          <w:spacing w:val="-2"/>
        </w:rPr>
        <w:t xml:space="preserve"> </w:t>
      </w:r>
      <w:r w:rsidRPr="002E1D56">
        <w:rPr>
          <w:rFonts w:ascii="Calibri" w:hAnsi="Calibri"/>
          <w:spacing w:val="-2"/>
        </w:rPr>
        <w:t>nel trattamento del dolore cronico da cancro e del dolore ribelle che necessita di un'analgesia a base di sostanze oppiacee.</w:t>
      </w:r>
    </w:p>
    <w:p w:rsidR="002E1D56" w:rsidRPr="002E1D56" w:rsidRDefault="002E1D56" w:rsidP="002E1D56">
      <w:pPr>
        <w:tabs>
          <w:tab w:val="left" w:pos="0"/>
          <w:tab w:val="left" w:pos="1014"/>
          <w:tab w:val="left" w:pos="2160"/>
        </w:tabs>
        <w:suppressAutoHyphens/>
        <w:spacing w:after="0" w:line="240" w:lineRule="auto"/>
        <w:jc w:val="both"/>
        <w:rPr>
          <w:rFonts w:ascii="Calibri" w:hAnsi="Calibri"/>
          <w:spacing w:val="-2"/>
        </w:rPr>
      </w:pPr>
      <w:r w:rsidRPr="002E1D56">
        <w:rPr>
          <w:rFonts w:ascii="Calibri" w:hAnsi="Calibri"/>
          <w:i/>
          <w:spacing w:val="-2"/>
        </w:rPr>
        <w:t>Bambini:</w:t>
      </w:r>
      <w:r w:rsidR="006C448B">
        <w:rPr>
          <w:rFonts w:ascii="Calibri" w:hAnsi="Calibri"/>
          <w:i/>
          <w:spacing w:val="-2"/>
        </w:rPr>
        <w:t xml:space="preserve"> </w:t>
      </w:r>
      <w:r w:rsidRPr="002E1D56">
        <w:rPr>
          <w:rFonts w:ascii="Calibri" w:hAnsi="Calibri"/>
          <w:spacing w:val="-2"/>
        </w:rPr>
        <w:t>nel trattamento a lungo termine del dolore severo nei bambini a partire dai 2 anni che sono già in trattamento con sostanze oppiacee.</w:t>
      </w:r>
    </w:p>
    <w:p w:rsidR="00900C91" w:rsidRPr="002E1D56" w:rsidRDefault="00900C91" w:rsidP="002E1D56">
      <w:pPr>
        <w:spacing w:after="0" w:line="240" w:lineRule="auto"/>
        <w:ind w:right="6"/>
        <w:jc w:val="both"/>
      </w:pPr>
    </w:p>
    <w:p w:rsidR="00900C91" w:rsidRPr="002E1D56" w:rsidRDefault="00900C91" w:rsidP="002E1D56">
      <w:pPr>
        <w:spacing w:after="0" w:line="240" w:lineRule="auto"/>
        <w:ind w:right="6"/>
        <w:jc w:val="both"/>
        <w:rPr>
          <w:b/>
        </w:rPr>
      </w:pPr>
      <w:r w:rsidRPr="002E1D56">
        <w:rPr>
          <w:b/>
        </w:rPr>
        <w:t>Posologia e modalità di somministrazione</w:t>
      </w:r>
    </w:p>
    <w:p w:rsidR="00900C91" w:rsidRPr="002E1D56" w:rsidRDefault="00900C91" w:rsidP="002E1D56">
      <w:pPr>
        <w:spacing w:after="0" w:line="240" w:lineRule="auto"/>
        <w:ind w:right="6"/>
        <w:jc w:val="both"/>
        <w:rPr>
          <w:rFonts w:eastAsia="Calibri" w:cs="Calibri"/>
          <w:lang w:eastAsia="it-IT"/>
        </w:rPr>
      </w:pPr>
      <w:r w:rsidRPr="002E1D56">
        <w:t>Le informazioni sulla posologia e sulle modalità di somministrazione sono riportate nel Riassunto delle Caratteristiche del Prodotto pubblicato sul sito dell’Agenz</w:t>
      </w:r>
      <w:r w:rsidR="00D66637" w:rsidRPr="002E1D56">
        <w:t xml:space="preserve">ia Italiana del Farmaco - AIFA </w:t>
      </w:r>
      <w:r w:rsidRPr="002E1D56">
        <w:rPr>
          <w:rFonts w:eastAsia="Calibri" w:cs="Calibri"/>
          <w:lang w:eastAsia="it-IT"/>
        </w:rPr>
        <w:t>(</w:t>
      </w:r>
      <w:hyperlink r:id="rId8" w:history="1">
        <w:r w:rsidRPr="002E1D56">
          <w:rPr>
            <w:rStyle w:val="Collegamentoipertestuale"/>
            <w:rFonts w:eastAsia="Calibri" w:cs="Calibri"/>
            <w:lang w:eastAsia="it-IT"/>
          </w:rPr>
          <w:t>https://farmaci.agenziafarmaco.gov.it/bancadatifarmaci</w:t>
        </w:r>
      </w:hyperlink>
      <w:r w:rsidRPr="002E1D56">
        <w:rPr>
          <w:rFonts w:eastAsia="Calibri" w:cs="Calibri"/>
          <w:lang w:eastAsia="it-IT"/>
        </w:rPr>
        <w:t>).</w:t>
      </w:r>
    </w:p>
    <w:p w:rsidR="00900C91" w:rsidRPr="002E1D56" w:rsidRDefault="00900C91" w:rsidP="002E1D56">
      <w:pPr>
        <w:spacing w:after="0" w:line="240" w:lineRule="auto"/>
        <w:ind w:right="6"/>
        <w:jc w:val="both"/>
        <w:rPr>
          <w:rFonts w:eastAsia="Calibri" w:cs="Calibri"/>
          <w:lang w:eastAsia="it-IT"/>
        </w:rPr>
      </w:pPr>
    </w:p>
    <w:p w:rsidR="00900C91" w:rsidRPr="002E1D56" w:rsidRDefault="00900C91" w:rsidP="002E1D56">
      <w:pPr>
        <w:spacing w:after="0" w:line="240" w:lineRule="auto"/>
        <w:ind w:right="6"/>
        <w:jc w:val="both"/>
        <w:rPr>
          <w:rFonts w:eastAsia="Calibri" w:cs="Calibri"/>
          <w:b/>
          <w:lang w:eastAsia="it-IT"/>
        </w:rPr>
      </w:pPr>
      <w:r w:rsidRPr="002E1D56">
        <w:rPr>
          <w:rFonts w:eastAsia="Calibri" w:cs="Calibri"/>
          <w:b/>
          <w:lang w:eastAsia="it-IT"/>
        </w:rPr>
        <w:t>Tossicologia</w:t>
      </w:r>
    </w:p>
    <w:p w:rsidR="00900C91" w:rsidRPr="002E1D56" w:rsidRDefault="00900C91" w:rsidP="002E1D56">
      <w:pPr>
        <w:spacing w:after="0" w:line="240" w:lineRule="auto"/>
        <w:ind w:right="6"/>
        <w:jc w:val="both"/>
        <w:rPr>
          <w:rFonts w:eastAsia="Calibri" w:cs="Calibri"/>
          <w:lang w:eastAsia="it-IT"/>
        </w:rPr>
      </w:pPr>
      <w:r w:rsidRPr="002E1D56">
        <w:rPr>
          <w:rFonts w:eastAsia="Calibri" w:cs="Calibri"/>
          <w:lang w:eastAsia="it-IT"/>
        </w:rPr>
        <w:t xml:space="preserve">La tossicologia di </w:t>
      </w:r>
      <w:proofErr w:type="spellStart"/>
      <w:r w:rsidR="006951D9" w:rsidRPr="002E1D56">
        <w:t>fentanil</w:t>
      </w:r>
      <w:proofErr w:type="spellEnd"/>
      <w:r w:rsidRPr="002E1D56">
        <w:t xml:space="preserve"> </w:t>
      </w:r>
      <w:r w:rsidRPr="002E1D56">
        <w:rPr>
          <w:rFonts w:eastAsia="Calibri" w:cs="Calibri"/>
          <w:lang w:eastAsia="it-IT"/>
        </w:rPr>
        <w:t>è ben conosciuta; non è stato necessario presentare ulteriori dati.</w:t>
      </w:r>
    </w:p>
    <w:p w:rsidR="00900C91" w:rsidRPr="002E1D56" w:rsidRDefault="00900C91" w:rsidP="002E1D56">
      <w:pPr>
        <w:spacing w:after="0" w:line="240" w:lineRule="auto"/>
        <w:ind w:right="6"/>
        <w:jc w:val="both"/>
        <w:rPr>
          <w:rFonts w:eastAsia="Calibri" w:cs="Calibri"/>
          <w:lang w:eastAsia="it-IT"/>
        </w:rPr>
      </w:pPr>
    </w:p>
    <w:p w:rsidR="00900C91" w:rsidRPr="002E1D56" w:rsidRDefault="00900C91" w:rsidP="002E1D56">
      <w:pPr>
        <w:spacing w:after="0" w:line="240" w:lineRule="auto"/>
        <w:ind w:right="6"/>
        <w:jc w:val="both"/>
        <w:rPr>
          <w:rFonts w:eastAsia="Times New Roman" w:cs="Times New Roman"/>
          <w:b/>
        </w:rPr>
      </w:pPr>
      <w:r w:rsidRPr="002E1D56">
        <w:rPr>
          <w:rFonts w:eastAsia="Times New Roman" w:cs="Times New Roman"/>
          <w:b/>
        </w:rPr>
        <w:t>Farmacologia clinica</w:t>
      </w:r>
    </w:p>
    <w:p w:rsidR="00900C91" w:rsidRPr="002E1D56" w:rsidRDefault="00900C91" w:rsidP="002E1D56">
      <w:pPr>
        <w:spacing w:after="0" w:line="240" w:lineRule="auto"/>
        <w:jc w:val="both"/>
      </w:pPr>
      <w:r w:rsidRPr="002E1D56">
        <w:rPr>
          <w:rFonts w:eastAsia="Calibri" w:cs="Calibri"/>
          <w:lang w:eastAsia="it-IT"/>
        </w:rPr>
        <w:t xml:space="preserve">La farmacologia clinica di </w:t>
      </w:r>
      <w:proofErr w:type="spellStart"/>
      <w:r w:rsidR="006951D9" w:rsidRPr="002E1D56">
        <w:t>fentanil</w:t>
      </w:r>
      <w:proofErr w:type="spellEnd"/>
      <w:r w:rsidR="00A2288E" w:rsidRPr="002E1D56">
        <w:rPr>
          <w:rFonts w:eastAsia="Calibri" w:cs="Calibri"/>
          <w:lang w:eastAsia="it-IT"/>
        </w:rPr>
        <w:t xml:space="preserve"> </w:t>
      </w:r>
      <w:r w:rsidRPr="002E1D56">
        <w:rPr>
          <w:rFonts w:eastAsia="Calibri" w:cs="Calibri"/>
          <w:lang w:eastAsia="it-IT"/>
        </w:rPr>
        <w:t>è ben conosciuta.</w:t>
      </w:r>
      <w:r w:rsidRPr="002E1D56">
        <w:t xml:space="preserve"> Con l’eccezione dello studio di bioequivalenza, non sono stati condotti nuovi studi clinici di farmacodinamica e farmacocinetica, in quanto </w:t>
      </w:r>
      <w:proofErr w:type="spellStart"/>
      <w:r w:rsidR="006951D9" w:rsidRPr="002E1D56">
        <w:t>Fentanyl</w:t>
      </w:r>
      <w:proofErr w:type="spellEnd"/>
      <w:r w:rsidR="006951D9" w:rsidRPr="002E1D56">
        <w:t xml:space="preserve"> </w:t>
      </w:r>
      <w:proofErr w:type="spellStart"/>
      <w:r w:rsidR="006951D9" w:rsidRPr="002E1D56">
        <w:t>Noventia</w:t>
      </w:r>
      <w:proofErr w:type="spellEnd"/>
      <w:r w:rsidR="006951D9" w:rsidRPr="002E1D56">
        <w:t xml:space="preserve"> </w:t>
      </w:r>
      <w:proofErr w:type="spellStart"/>
      <w:r w:rsidR="006951D9" w:rsidRPr="002E1D56">
        <w:t>Pharma</w:t>
      </w:r>
      <w:proofErr w:type="spellEnd"/>
      <w:r w:rsidRPr="002E1D56">
        <w:t xml:space="preserve"> contiene </w:t>
      </w:r>
      <w:r w:rsidR="00A2288E" w:rsidRPr="002E1D56">
        <w:t>un</w:t>
      </w:r>
      <w:r w:rsidRPr="002E1D56">
        <w:t xml:space="preserve"> principi</w:t>
      </w:r>
      <w:r w:rsidR="00A2288E" w:rsidRPr="002E1D56">
        <w:t>o</w:t>
      </w:r>
      <w:r w:rsidRPr="002E1D56">
        <w:t xml:space="preserve"> attiv</w:t>
      </w:r>
      <w:r w:rsidR="00A2288E" w:rsidRPr="002E1D56">
        <w:t>o</w:t>
      </w:r>
      <w:r w:rsidRPr="002E1D56">
        <w:t xml:space="preserve"> not</w:t>
      </w:r>
      <w:r w:rsidR="00A2288E" w:rsidRPr="002E1D56">
        <w:t>o</w:t>
      </w:r>
      <w:r w:rsidRPr="002E1D56">
        <w:t xml:space="preserve"> e present</w:t>
      </w:r>
      <w:r w:rsidR="00A2288E" w:rsidRPr="002E1D56">
        <w:t>e</w:t>
      </w:r>
      <w:r w:rsidRPr="002E1D56">
        <w:t xml:space="preserve"> </w:t>
      </w:r>
      <w:r w:rsidR="00072257" w:rsidRPr="002E1D56">
        <w:t>nel</w:t>
      </w:r>
      <w:r w:rsidRPr="002E1D56">
        <w:t xml:space="preserve"> medicinal</w:t>
      </w:r>
      <w:r w:rsidR="00072257" w:rsidRPr="002E1D56">
        <w:t>e</w:t>
      </w:r>
      <w:r w:rsidRPr="002E1D56">
        <w:t xml:space="preserve"> </w:t>
      </w:r>
      <w:r w:rsidR="00290E26" w:rsidRPr="002E1D56">
        <w:t xml:space="preserve">di riferimento </w:t>
      </w:r>
      <w:proofErr w:type="spellStart"/>
      <w:r w:rsidR="003F0485" w:rsidRPr="002E1D56">
        <w:t>Durogesic</w:t>
      </w:r>
      <w:proofErr w:type="spellEnd"/>
      <w:r w:rsidRPr="002E1D56">
        <w:t xml:space="preserve"> autorizzat</w:t>
      </w:r>
      <w:r w:rsidR="00072257" w:rsidRPr="002E1D56">
        <w:t>o</w:t>
      </w:r>
      <w:r w:rsidR="00D33431" w:rsidRPr="002E1D56">
        <w:t xml:space="preserve"> in Italia </w:t>
      </w:r>
      <w:r w:rsidRPr="002E1D56">
        <w:t>da più di 10 anni.</w:t>
      </w:r>
    </w:p>
    <w:p w:rsidR="00900C91" w:rsidRPr="002E1D56" w:rsidRDefault="00900C91" w:rsidP="002E1D56">
      <w:pPr>
        <w:spacing w:after="0" w:line="240" w:lineRule="auto"/>
        <w:jc w:val="both"/>
      </w:pPr>
    </w:p>
    <w:p w:rsidR="00900C91" w:rsidRPr="002E1D56" w:rsidRDefault="00900C91" w:rsidP="002E1D56">
      <w:pPr>
        <w:spacing w:after="0" w:line="240" w:lineRule="auto"/>
        <w:jc w:val="both"/>
        <w:rPr>
          <w:b/>
        </w:rPr>
      </w:pPr>
      <w:r w:rsidRPr="002E1D56">
        <w:rPr>
          <w:b/>
        </w:rPr>
        <w:t>Studio di bioequivalenza</w:t>
      </w:r>
    </w:p>
    <w:p w:rsidR="0021251B" w:rsidRPr="002E1D56" w:rsidRDefault="0021251B" w:rsidP="002E1D56">
      <w:pPr>
        <w:spacing w:after="0" w:line="240" w:lineRule="auto"/>
        <w:jc w:val="both"/>
      </w:pPr>
      <w:r w:rsidRPr="002E1D56">
        <w:t xml:space="preserve">La richiesta di AIC è supportata da </w:t>
      </w:r>
      <w:r w:rsidR="00184DBA">
        <w:t>tre</w:t>
      </w:r>
      <w:r w:rsidRPr="002E1D56">
        <w:t xml:space="preserve"> studi di bioequivalenza</w:t>
      </w:r>
      <w:r w:rsidR="00184DBA">
        <w:t xml:space="preserve"> (due in dose singola, uno in dose ripetuta)</w:t>
      </w:r>
      <w:r w:rsidRPr="002E1D56">
        <w:t xml:space="preserve"> che ha</w:t>
      </w:r>
      <w:r w:rsidR="00184DBA">
        <w:t>nno</w:t>
      </w:r>
      <w:r w:rsidRPr="002E1D56">
        <w:t xml:space="preserve"> confrontato i profili farmacocinetici di </w:t>
      </w:r>
      <w:proofErr w:type="spellStart"/>
      <w:r w:rsidR="006951D9" w:rsidRPr="002E1D56">
        <w:t>Fentanyl</w:t>
      </w:r>
      <w:proofErr w:type="spellEnd"/>
      <w:r w:rsidR="006951D9" w:rsidRPr="002E1D56">
        <w:t xml:space="preserve"> </w:t>
      </w:r>
      <w:proofErr w:type="spellStart"/>
      <w:r w:rsidR="006951D9" w:rsidRPr="002E1D56">
        <w:t>Noventia</w:t>
      </w:r>
      <w:proofErr w:type="spellEnd"/>
      <w:r w:rsidR="006951D9" w:rsidRPr="002E1D56">
        <w:t xml:space="preserve"> </w:t>
      </w:r>
      <w:proofErr w:type="spellStart"/>
      <w:r w:rsidR="006951D9" w:rsidRPr="002E1D56">
        <w:t>Pharma</w:t>
      </w:r>
      <w:proofErr w:type="spellEnd"/>
      <w:r w:rsidRPr="002E1D56">
        <w:t xml:space="preserve"> e quelli del medicinale di riferimento </w:t>
      </w:r>
      <w:proofErr w:type="spellStart"/>
      <w:r w:rsidR="003F0485" w:rsidRPr="002E1D56">
        <w:t>Durogesic</w:t>
      </w:r>
      <w:proofErr w:type="spellEnd"/>
      <w:r w:rsidRPr="002E1D56">
        <w:t xml:space="preserve"> autorizzato in Italia.</w:t>
      </w:r>
    </w:p>
    <w:p w:rsidR="0021251B" w:rsidRPr="002E1D56" w:rsidRDefault="00184DBA" w:rsidP="002E1D56">
      <w:pPr>
        <w:pStyle w:val="Paragrafoelenco"/>
        <w:spacing w:after="0" w:line="240" w:lineRule="auto"/>
        <w:ind w:left="0"/>
        <w:jc w:val="both"/>
      </w:pPr>
      <w:r>
        <w:t>Gli studi</w:t>
      </w:r>
      <w:r w:rsidR="0021251B" w:rsidRPr="002E1D56">
        <w:t xml:space="preserve"> era</w:t>
      </w:r>
      <w:r>
        <w:t>no</w:t>
      </w:r>
      <w:r w:rsidR="0021251B" w:rsidRPr="002E1D56">
        <w:t xml:space="preserve"> caratterizzat</w:t>
      </w:r>
      <w:r>
        <w:t>i</w:t>
      </w:r>
      <w:r w:rsidR="0021251B" w:rsidRPr="002E1D56">
        <w:t xml:space="preserve"> da un appropriato disegno e </w:t>
      </w:r>
      <w:r>
        <w:t xml:space="preserve">sono </w:t>
      </w:r>
      <w:r w:rsidR="0021251B" w:rsidRPr="002E1D56">
        <w:t>stat</w:t>
      </w:r>
      <w:r>
        <w:t>i</w:t>
      </w:r>
      <w:r w:rsidR="0021251B" w:rsidRPr="002E1D56">
        <w:t xml:space="preserve"> condott</w:t>
      </w:r>
      <w:r>
        <w:t>i</w:t>
      </w:r>
      <w:r w:rsidR="0021251B" w:rsidRPr="002E1D56">
        <w:t xml:space="preserve"> in accordo ai principi GCP. Sono stati forniti certificati analitici per medicinale test e medicinale di riferimento.</w:t>
      </w:r>
    </w:p>
    <w:p w:rsidR="0021251B" w:rsidRDefault="0021251B" w:rsidP="00D37CD1">
      <w:pPr>
        <w:spacing w:after="0" w:line="240" w:lineRule="auto"/>
        <w:jc w:val="both"/>
      </w:pPr>
      <w:r w:rsidRPr="002E1D56">
        <w:rPr>
          <w:rFonts w:ascii="Calibri" w:hAnsi="Calibri"/>
        </w:rPr>
        <w:t>L’utilizzo del solo d</w:t>
      </w:r>
      <w:r w:rsidRPr="00360D3C">
        <w:rPr>
          <w:rFonts w:ascii="Calibri" w:hAnsi="Calibri"/>
        </w:rPr>
        <w:t xml:space="preserve">osaggio </w:t>
      </w:r>
      <w:r w:rsidRPr="00360D3C">
        <w:t>maggiore (</w:t>
      </w:r>
      <w:r w:rsidR="002E1D56">
        <w:t>100 microgrammi/ora</w:t>
      </w:r>
      <w:r w:rsidRPr="00360D3C">
        <w:t>) per lo studio di bioequivalenza è stato opportunamente giustificato.</w:t>
      </w:r>
      <w:r w:rsidRPr="00926819">
        <w:t xml:space="preserve"> </w:t>
      </w:r>
    </w:p>
    <w:p w:rsidR="00184DBA" w:rsidRDefault="00184DBA" w:rsidP="00D37CD1">
      <w:pPr>
        <w:spacing w:after="0" w:line="240" w:lineRule="auto"/>
        <w:jc w:val="both"/>
      </w:pPr>
    </w:p>
    <w:p w:rsidR="00184DBA" w:rsidRPr="00184DBA" w:rsidRDefault="00184DBA" w:rsidP="00184DBA">
      <w:pPr>
        <w:pStyle w:val="Paragrafoelenco"/>
        <w:numPr>
          <w:ilvl w:val="0"/>
          <w:numId w:val="9"/>
        </w:numPr>
        <w:spacing w:after="0" w:line="240" w:lineRule="auto"/>
        <w:jc w:val="both"/>
        <w:rPr>
          <w:rFonts w:ascii="Calibri" w:hAnsi="Calibri"/>
          <w:u w:val="single"/>
        </w:rPr>
      </w:pPr>
      <w:r w:rsidRPr="00184DBA">
        <w:rPr>
          <w:rFonts w:ascii="Calibri" w:hAnsi="Calibri"/>
          <w:u w:val="single"/>
        </w:rPr>
        <w:t>Studio in dose singola</w:t>
      </w:r>
    </w:p>
    <w:p w:rsidR="0021251B" w:rsidRDefault="0021251B" w:rsidP="00D37CD1">
      <w:pPr>
        <w:spacing w:after="0" w:line="240" w:lineRule="auto"/>
        <w:jc w:val="both"/>
        <w:rPr>
          <w:rFonts w:cs="Arial"/>
        </w:rPr>
      </w:pPr>
      <w:r w:rsidRPr="00D37CD1">
        <w:t xml:space="preserve">Lo studio di bioequivalenza è uno studio comparativo, controllato,  randomizzato, </w:t>
      </w:r>
      <w:r w:rsidR="002E1D56" w:rsidRPr="00D37CD1">
        <w:t xml:space="preserve">replicato, </w:t>
      </w:r>
      <w:r w:rsidRPr="00D37CD1">
        <w:t xml:space="preserve">a dose singola, </w:t>
      </w:r>
      <w:r w:rsidR="002E1D56" w:rsidRPr="00D37CD1">
        <w:t>4</w:t>
      </w:r>
      <w:r w:rsidRPr="00D37CD1">
        <w:t xml:space="preserve">-periodi, crossover condotto in </w:t>
      </w:r>
      <w:r w:rsidR="002E1D56" w:rsidRPr="00D37CD1">
        <w:t>28 volontari sani</w:t>
      </w:r>
      <w:r w:rsidR="00373C51">
        <w:t>, uomini e donne</w:t>
      </w:r>
      <w:r w:rsidRPr="00D37CD1">
        <w:rPr>
          <w:rFonts w:cs="Arial"/>
        </w:rPr>
        <w:t>.</w:t>
      </w:r>
      <w:r w:rsidR="00373C51">
        <w:rPr>
          <w:rFonts w:cs="Arial"/>
        </w:rPr>
        <w:t xml:space="preserve"> </w:t>
      </w:r>
      <w:r w:rsidRPr="00D37CD1">
        <w:t xml:space="preserve">Un soddisfacente periodo di wash-out di </w:t>
      </w:r>
      <w:r w:rsidR="00360D3C" w:rsidRPr="00D37CD1">
        <w:rPr>
          <w:rFonts w:cs="Arial"/>
        </w:rPr>
        <w:t>5</w:t>
      </w:r>
      <w:r w:rsidRPr="00D37CD1">
        <w:rPr>
          <w:rFonts w:cs="Arial"/>
        </w:rPr>
        <w:t xml:space="preserve"> giorni è stato previsto tra le somministrazioni in ogni gruppo.</w:t>
      </w:r>
    </w:p>
    <w:p w:rsidR="00373C51" w:rsidRDefault="00373C51" w:rsidP="00D37CD1">
      <w:pPr>
        <w:spacing w:after="0" w:line="240" w:lineRule="auto"/>
        <w:jc w:val="both"/>
        <w:rPr>
          <w:rFonts w:cs="Arial"/>
        </w:rPr>
      </w:pPr>
      <w:r w:rsidRPr="00373C51">
        <w:rPr>
          <w:rFonts w:cs="Arial"/>
        </w:rPr>
        <w:t xml:space="preserve">Durante ogni trattamento, sono stati somministrati a ciascun soggetto 50 mg di </w:t>
      </w:r>
      <w:proofErr w:type="spellStart"/>
      <w:r w:rsidRPr="00373C51">
        <w:rPr>
          <w:rFonts w:cs="Arial"/>
        </w:rPr>
        <w:t>naltrexone</w:t>
      </w:r>
      <w:proofErr w:type="spellEnd"/>
      <w:r w:rsidRPr="00373C51">
        <w:rPr>
          <w:rFonts w:cs="Arial"/>
        </w:rPr>
        <w:t xml:space="preserve"> 2 volte al giorno come protezione da effetti eccessivi da oppi</w:t>
      </w:r>
      <w:r>
        <w:rPr>
          <w:rFonts w:cs="Arial"/>
        </w:rPr>
        <w:t>a</w:t>
      </w:r>
      <w:r w:rsidRPr="00373C51">
        <w:rPr>
          <w:rFonts w:cs="Arial"/>
        </w:rPr>
        <w:t>cei.</w:t>
      </w:r>
    </w:p>
    <w:p w:rsidR="00373C51" w:rsidRPr="00373C51" w:rsidRDefault="00373C51" w:rsidP="00D37CD1">
      <w:pPr>
        <w:spacing w:after="0" w:line="240" w:lineRule="auto"/>
        <w:jc w:val="both"/>
        <w:rPr>
          <w:rFonts w:cs="Arial"/>
        </w:rPr>
      </w:pPr>
      <w:r>
        <w:rPr>
          <w:rFonts w:cs="Arial"/>
        </w:rPr>
        <w:t xml:space="preserve">I cerotti rimossi sono stati analizzati per l’analisi del contenuto residuo di </w:t>
      </w:r>
      <w:proofErr w:type="spellStart"/>
      <w:r>
        <w:rPr>
          <w:rFonts w:cs="Arial"/>
        </w:rPr>
        <w:t>fentanil</w:t>
      </w:r>
      <w:proofErr w:type="spellEnd"/>
      <w:r>
        <w:rPr>
          <w:rFonts w:cs="Arial"/>
        </w:rPr>
        <w:t>.</w:t>
      </w:r>
    </w:p>
    <w:p w:rsidR="0021251B" w:rsidRPr="00D37CD1" w:rsidRDefault="0021251B" w:rsidP="00D37CD1">
      <w:pPr>
        <w:pStyle w:val="Paragrafoelenco"/>
        <w:spacing w:after="0" w:line="240" w:lineRule="auto"/>
        <w:ind w:left="0"/>
        <w:jc w:val="both"/>
        <w:rPr>
          <w:rFonts w:cs="Arial"/>
        </w:rPr>
      </w:pPr>
      <w:r w:rsidRPr="00D37CD1">
        <w:rPr>
          <w:rFonts w:cs="Arial"/>
        </w:rPr>
        <w:t>Campioni di sangue sono stati prelevati al tempo zero (</w:t>
      </w:r>
      <w:proofErr w:type="spellStart"/>
      <w:r w:rsidRPr="00D37CD1">
        <w:rPr>
          <w:rFonts w:cs="Arial"/>
        </w:rPr>
        <w:t>pre-dose</w:t>
      </w:r>
      <w:proofErr w:type="spellEnd"/>
      <w:r w:rsidRPr="00D37CD1">
        <w:rPr>
          <w:rFonts w:cs="Arial"/>
        </w:rPr>
        <w:t xml:space="preserve">) e a specificati tempi fino a </w:t>
      </w:r>
      <w:r w:rsidR="002E1D56" w:rsidRPr="00D37CD1">
        <w:rPr>
          <w:rFonts w:cs="Arial"/>
        </w:rPr>
        <w:t>72</w:t>
      </w:r>
      <w:r w:rsidRPr="00D37CD1">
        <w:rPr>
          <w:rFonts w:cs="Arial"/>
        </w:rPr>
        <w:t xml:space="preserve"> ore dopo </w:t>
      </w:r>
      <w:r w:rsidR="002E1D56" w:rsidRPr="00D37CD1">
        <w:rPr>
          <w:rFonts w:cs="Arial"/>
        </w:rPr>
        <w:t>l’</w:t>
      </w:r>
      <w:r w:rsidR="00D37CD1" w:rsidRPr="00D37CD1">
        <w:rPr>
          <w:rFonts w:cs="Arial"/>
        </w:rPr>
        <w:t>applicazione del cerotto; il cerotto veniva rimosso dopo 72 ore dall’applicazione e i prelievi continuavano fino a 120 ore</w:t>
      </w:r>
      <w:r w:rsidRPr="00D37CD1">
        <w:rPr>
          <w:rFonts w:cs="Arial"/>
        </w:rPr>
        <w:t xml:space="preserve">. I livelli plasmatici </w:t>
      </w:r>
      <w:r w:rsidR="00D66637" w:rsidRPr="00D37CD1">
        <w:rPr>
          <w:rFonts w:cs="Arial"/>
        </w:rPr>
        <w:t xml:space="preserve">del </w:t>
      </w:r>
      <w:r w:rsidRPr="00D37CD1">
        <w:rPr>
          <w:rFonts w:cs="Arial"/>
        </w:rPr>
        <w:t xml:space="preserve"> principi</w:t>
      </w:r>
      <w:r w:rsidR="00D66637" w:rsidRPr="00D37CD1">
        <w:rPr>
          <w:rFonts w:cs="Arial"/>
        </w:rPr>
        <w:t>o</w:t>
      </w:r>
      <w:r w:rsidRPr="00D37CD1">
        <w:rPr>
          <w:rFonts w:cs="Arial"/>
        </w:rPr>
        <w:t xml:space="preserve"> attiv</w:t>
      </w:r>
      <w:r w:rsidR="00D66637" w:rsidRPr="00D37CD1">
        <w:rPr>
          <w:rFonts w:cs="Arial"/>
        </w:rPr>
        <w:t xml:space="preserve">o </w:t>
      </w:r>
      <w:proofErr w:type="spellStart"/>
      <w:r w:rsidR="006951D9" w:rsidRPr="00D37CD1">
        <w:rPr>
          <w:rFonts w:cs="Arial"/>
        </w:rPr>
        <w:t>fentanil</w:t>
      </w:r>
      <w:proofErr w:type="spellEnd"/>
      <w:r w:rsidR="00D66637" w:rsidRPr="00D37CD1">
        <w:rPr>
          <w:rFonts w:cs="Arial"/>
        </w:rPr>
        <w:t xml:space="preserve"> </w:t>
      </w:r>
      <w:r w:rsidRPr="00D37CD1">
        <w:rPr>
          <w:rFonts w:cs="Arial"/>
        </w:rPr>
        <w:t>sono stati determinati mediante un metodo analitico HPLC-MS-MS opportunamente convalidato.</w:t>
      </w:r>
    </w:p>
    <w:p w:rsidR="00D37CD1" w:rsidRPr="00D37CD1" w:rsidRDefault="0021251B" w:rsidP="00D37CD1">
      <w:pPr>
        <w:pStyle w:val="Text"/>
        <w:spacing w:line="240" w:lineRule="auto"/>
        <w:ind w:left="0"/>
        <w:rPr>
          <w:rFonts w:asciiTheme="minorHAnsi" w:hAnsiTheme="minorHAnsi"/>
          <w:sz w:val="22"/>
          <w:szCs w:val="22"/>
          <w:lang w:val="it-IT"/>
        </w:rPr>
      </w:pPr>
      <w:r w:rsidRPr="00D37CD1">
        <w:rPr>
          <w:rFonts w:asciiTheme="minorHAnsi" w:hAnsiTheme="minorHAnsi"/>
          <w:sz w:val="22"/>
          <w:szCs w:val="22"/>
        </w:rPr>
        <w:t xml:space="preserve">Le </w:t>
      </w:r>
      <w:proofErr w:type="spellStart"/>
      <w:r w:rsidRPr="00D37CD1">
        <w:rPr>
          <w:rFonts w:asciiTheme="minorHAnsi" w:hAnsiTheme="minorHAnsi"/>
          <w:sz w:val="22"/>
          <w:szCs w:val="22"/>
        </w:rPr>
        <w:t>variabili</w:t>
      </w:r>
      <w:proofErr w:type="spellEnd"/>
      <w:r w:rsidRPr="00D37CD1">
        <w:rPr>
          <w:rFonts w:asciiTheme="minorHAnsi" w:hAnsiTheme="minorHAnsi"/>
          <w:sz w:val="22"/>
          <w:szCs w:val="22"/>
        </w:rPr>
        <w:t xml:space="preserve"> </w:t>
      </w:r>
      <w:proofErr w:type="spellStart"/>
      <w:r w:rsidRPr="00D37CD1">
        <w:rPr>
          <w:rFonts w:asciiTheme="minorHAnsi" w:hAnsiTheme="minorHAnsi"/>
          <w:sz w:val="22"/>
          <w:szCs w:val="22"/>
        </w:rPr>
        <w:t>farmacocinetiche</w:t>
      </w:r>
      <w:proofErr w:type="spellEnd"/>
      <w:r w:rsidRPr="00D37CD1">
        <w:rPr>
          <w:rFonts w:asciiTheme="minorHAnsi" w:hAnsiTheme="minorHAnsi"/>
          <w:sz w:val="22"/>
          <w:szCs w:val="22"/>
        </w:rPr>
        <w:t xml:space="preserve"> definite </w:t>
      </w:r>
      <w:proofErr w:type="spellStart"/>
      <w:r w:rsidRPr="00D37CD1">
        <w:rPr>
          <w:rFonts w:asciiTheme="minorHAnsi" w:hAnsiTheme="minorHAnsi"/>
          <w:sz w:val="22"/>
          <w:szCs w:val="22"/>
        </w:rPr>
        <w:t>sono</w:t>
      </w:r>
      <w:proofErr w:type="spellEnd"/>
      <w:r w:rsidRPr="00D37CD1">
        <w:rPr>
          <w:rFonts w:asciiTheme="minorHAnsi" w:hAnsiTheme="minorHAnsi"/>
          <w:sz w:val="22"/>
          <w:szCs w:val="22"/>
        </w:rPr>
        <w:t xml:space="preserve"> </w:t>
      </w:r>
      <w:proofErr w:type="spellStart"/>
      <w:r w:rsidRPr="00D37CD1">
        <w:rPr>
          <w:rFonts w:asciiTheme="minorHAnsi" w:hAnsiTheme="minorHAnsi"/>
          <w:sz w:val="22"/>
          <w:szCs w:val="22"/>
        </w:rPr>
        <w:t>state</w:t>
      </w:r>
      <w:proofErr w:type="spellEnd"/>
      <w:r w:rsidRPr="00D37CD1">
        <w:rPr>
          <w:rFonts w:asciiTheme="minorHAnsi" w:hAnsiTheme="minorHAnsi"/>
          <w:sz w:val="22"/>
          <w:szCs w:val="22"/>
        </w:rPr>
        <w:t xml:space="preserve">: </w:t>
      </w:r>
      <w:proofErr w:type="spellStart"/>
      <w:r w:rsidR="00D37CD1" w:rsidRPr="00D37CD1">
        <w:rPr>
          <w:rFonts w:asciiTheme="minorHAnsi" w:hAnsiTheme="minorHAnsi"/>
          <w:sz w:val="22"/>
          <w:szCs w:val="22"/>
          <w:lang w:val="it-IT"/>
        </w:rPr>
        <w:t>C</w:t>
      </w:r>
      <w:r w:rsidR="00D37CD1" w:rsidRPr="00D37CD1">
        <w:rPr>
          <w:rFonts w:asciiTheme="minorHAnsi" w:hAnsiTheme="minorHAnsi"/>
          <w:sz w:val="22"/>
          <w:szCs w:val="22"/>
          <w:vertAlign w:val="subscript"/>
          <w:lang w:val="it-IT"/>
        </w:rPr>
        <w:t>max</w:t>
      </w:r>
      <w:proofErr w:type="spellEnd"/>
      <w:r w:rsidR="00D37CD1" w:rsidRPr="00D37CD1">
        <w:rPr>
          <w:rFonts w:asciiTheme="minorHAnsi" w:hAnsiTheme="minorHAnsi"/>
          <w:sz w:val="22"/>
          <w:szCs w:val="22"/>
          <w:lang w:val="it-IT"/>
        </w:rPr>
        <w:t xml:space="preserve">,  </w:t>
      </w:r>
      <w:proofErr w:type="spellStart"/>
      <w:r w:rsidR="00D37CD1" w:rsidRPr="00D37CD1">
        <w:rPr>
          <w:rFonts w:asciiTheme="minorHAnsi" w:hAnsiTheme="minorHAnsi"/>
          <w:sz w:val="22"/>
          <w:szCs w:val="22"/>
          <w:lang w:val="it-IT"/>
        </w:rPr>
        <w:t>t</w:t>
      </w:r>
      <w:r w:rsidR="00D37CD1" w:rsidRPr="00D37CD1">
        <w:rPr>
          <w:rFonts w:asciiTheme="minorHAnsi" w:hAnsiTheme="minorHAnsi"/>
          <w:sz w:val="22"/>
          <w:szCs w:val="22"/>
          <w:vertAlign w:val="subscript"/>
          <w:lang w:val="it-IT"/>
        </w:rPr>
        <w:t>max</w:t>
      </w:r>
      <w:proofErr w:type="spellEnd"/>
      <w:r w:rsidR="00D37CD1" w:rsidRPr="00D37CD1">
        <w:rPr>
          <w:rFonts w:asciiTheme="minorHAnsi" w:hAnsiTheme="minorHAnsi"/>
          <w:sz w:val="22"/>
          <w:szCs w:val="22"/>
          <w:lang w:val="it-IT"/>
        </w:rPr>
        <w:t xml:space="preserve"> </w:t>
      </w:r>
      <w:proofErr w:type="spellStart"/>
      <w:r w:rsidR="00D37CD1" w:rsidRPr="00D37CD1">
        <w:rPr>
          <w:rFonts w:asciiTheme="minorHAnsi" w:hAnsiTheme="minorHAnsi"/>
          <w:sz w:val="22"/>
          <w:szCs w:val="22"/>
          <w:lang w:val="it-IT"/>
        </w:rPr>
        <w:t>Ct</w:t>
      </w:r>
      <w:proofErr w:type="spellEnd"/>
      <w:r w:rsidR="00D37CD1" w:rsidRPr="00D37CD1">
        <w:rPr>
          <w:rFonts w:asciiTheme="minorHAnsi" w:hAnsiTheme="minorHAnsi"/>
          <w:sz w:val="22"/>
          <w:szCs w:val="22"/>
          <w:lang w:val="it-IT"/>
        </w:rPr>
        <w:t xml:space="preserve">, </w:t>
      </w:r>
      <w:r w:rsidR="00D37CD1" w:rsidRPr="00D37CD1">
        <w:rPr>
          <w:rFonts w:asciiTheme="minorHAnsi" w:hAnsiTheme="minorHAnsi"/>
          <w:sz w:val="22"/>
          <w:szCs w:val="22"/>
          <w:lang w:val="en-GB"/>
        </w:rPr>
        <w:t>λ</w:t>
      </w:r>
      <w:r w:rsidR="00D37CD1" w:rsidRPr="00D37CD1">
        <w:rPr>
          <w:rFonts w:asciiTheme="minorHAnsi" w:hAnsiTheme="minorHAnsi"/>
          <w:sz w:val="22"/>
          <w:szCs w:val="22"/>
          <w:lang w:val="it-IT"/>
        </w:rPr>
        <w:t>z, t</w:t>
      </w:r>
      <w:r w:rsidR="00D37CD1" w:rsidRPr="00D37CD1">
        <w:rPr>
          <w:rFonts w:asciiTheme="minorHAnsi" w:hAnsiTheme="minorHAnsi"/>
          <w:sz w:val="22"/>
          <w:szCs w:val="22"/>
          <w:vertAlign w:val="subscript"/>
          <w:lang w:val="it-IT"/>
        </w:rPr>
        <w:t>1/2</w:t>
      </w:r>
      <w:r w:rsidR="00D37CD1" w:rsidRPr="00D37CD1">
        <w:rPr>
          <w:rFonts w:asciiTheme="minorHAnsi" w:hAnsiTheme="minorHAnsi"/>
          <w:sz w:val="22"/>
          <w:szCs w:val="22"/>
          <w:lang w:val="it-IT"/>
        </w:rPr>
        <w:t xml:space="preserve">, AUCT </w:t>
      </w:r>
      <w:r w:rsidR="00D37CD1">
        <w:rPr>
          <w:rFonts w:asciiTheme="minorHAnsi" w:hAnsiTheme="minorHAnsi"/>
          <w:sz w:val="22"/>
          <w:szCs w:val="22"/>
          <w:lang w:val="it-IT"/>
        </w:rPr>
        <w:t>e</w:t>
      </w:r>
      <w:r w:rsidR="00D37CD1" w:rsidRPr="00D37CD1">
        <w:rPr>
          <w:rFonts w:asciiTheme="minorHAnsi" w:hAnsiTheme="minorHAnsi"/>
          <w:sz w:val="22"/>
          <w:szCs w:val="22"/>
          <w:lang w:val="it-IT"/>
        </w:rPr>
        <w:t xml:space="preserve"> AUC.</w:t>
      </w:r>
    </w:p>
    <w:p w:rsidR="0021251B" w:rsidRPr="00D37CD1" w:rsidRDefault="0021251B" w:rsidP="00D37CD1">
      <w:pPr>
        <w:pStyle w:val="Paragrafoelenco"/>
        <w:spacing w:after="0" w:line="240" w:lineRule="auto"/>
        <w:ind w:left="0"/>
        <w:jc w:val="both"/>
        <w:rPr>
          <w:rFonts w:cs="Arial"/>
        </w:rPr>
      </w:pPr>
      <w:r w:rsidRPr="00D37CD1">
        <w:rPr>
          <w:rFonts w:cs="Arial"/>
        </w:rPr>
        <w:t xml:space="preserve">La bioequivalenza tra medicinale test e medicinale di riferimento è dimostrata se gli intervalli di confidenza al 90% per la trasformata logaritmica di  </w:t>
      </w:r>
      <w:proofErr w:type="spellStart"/>
      <w:r w:rsidRPr="00D37CD1">
        <w:rPr>
          <w:rFonts w:cs="Arial"/>
        </w:rPr>
        <w:t>C</w:t>
      </w:r>
      <w:r w:rsidRPr="00D37CD1">
        <w:rPr>
          <w:rFonts w:cs="Arial"/>
          <w:vertAlign w:val="subscript"/>
        </w:rPr>
        <w:t>max</w:t>
      </w:r>
      <w:proofErr w:type="spellEnd"/>
      <w:r w:rsidRPr="00D37CD1">
        <w:rPr>
          <w:rFonts w:cs="Arial"/>
        </w:rPr>
        <w:t xml:space="preserve">, </w:t>
      </w:r>
      <w:r w:rsidR="00D37CD1" w:rsidRPr="00D37CD1">
        <w:t xml:space="preserve">AUCT </w:t>
      </w:r>
      <w:r w:rsidR="00D37CD1">
        <w:t>e</w:t>
      </w:r>
      <w:r w:rsidR="00D37CD1" w:rsidRPr="00D37CD1">
        <w:t xml:space="preserve"> AUC</w:t>
      </w:r>
      <w:r w:rsidR="00D37CD1" w:rsidRPr="00D37CD1">
        <w:rPr>
          <w:rFonts w:cs="Arial"/>
        </w:rPr>
        <w:t xml:space="preserve"> </w:t>
      </w:r>
      <w:r w:rsidRPr="00D37CD1">
        <w:rPr>
          <w:rFonts w:cs="Arial"/>
        </w:rPr>
        <w:t xml:space="preserve">cadono nel </w:t>
      </w:r>
      <w:proofErr w:type="spellStart"/>
      <w:r w:rsidRPr="00D37CD1">
        <w:rPr>
          <w:rFonts w:cs="Arial"/>
        </w:rPr>
        <w:t>range</w:t>
      </w:r>
      <w:proofErr w:type="spellEnd"/>
      <w:r w:rsidRPr="00D37CD1">
        <w:rPr>
          <w:rFonts w:cs="Arial"/>
        </w:rPr>
        <w:t xml:space="preserve"> di accettabilità di 0.80-1.25 (80%-125%).</w:t>
      </w:r>
    </w:p>
    <w:p w:rsidR="0021251B" w:rsidRPr="00D37CD1" w:rsidRDefault="0021251B" w:rsidP="00D37CD1">
      <w:pPr>
        <w:pStyle w:val="Paragrafoelenco"/>
        <w:spacing w:after="0" w:line="240" w:lineRule="auto"/>
        <w:ind w:left="0"/>
        <w:jc w:val="both"/>
        <w:rPr>
          <w:highlight w:val="yellow"/>
        </w:rPr>
      </w:pPr>
    </w:p>
    <w:p w:rsidR="0021251B" w:rsidRPr="00D37CD1" w:rsidRDefault="0021251B" w:rsidP="00D37CD1">
      <w:pPr>
        <w:pStyle w:val="Paragrafoelenco"/>
        <w:spacing w:after="0" w:line="240" w:lineRule="auto"/>
        <w:ind w:left="0"/>
        <w:jc w:val="both"/>
        <w:rPr>
          <w:u w:val="single"/>
        </w:rPr>
      </w:pPr>
      <w:r w:rsidRPr="00D37CD1">
        <w:rPr>
          <w:u w:val="single"/>
        </w:rPr>
        <w:t>Risultati</w:t>
      </w:r>
    </w:p>
    <w:p w:rsidR="0021251B" w:rsidRPr="00D37CD1" w:rsidRDefault="00D37CD1" w:rsidP="00D37CD1">
      <w:pPr>
        <w:pStyle w:val="Paragrafoelenco"/>
        <w:spacing w:after="0" w:line="240" w:lineRule="auto"/>
        <w:ind w:left="0"/>
        <w:jc w:val="both"/>
        <w:rPr>
          <w:rFonts w:cs="Arial"/>
        </w:rPr>
      </w:pPr>
      <w:r>
        <w:rPr>
          <w:rFonts w:cs="Arial"/>
        </w:rPr>
        <w:t>28</w:t>
      </w:r>
      <w:r w:rsidR="0021251B" w:rsidRPr="00D37CD1">
        <w:rPr>
          <w:rFonts w:cs="Arial"/>
        </w:rPr>
        <w:t xml:space="preserve"> volontari sani sono stati arruolati </w:t>
      </w:r>
      <w:r w:rsidR="00D66637" w:rsidRPr="00D37CD1">
        <w:rPr>
          <w:rFonts w:cs="Arial"/>
        </w:rPr>
        <w:t>nello studio</w:t>
      </w:r>
      <w:r w:rsidR="0021251B" w:rsidRPr="00D37CD1">
        <w:rPr>
          <w:rFonts w:cs="Arial"/>
        </w:rPr>
        <w:t xml:space="preserve">. </w:t>
      </w:r>
      <w:r>
        <w:rPr>
          <w:rFonts w:cs="Arial"/>
        </w:rPr>
        <w:t>27</w:t>
      </w:r>
      <w:r w:rsidR="00D66637" w:rsidRPr="00D37CD1">
        <w:rPr>
          <w:rFonts w:cs="Arial"/>
        </w:rPr>
        <w:t xml:space="preserve"> </w:t>
      </w:r>
      <w:r w:rsidR="0021251B" w:rsidRPr="00D37CD1">
        <w:rPr>
          <w:rFonts w:cs="Arial"/>
        </w:rPr>
        <w:t>soggetti hanno completato lo studio e sono stati inclusi nell’analisi farmacocinetica.</w:t>
      </w:r>
    </w:p>
    <w:p w:rsidR="0021251B" w:rsidRDefault="0021251B" w:rsidP="0021251B">
      <w:pPr>
        <w:spacing w:after="0" w:line="240" w:lineRule="auto"/>
        <w:rPr>
          <w:highlight w:val="yellow"/>
        </w:rPr>
      </w:pPr>
    </w:p>
    <w:p w:rsidR="006C448B" w:rsidRPr="00DA7FA7" w:rsidRDefault="006C448B" w:rsidP="006C448B">
      <w:pPr>
        <w:pStyle w:val="Didascalia"/>
        <w:keepNext/>
        <w:spacing w:before="0" w:after="0"/>
        <w:jc w:val="both"/>
        <w:outlineLvl w:val="0"/>
        <w:rPr>
          <w:rFonts w:ascii="Calibri" w:hAnsi="Calibri" w:cs="Arial"/>
          <w:b w:val="0"/>
          <w:sz w:val="22"/>
          <w:szCs w:val="22"/>
          <w:lang w:val="it-IT"/>
        </w:rPr>
      </w:pPr>
      <w:r w:rsidRPr="00DA7FA7">
        <w:rPr>
          <w:rFonts w:ascii="Calibri" w:hAnsi="Calibri" w:cs="Arial"/>
          <w:b w:val="0"/>
          <w:i/>
          <w:sz w:val="22"/>
          <w:szCs w:val="22"/>
          <w:lang w:val="it-IT"/>
        </w:rPr>
        <w:lastRenderedPageBreak/>
        <w:t>Sicurezza</w:t>
      </w:r>
    </w:p>
    <w:p w:rsidR="006C448B" w:rsidRPr="00DA7FA7" w:rsidRDefault="006C448B" w:rsidP="006C448B">
      <w:pPr>
        <w:pStyle w:val="Didascalia"/>
        <w:keepNext/>
        <w:spacing w:before="0" w:after="0"/>
        <w:jc w:val="both"/>
        <w:outlineLvl w:val="0"/>
        <w:rPr>
          <w:rFonts w:ascii="Calibri" w:hAnsi="Calibri" w:cs="Arial"/>
          <w:b w:val="0"/>
          <w:sz w:val="22"/>
          <w:szCs w:val="22"/>
          <w:lang w:val="it-IT"/>
        </w:rPr>
      </w:pPr>
      <w:r>
        <w:rPr>
          <w:rFonts w:ascii="Calibri" w:hAnsi="Calibri" w:cs="Arial"/>
          <w:b w:val="0"/>
          <w:sz w:val="22"/>
          <w:szCs w:val="22"/>
          <w:lang w:val="it-IT"/>
        </w:rPr>
        <w:t>Durante lo studio n</w:t>
      </w:r>
      <w:r w:rsidRPr="00DA7FA7">
        <w:rPr>
          <w:rFonts w:ascii="Calibri" w:hAnsi="Calibri" w:cs="Arial"/>
          <w:b w:val="0"/>
          <w:sz w:val="22"/>
          <w:szCs w:val="22"/>
          <w:lang w:val="it-IT"/>
        </w:rPr>
        <w:t>on sono stati rilevati eventi avversi gravi.</w:t>
      </w:r>
    </w:p>
    <w:p w:rsidR="006C448B" w:rsidRDefault="006C448B" w:rsidP="006C448B">
      <w:pPr>
        <w:spacing w:after="0" w:line="240" w:lineRule="auto"/>
        <w:jc w:val="both"/>
      </w:pPr>
      <w:r w:rsidRPr="00DA7FA7">
        <w:rPr>
          <w:rFonts w:ascii="Calibri" w:hAnsi="Calibri" w:cs="Arial"/>
        </w:rPr>
        <w:t xml:space="preserve">Nel corso dello studio,venivano riscontrati </w:t>
      </w:r>
      <w:r>
        <w:rPr>
          <w:rFonts w:ascii="Calibri" w:hAnsi="Calibri" w:cs="Arial"/>
        </w:rPr>
        <w:t xml:space="preserve">in totale </w:t>
      </w:r>
      <w:r>
        <w:t>41</w:t>
      </w:r>
      <w:r w:rsidRPr="00DA7FA7">
        <w:t xml:space="preserve"> eventi avversi giudicati possibilmente correlati con le formulazioni in studio, ed erano tutti di entità lieve o moderata.</w:t>
      </w:r>
    </w:p>
    <w:p w:rsidR="006C448B" w:rsidRPr="00DA7FA7" w:rsidRDefault="006C448B" w:rsidP="00F347A1">
      <w:pPr>
        <w:spacing w:after="0" w:line="240" w:lineRule="auto"/>
        <w:jc w:val="both"/>
      </w:pPr>
      <w:r>
        <w:t>La maggioranza di questi eventi erano relativi a mal di testa, nausea, brachicardia, vomito, reazioni al sito di applicazione del cerotto.</w:t>
      </w:r>
      <w:r w:rsidRPr="00DA7FA7">
        <w:t xml:space="preserve"> Gli eventi avversi sono stati simili tra medicinale test e medicinal</w:t>
      </w:r>
      <w:r>
        <w:t>e</w:t>
      </w:r>
      <w:r w:rsidRPr="00DA7FA7">
        <w:t xml:space="preserve"> di riferimento. </w:t>
      </w:r>
    </w:p>
    <w:p w:rsidR="006C448B" w:rsidRDefault="006C448B" w:rsidP="00F347A1">
      <w:pPr>
        <w:spacing w:after="0" w:line="240" w:lineRule="auto"/>
        <w:rPr>
          <w:highlight w:val="yellow"/>
        </w:rPr>
      </w:pPr>
    </w:p>
    <w:p w:rsidR="00D37CD1" w:rsidRPr="006C448B" w:rsidRDefault="006C448B" w:rsidP="00F347A1">
      <w:pPr>
        <w:spacing w:after="0" w:line="240" w:lineRule="auto"/>
        <w:rPr>
          <w:i/>
        </w:rPr>
      </w:pPr>
      <w:r w:rsidRPr="006C448B">
        <w:rPr>
          <w:i/>
        </w:rPr>
        <w:t>Tollerabilità locale</w:t>
      </w:r>
    </w:p>
    <w:p w:rsidR="006C448B" w:rsidRPr="00F347A1" w:rsidRDefault="006C448B" w:rsidP="00F347A1">
      <w:pPr>
        <w:spacing w:after="0" w:line="240" w:lineRule="auto"/>
      </w:pPr>
      <w:r w:rsidRPr="00F347A1">
        <w:t>Non sono state rilevate reazioni gravi, ma solo leggera irritazione cutanea dopo la rimozione del cerotto. In generale, entrambi i trattamenti, con medicinale test e con medicinale di riferimento</w:t>
      </w:r>
      <w:r w:rsidR="00F347A1" w:rsidRPr="00F347A1">
        <w:t>,</w:t>
      </w:r>
      <w:r w:rsidR="00F347A1">
        <w:t xml:space="preserve"> sono ben tollerati.</w:t>
      </w:r>
    </w:p>
    <w:p w:rsidR="006C448B" w:rsidRDefault="006C448B" w:rsidP="00F347A1">
      <w:pPr>
        <w:tabs>
          <w:tab w:val="num" w:pos="0"/>
        </w:tabs>
        <w:spacing w:after="0" w:line="240" w:lineRule="auto"/>
        <w:rPr>
          <w:highlight w:val="cyan"/>
        </w:rPr>
      </w:pPr>
    </w:p>
    <w:p w:rsidR="00F347A1" w:rsidRPr="00F347A1" w:rsidRDefault="00F347A1" w:rsidP="00F347A1">
      <w:pPr>
        <w:tabs>
          <w:tab w:val="num" w:pos="0"/>
        </w:tabs>
        <w:spacing w:after="0" w:line="240" w:lineRule="auto"/>
        <w:rPr>
          <w:i/>
        </w:rPr>
      </w:pPr>
      <w:r w:rsidRPr="00F347A1">
        <w:rPr>
          <w:i/>
        </w:rPr>
        <w:t>Adesività</w:t>
      </w:r>
    </w:p>
    <w:p w:rsidR="00F347A1" w:rsidRPr="00F347A1" w:rsidRDefault="00F347A1" w:rsidP="00F347A1">
      <w:pPr>
        <w:tabs>
          <w:tab w:val="num" w:pos="0"/>
        </w:tabs>
        <w:spacing w:after="0" w:line="240" w:lineRule="auto"/>
      </w:pPr>
      <w:r w:rsidRPr="00F347A1">
        <w:t>Non sono state rilevate significative differenze di adesività tra cerotto test e cerotto di riferimento, anche se il primo ha mostrato una adesività leggermente migliore.</w:t>
      </w:r>
    </w:p>
    <w:p w:rsidR="00F347A1" w:rsidRDefault="00F347A1" w:rsidP="00F347A1">
      <w:pPr>
        <w:pStyle w:val="Didascalia"/>
        <w:keepNext/>
        <w:spacing w:before="0" w:after="0"/>
        <w:jc w:val="both"/>
        <w:outlineLvl w:val="0"/>
        <w:rPr>
          <w:rFonts w:asciiTheme="minorHAnsi" w:hAnsiTheme="minorHAnsi" w:cs="Arial"/>
          <w:b w:val="0"/>
          <w:i/>
          <w:sz w:val="22"/>
          <w:szCs w:val="22"/>
          <w:lang w:val="it-IT"/>
        </w:rPr>
      </w:pPr>
    </w:p>
    <w:p w:rsidR="0021251B" w:rsidRPr="00D37CD1" w:rsidRDefault="0021251B" w:rsidP="00F347A1">
      <w:pPr>
        <w:pStyle w:val="Didascalia"/>
        <w:keepNext/>
        <w:spacing w:before="0" w:after="0"/>
        <w:jc w:val="both"/>
        <w:outlineLvl w:val="0"/>
        <w:rPr>
          <w:rFonts w:asciiTheme="minorHAnsi" w:hAnsiTheme="minorHAnsi" w:cs="Arial"/>
          <w:b w:val="0"/>
          <w:sz w:val="22"/>
          <w:szCs w:val="22"/>
          <w:lang w:val="it-IT"/>
        </w:rPr>
      </w:pPr>
      <w:r w:rsidRPr="00D37CD1">
        <w:rPr>
          <w:rFonts w:asciiTheme="minorHAnsi" w:hAnsiTheme="minorHAnsi" w:cs="Arial"/>
          <w:b w:val="0"/>
          <w:i/>
          <w:sz w:val="22"/>
          <w:szCs w:val="22"/>
          <w:lang w:val="it-IT"/>
        </w:rPr>
        <w:t>Parametri farmacocinetici</w:t>
      </w:r>
      <w:r w:rsidRPr="00D37CD1">
        <w:rPr>
          <w:rFonts w:asciiTheme="minorHAnsi" w:hAnsiTheme="minorHAnsi" w:cs="Arial"/>
          <w:b w:val="0"/>
          <w:sz w:val="22"/>
          <w:szCs w:val="22"/>
          <w:lang w:val="it-IT"/>
        </w:rPr>
        <w:t xml:space="preserve">. </w:t>
      </w:r>
    </w:p>
    <w:p w:rsidR="0021251B" w:rsidRPr="00D37CD1" w:rsidRDefault="0021251B" w:rsidP="00F347A1">
      <w:pPr>
        <w:pStyle w:val="Didascalia"/>
        <w:keepNext/>
        <w:spacing w:before="0" w:after="0"/>
        <w:jc w:val="both"/>
        <w:outlineLvl w:val="0"/>
        <w:rPr>
          <w:rFonts w:asciiTheme="minorHAnsi" w:hAnsiTheme="minorHAnsi" w:cs="Arial"/>
          <w:b w:val="0"/>
          <w:sz w:val="22"/>
          <w:szCs w:val="22"/>
          <w:lang w:val="it-IT"/>
        </w:rPr>
      </w:pPr>
      <w:r w:rsidRPr="00D37CD1">
        <w:rPr>
          <w:rFonts w:asciiTheme="minorHAnsi" w:hAnsiTheme="minorHAnsi" w:cs="Arial"/>
          <w:b w:val="0"/>
          <w:sz w:val="22"/>
          <w:szCs w:val="22"/>
          <w:lang w:val="it-IT"/>
        </w:rPr>
        <w:t>La sintesi dei risultati dello studio di bioequivalenza è riportata nella tabella che segue.</w:t>
      </w:r>
    </w:p>
    <w:p w:rsidR="0021251B" w:rsidRPr="00D37CD1" w:rsidRDefault="0021251B" w:rsidP="00F347A1">
      <w:pPr>
        <w:pStyle w:val="Paragrafoelenco"/>
        <w:spacing w:after="0" w:line="240" w:lineRule="auto"/>
        <w:ind w:left="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4A0"/>
      </w:tblPr>
      <w:tblGrid>
        <w:gridCol w:w="1531"/>
        <w:gridCol w:w="1713"/>
        <w:gridCol w:w="2091"/>
        <w:gridCol w:w="1475"/>
        <w:gridCol w:w="2377"/>
      </w:tblGrid>
      <w:tr w:rsidR="0021251B" w:rsidRPr="00D37CD1" w:rsidTr="00541BCB">
        <w:trPr>
          <w:trHeight w:val="247"/>
          <w:jc w:val="center"/>
        </w:trPr>
        <w:tc>
          <w:tcPr>
            <w:tcW w:w="9187" w:type="dxa"/>
            <w:gridSpan w:val="5"/>
            <w:tcBorders>
              <w:top w:val="single" w:sz="4" w:space="0" w:color="auto"/>
              <w:left w:val="single" w:sz="4" w:space="0" w:color="auto"/>
              <w:bottom w:val="single" w:sz="4" w:space="0" w:color="auto"/>
              <w:right w:val="single" w:sz="4" w:space="0" w:color="auto"/>
            </w:tcBorders>
            <w:vAlign w:val="center"/>
            <w:hideMark/>
          </w:tcPr>
          <w:p w:rsidR="0021251B" w:rsidRPr="00D37CD1" w:rsidRDefault="006951D9" w:rsidP="00F347A1">
            <w:pPr>
              <w:spacing w:after="0" w:line="240" w:lineRule="auto"/>
              <w:jc w:val="center"/>
              <w:rPr>
                <w:rFonts w:cs="Arial"/>
                <w:b/>
                <w:bCs/>
                <w:sz w:val="20"/>
                <w:szCs w:val="20"/>
              </w:rPr>
            </w:pPr>
            <w:r w:rsidRPr="00D37CD1">
              <w:rPr>
                <w:rFonts w:cs="Arial"/>
                <w:b/>
                <w:bCs/>
                <w:sz w:val="20"/>
                <w:szCs w:val="20"/>
              </w:rPr>
              <w:t>FENTANIL</w:t>
            </w:r>
          </w:p>
        </w:tc>
      </w:tr>
      <w:tr w:rsidR="0021251B" w:rsidRPr="00D37CD1" w:rsidTr="00F347A1">
        <w:trPr>
          <w:trHeight w:val="227"/>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21251B" w:rsidRPr="00D37CD1" w:rsidRDefault="0021251B" w:rsidP="00F347A1">
            <w:pPr>
              <w:spacing w:after="0" w:line="240" w:lineRule="auto"/>
              <w:jc w:val="center"/>
              <w:rPr>
                <w:rFonts w:cs="Arial"/>
                <w:b/>
                <w:sz w:val="20"/>
                <w:szCs w:val="20"/>
              </w:rPr>
            </w:pPr>
            <w:r w:rsidRPr="00D37CD1">
              <w:rPr>
                <w:rFonts w:cs="Arial"/>
                <w:b/>
                <w:sz w:val="20"/>
                <w:szCs w:val="20"/>
              </w:rPr>
              <w:t>Parametro</w:t>
            </w:r>
          </w:p>
        </w:tc>
        <w:tc>
          <w:tcPr>
            <w:tcW w:w="1713" w:type="dxa"/>
            <w:tcBorders>
              <w:top w:val="single" w:sz="4" w:space="0" w:color="auto"/>
              <w:left w:val="single" w:sz="4" w:space="0" w:color="auto"/>
              <w:bottom w:val="single" w:sz="4" w:space="0" w:color="auto"/>
              <w:right w:val="single" w:sz="4" w:space="0" w:color="auto"/>
            </w:tcBorders>
            <w:vAlign w:val="bottom"/>
            <w:hideMark/>
          </w:tcPr>
          <w:p w:rsidR="0021251B" w:rsidRPr="00D37CD1" w:rsidRDefault="0021251B" w:rsidP="00F347A1">
            <w:pPr>
              <w:spacing w:after="0" w:line="240" w:lineRule="auto"/>
              <w:jc w:val="center"/>
              <w:rPr>
                <w:rFonts w:cs="Arial"/>
                <w:b/>
                <w:sz w:val="20"/>
                <w:szCs w:val="20"/>
              </w:rPr>
            </w:pPr>
            <w:r w:rsidRPr="00D37CD1">
              <w:rPr>
                <w:rFonts w:cs="Arial"/>
                <w:b/>
                <w:sz w:val="20"/>
                <w:szCs w:val="20"/>
              </w:rPr>
              <w:t>Test [LSM]</w:t>
            </w:r>
          </w:p>
        </w:tc>
        <w:tc>
          <w:tcPr>
            <w:tcW w:w="2091" w:type="dxa"/>
            <w:tcBorders>
              <w:top w:val="single" w:sz="4" w:space="0" w:color="auto"/>
              <w:left w:val="single" w:sz="4" w:space="0" w:color="auto"/>
              <w:bottom w:val="single" w:sz="4" w:space="0" w:color="auto"/>
              <w:right w:val="single" w:sz="4" w:space="0" w:color="auto"/>
            </w:tcBorders>
            <w:vAlign w:val="bottom"/>
            <w:hideMark/>
          </w:tcPr>
          <w:p w:rsidR="0021251B" w:rsidRPr="00D37CD1" w:rsidRDefault="0021251B" w:rsidP="00F347A1">
            <w:pPr>
              <w:spacing w:after="0" w:line="240" w:lineRule="auto"/>
              <w:jc w:val="center"/>
              <w:rPr>
                <w:rFonts w:cs="Arial"/>
                <w:b/>
                <w:sz w:val="20"/>
                <w:szCs w:val="20"/>
              </w:rPr>
            </w:pPr>
            <w:proofErr w:type="spellStart"/>
            <w:r w:rsidRPr="00D37CD1">
              <w:rPr>
                <w:rFonts w:cs="Arial"/>
                <w:b/>
                <w:sz w:val="20"/>
                <w:szCs w:val="20"/>
              </w:rPr>
              <w:t>Reference</w:t>
            </w:r>
            <w:proofErr w:type="spellEnd"/>
            <w:r w:rsidRPr="00D37CD1">
              <w:rPr>
                <w:rFonts w:cs="Arial"/>
                <w:b/>
                <w:sz w:val="20"/>
                <w:szCs w:val="20"/>
              </w:rPr>
              <w:t xml:space="preserve"> [LSM]</w:t>
            </w:r>
          </w:p>
        </w:tc>
        <w:tc>
          <w:tcPr>
            <w:tcW w:w="1475" w:type="dxa"/>
            <w:tcBorders>
              <w:top w:val="single" w:sz="4" w:space="0" w:color="auto"/>
              <w:left w:val="single" w:sz="4" w:space="0" w:color="auto"/>
              <w:bottom w:val="single" w:sz="4" w:space="0" w:color="auto"/>
              <w:right w:val="single" w:sz="4" w:space="0" w:color="auto"/>
            </w:tcBorders>
            <w:vAlign w:val="bottom"/>
            <w:hideMark/>
          </w:tcPr>
          <w:p w:rsidR="0021251B" w:rsidRPr="00D37CD1" w:rsidRDefault="0021251B" w:rsidP="00F347A1">
            <w:pPr>
              <w:spacing w:after="0" w:line="240" w:lineRule="auto"/>
              <w:jc w:val="center"/>
              <w:rPr>
                <w:rFonts w:cs="Arial"/>
                <w:b/>
                <w:sz w:val="20"/>
                <w:szCs w:val="20"/>
              </w:rPr>
            </w:pPr>
            <w:r w:rsidRPr="00D37CD1">
              <w:rPr>
                <w:rFonts w:cs="Arial"/>
                <w:b/>
                <w:sz w:val="20"/>
                <w:szCs w:val="20"/>
              </w:rPr>
              <w:t xml:space="preserve">T/R </w:t>
            </w:r>
            <w:proofErr w:type="spellStart"/>
            <w:r w:rsidRPr="00D37CD1">
              <w:rPr>
                <w:rFonts w:cs="Arial"/>
                <w:b/>
                <w:sz w:val="20"/>
                <w:szCs w:val="20"/>
              </w:rPr>
              <w:t>Ratio</w:t>
            </w:r>
            <w:proofErr w:type="spellEnd"/>
          </w:p>
        </w:tc>
        <w:tc>
          <w:tcPr>
            <w:tcW w:w="2377" w:type="dxa"/>
            <w:tcBorders>
              <w:top w:val="single" w:sz="4" w:space="0" w:color="auto"/>
              <w:left w:val="single" w:sz="4" w:space="0" w:color="auto"/>
              <w:bottom w:val="single" w:sz="4" w:space="0" w:color="auto"/>
              <w:right w:val="single" w:sz="4" w:space="0" w:color="auto"/>
            </w:tcBorders>
            <w:vAlign w:val="bottom"/>
            <w:hideMark/>
          </w:tcPr>
          <w:p w:rsidR="0021251B" w:rsidRPr="00D37CD1" w:rsidRDefault="0021251B" w:rsidP="00F347A1">
            <w:pPr>
              <w:spacing w:after="0" w:line="240" w:lineRule="auto"/>
              <w:jc w:val="center"/>
              <w:rPr>
                <w:rFonts w:cs="Arial"/>
                <w:b/>
                <w:sz w:val="20"/>
                <w:szCs w:val="20"/>
              </w:rPr>
            </w:pPr>
            <w:r w:rsidRPr="00D37CD1">
              <w:rPr>
                <w:rFonts w:cs="Arial"/>
                <w:b/>
                <w:sz w:val="20"/>
                <w:szCs w:val="20"/>
              </w:rPr>
              <w:t>90% C.I.</w:t>
            </w:r>
          </w:p>
        </w:tc>
      </w:tr>
      <w:tr w:rsidR="00D37CD1" w:rsidRPr="00D37CD1" w:rsidTr="00F347A1">
        <w:trPr>
          <w:trHeight w:val="227"/>
          <w:jc w:val="center"/>
        </w:trPr>
        <w:tc>
          <w:tcPr>
            <w:tcW w:w="1531" w:type="dxa"/>
            <w:tcBorders>
              <w:top w:val="single" w:sz="4" w:space="0" w:color="auto"/>
              <w:left w:val="single" w:sz="4" w:space="0" w:color="auto"/>
              <w:bottom w:val="single" w:sz="4" w:space="0" w:color="auto"/>
              <w:right w:val="single" w:sz="4" w:space="0" w:color="auto"/>
            </w:tcBorders>
            <w:hideMark/>
          </w:tcPr>
          <w:p w:rsidR="00D37CD1" w:rsidRPr="00D37CD1" w:rsidRDefault="00D37CD1" w:rsidP="00F347A1">
            <w:pPr>
              <w:spacing w:after="0" w:line="240" w:lineRule="auto"/>
              <w:jc w:val="center"/>
              <w:rPr>
                <w:b/>
                <w:sz w:val="20"/>
                <w:szCs w:val="20"/>
              </w:rPr>
            </w:pPr>
            <w:r w:rsidRPr="00D37CD1">
              <w:rPr>
                <w:b/>
                <w:sz w:val="20"/>
                <w:szCs w:val="20"/>
              </w:rPr>
              <w:t>AUC</w:t>
            </w:r>
          </w:p>
        </w:tc>
        <w:tc>
          <w:tcPr>
            <w:tcW w:w="1713" w:type="dxa"/>
            <w:tcBorders>
              <w:top w:val="single" w:sz="4" w:space="0" w:color="auto"/>
              <w:left w:val="single" w:sz="4" w:space="0" w:color="auto"/>
              <w:bottom w:val="single" w:sz="4" w:space="0" w:color="auto"/>
              <w:right w:val="single" w:sz="4" w:space="0" w:color="auto"/>
            </w:tcBorders>
            <w:hideMark/>
          </w:tcPr>
          <w:p w:rsidR="00D37CD1" w:rsidRPr="00D37CD1" w:rsidRDefault="00D37CD1" w:rsidP="00F347A1">
            <w:pPr>
              <w:pStyle w:val="Rientrocorpodeltesto"/>
              <w:spacing w:after="0"/>
              <w:ind w:left="0"/>
              <w:jc w:val="center"/>
              <w:rPr>
                <w:rFonts w:asciiTheme="minorHAnsi" w:hAnsiTheme="minorHAnsi"/>
              </w:rPr>
            </w:pPr>
            <w:r w:rsidRPr="00D37CD1">
              <w:rPr>
                <w:rFonts w:asciiTheme="minorHAnsi" w:hAnsiTheme="minorHAnsi"/>
              </w:rPr>
              <w:t>157148</w:t>
            </w:r>
          </w:p>
        </w:tc>
        <w:tc>
          <w:tcPr>
            <w:tcW w:w="2091" w:type="dxa"/>
            <w:tcBorders>
              <w:top w:val="single" w:sz="4" w:space="0" w:color="auto"/>
              <w:left w:val="single" w:sz="4" w:space="0" w:color="auto"/>
              <w:bottom w:val="single" w:sz="4" w:space="0" w:color="auto"/>
              <w:right w:val="single" w:sz="4" w:space="0" w:color="auto"/>
            </w:tcBorders>
            <w:hideMark/>
          </w:tcPr>
          <w:p w:rsidR="00D37CD1" w:rsidRPr="00D37CD1" w:rsidRDefault="00D37CD1" w:rsidP="00F347A1">
            <w:pPr>
              <w:pStyle w:val="Rientrocorpodeltesto"/>
              <w:spacing w:after="0"/>
              <w:ind w:left="0"/>
              <w:jc w:val="center"/>
              <w:rPr>
                <w:rFonts w:asciiTheme="minorHAnsi" w:hAnsiTheme="minorHAnsi"/>
              </w:rPr>
            </w:pPr>
            <w:r w:rsidRPr="00D37CD1">
              <w:rPr>
                <w:rFonts w:asciiTheme="minorHAnsi" w:hAnsiTheme="minorHAnsi"/>
              </w:rPr>
              <w:t>167498</w:t>
            </w:r>
          </w:p>
        </w:tc>
        <w:tc>
          <w:tcPr>
            <w:tcW w:w="1475" w:type="dxa"/>
            <w:tcBorders>
              <w:top w:val="single" w:sz="4" w:space="0" w:color="auto"/>
              <w:left w:val="single" w:sz="4" w:space="0" w:color="auto"/>
              <w:bottom w:val="single" w:sz="4" w:space="0" w:color="auto"/>
              <w:right w:val="single" w:sz="4" w:space="0" w:color="auto"/>
            </w:tcBorders>
            <w:hideMark/>
          </w:tcPr>
          <w:p w:rsidR="00D37CD1" w:rsidRPr="00D37CD1" w:rsidRDefault="00D37CD1" w:rsidP="00F347A1">
            <w:pPr>
              <w:pStyle w:val="Rientrocorpodeltesto"/>
              <w:spacing w:after="0"/>
              <w:ind w:left="0"/>
              <w:jc w:val="center"/>
              <w:rPr>
                <w:rFonts w:asciiTheme="minorHAnsi" w:hAnsiTheme="minorHAnsi"/>
              </w:rPr>
            </w:pPr>
            <w:r w:rsidRPr="00D37CD1">
              <w:rPr>
                <w:rFonts w:asciiTheme="minorHAnsi" w:hAnsiTheme="minorHAnsi"/>
              </w:rPr>
              <w:t>0.9382</w:t>
            </w:r>
          </w:p>
        </w:tc>
        <w:tc>
          <w:tcPr>
            <w:tcW w:w="2377" w:type="dxa"/>
            <w:tcBorders>
              <w:top w:val="single" w:sz="4" w:space="0" w:color="auto"/>
              <w:left w:val="single" w:sz="4" w:space="0" w:color="auto"/>
              <w:bottom w:val="single" w:sz="4" w:space="0" w:color="auto"/>
              <w:right w:val="single" w:sz="4" w:space="0" w:color="auto"/>
            </w:tcBorders>
            <w:hideMark/>
          </w:tcPr>
          <w:p w:rsidR="00D37CD1" w:rsidRPr="00D37CD1" w:rsidRDefault="00D37CD1" w:rsidP="00F347A1">
            <w:pPr>
              <w:pStyle w:val="Rientrocorpodeltesto"/>
              <w:spacing w:after="0"/>
              <w:ind w:left="0"/>
              <w:jc w:val="center"/>
              <w:rPr>
                <w:rFonts w:asciiTheme="minorHAnsi" w:hAnsiTheme="minorHAnsi"/>
              </w:rPr>
            </w:pPr>
            <w:r w:rsidRPr="00D37CD1">
              <w:rPr>
                <w:rFonts w:asciiTheme="minorHAnsi" w:hAnsiTheme="minorHAnsi"/>
              </w:rPr>
              <w:t>89.52-99.33</w:t>
            </w:r>
          </w:p>
        </w:tc>
      </w:tr>
      <w:tr w:rsidR="00D37CD1" w:rsidRPr="00D37CD1" w:rsidTr="00F347A1">
        <w:trPr>
          <w:trHeight w:val="227"/>
          <w:jc w:val="center"/>
        </w:trPr>
        <w:tc>
          <w:tcPr>
            <w:tcW w:w="1531" w:type="dxa"/>
            <w:tcBorders>
              <w:top w:val="single" w:sz="4" w:space="0" w:color="auto"/>
              <w:left w:val="single" w:sz="4" w:space="0" w:color="auto"/>
              <w:bottom w:val="single" w:sz="4" w:space="0" w:color="auto"/>
              <w:right w:val="single" w:sz="4" w:space="0" w:color="auto"/>
            </w:tcBorders>
            <w:hideMark/>
          </w:tcPr>
          <w:p w:rsidR="00D37CD1" w:rsidRPr="00D37CD1" w:rsidRDefault="00D37CD1" w:rsidP="00F347A1">
            <w:pPr>
              <w:spacing w:after="0" w:line="240" w:lineRule="auto"/>
              <w:jc w:val="center"/>
              <w:rPr>
                <w:b/>
                <w:sz w:val="20"/>
                <w:szCs w:val="20"/>
              </w:rPr>
            </w:pPr>
            <w:r w:rsidRPr="00D37CD1">
              <w:rPr>
                <w:b/>
                <w:sz w:val="20"/>
                <w:szCs w:val="20"/>
              </w:rPr>
              <w:t>AUCT</w:t>
            </w:r>
          </w:p>
        </w:tc>
        <w:tc>
          <w:tcPr>
            <w:tcW w:w="1713" w:type="dxa"/>
            <w:tcBorders>
              <w:top w:val="single" w:sz="4" w:space="0" w:color="auto"/>
              <w:left w:val="single" w:sz="4" w:space="0" w:color="auto"/>
              <w:bottom w:val="single" w:sz="4" w:space="0" w:color="auto"/>
              <w:right w:val="single" w:sz="4" w:space="0" w:color="auto"/>
            </w:tcBorders>
            <w:hideMark/>
          </w:tcPr>
          <w:p w:rsidR="00D37CD1" w:rsidRPr="00D37CD1" w:rsidRDefault="00D37CD1" w:rsidP="00F347A1">
            <w:pPr>
              <w:pStyle w:val="Rientrocorpodeltesto"/>
              <w:spacing w:after="0"/>
              <w:ind w:left="0"/>
              <w:jc w:val="center"/>
              <w:rPr>
                <w:rFonts w:asciiTheme="minorHAnsi" w:hAnsiTheme="minorHAnsi"/>
              </w:rPr>
            </w:pPr>
            <w:r w:rsidRPr="00D37CD1">
              <w:rPr>
                <w:rFonts w:asciiTheme="minorHAnsi" w:hAnsiTheme="minorHAnsi"/>
              </w:rPr>
              <w:t>141143</w:t>
            </w:r>
          </w:p>
        </w:tc>
        <w:tc>
          <w:tcPr>
            <w:tcW w:w="2091" w:type="dxa"/>
            <w:tcBorders>
              <w:top w:val="single" w:sz="4" w:space="0" w:color="auto"/>
              <w:left w:val="single" w:sz="4" w:space="0" w:color="auto"/>
              <w:bottom w:val="single" w:sz="4" w:space="0" w:color="auto"/>
              <w:right w:val="single" w:sz="4" w:space="0" w:color="auto"/>
            </w:tcBorders>
            <w:hideMark/>
          </w:tcPr>
          <w:p w:rsidR="00D37CD1" w:rsidRPr="00D37CD1" w:rsidRDefault="00D37CD1" w:rsidP="00F347A1">
            <w:pPr>
              <w:pStyle w:val="Rientrocorpodeltesto"/>
              <w:spacing w:after="0"/>
              <w:ind w:left="0"/>
              <w:jc w:val="center"/>
              <w:rPr>
                <w:rFonts w:asciiTheme="minorHAnsi" w:hAnsiTheme="minorHAnsi"/>
              </w:rPr>
            </w:pPr>
            <w:r w:rsidRPr="00D37CD1">
              <w:rPr>
                <w:rFonts w:asciiTheme="minorHAnsi" w:hAnsiTheme="minorHAnsi"/>
              </w:rPr>
              <w:t>150725</w:t>
            </w:r>
          </w:p>
        </w:tc>
        <w:tc>
          <w:tcPr>
            <w:tcW w:w="1475" w:type="dxa"/>
            <w:tcBorders>
              <w:top w:val="single" w:sz="4" w:space="0" w:color="auto"/>
              <w:left w:val="single" w:sz="4" w:space="0" w:color="auto"/>
              <w:bottom w:val="single" w:sz="4" w:space="0" w:color="auto"/>
              <w:right w:val="single" w:sz="4" w:space="0" w:color="auto"/>
            </w:tcBorders>
            <w:hideMark/>
          </w:tcPr>
          <w:p w:rsidR="00D37CD1" w:rsidRPr="00D37CD1" w:rsidRDefault="00D37CD1" w:rsidP="00F347A1">
            <w:pPr>
              <w:pStyle w:val="Rientrocorpodeltesto"/>
              <w:spacing w:after="0"/>
              <w:ind w:left="0"/>
              <w:jc w:val="center"/>
              <w:rPr>
                <w:rFonts w:asciiTheme="minorHAnsi" w:hAnsiTheme="minorHAnsi"/>
              </w:rPr>
            </w:pPr>
            <w:r w:rsidRPr="00D37CD1">
              <w:rPr>
                <w:rFonts w:asciiTheme="minorHAnsi" w:hAnsiTheme="minorHAnsi"/>
              </w:rPr>
              <w:t>0.9364</w:t>
            </w:r>
          </w:p>
        </w:tc>
        <w:tc>
          <w:tcPr>
            <w:tcW w:w="2377" w:type="dxa"/>
            <w:tcBorders>
              <w:top w:val="single" w:sz="4" w:space="0" w:color="auto"/>
              <w:left w:val="single" w:sz="4" w:space="0" w:color="auto"/>
              <w:bottom w:val="single" w:sz="4" w:space="0" w:color="auto"/>
              <w:right w:val="single" w:sz="4" w:space="0" w:color="auto"/>
            </w:tcBorders>
            <w:hideMark/>
          </w:tcPr>
          <w:p w:rsidR="00D37CD1" w:rsidRPr="00D37CD1" w:rsidRDefault="00D37CD1" w:rsidP="00F347A1">
            <w:pPr>
              <w:pStyle w:val="Rientrocorpodeltesto"/>
              <w:spacing w:after="0"/>
              <w:ind w:left="0"/>
              <w:jc w:val="center"/>
              <w:rPr>
                <w:rFonts w:asciiTheme="minorHAnsi" w:hAnsiTheme="minorHAnsi"/>
              </w:rPr>
            </w:pPr>
            <w:r w:rsidRPr="00D37CD1">
              <w:rPr>
                <w:rFonts w:asciiTheme="minorHAnsi" w:hAnsiTheme="minorHAnsi"/>
              </w:rPr>
              <w:t>89.36-98.13</w:t>
            </w:r>
          </w:p>
        </w:tc>
      </w:tr>
      <w:tr w:rsidR="00D37CD1" w:rsidRPr="00D37CD1" w:rsidTr="00F347A1">
        <w:trPr>
          <w:trHeight w:val="227"/>
          <w:jc w:val="center"/>
        </w:trPr>
        <w:tc>
          <w:tcPr>
            <w:tcW w:w="1531" w:type="dxa"/>
            <w:tcBorders>
              <w:top w:val="single" w:sz="4" w:space="0" w:color="auto"/>
              <w:left w:val="single" w:sz="4" w:space="0" w:color="auto"/>
              <w:bottom w:val="single" w:sz="4" w:space="0" w:color="auto"/>
              <w:right w:val="single" w:sz="4" w:space="0" w:color="auto"/>
            </w:tcBorders>
            <w:hideMark/>
          </w:tcPr>
          <w:p w:rsidR="00D37CD1" w:rsidRPr="00D37CD1" w:rsidRDefault="00D37CD1" w:rsidP="00541BCB">
            <w:pPr>
              <w:spacing w:after="0" w:line="240" w:lineRule="auto"/>
              <w:jc w:val="center"/>
              <w:rPr>
                <w:b/>
                <w:sz w:val="20"/>
                <w:szCs w:val="20"/>
              </w:rPr>
            </w:pPr>
            <w:proofErr w:type="spellStart"/>
            <w:r w:rsidRPr="00D37CD1">
              <w:rPr>
                <w:b/>
                <w:sz w:val="20"/>
                <w:szCs w:val="20"/>
              </w:rPr>
              <w:t>C</w:t>
            </w:r>
            <w:r w:rsidRPr="00D37CD1">
              <w:rPr>
                <w:b/>
                <w:sz w:val="20"/>
                <w:szCs w:val="20"/>
                <w:vertAlign w:val="subscript"/>
              </w:rPr>
              <w:t>max</w:t>
            </w:r>
            <w:proofErr w:type="spellEnd"/>
          </w:p>
        </w:tc>
        <w:tc>
          <w:tcPr>
            <w:tcW w:w="1713" w:type="dxa"/>
            <w:tcBorders>
              <w:top w:val="single" w:sz="4" w:space="0" w:color="auto"/>
              <w:left w:val="single" w:sz="4" w:space="0" w:color="auto"/>
              <w:bottom w:val="single" w:sz="4" w:space="0" w:color="auto"/>
              <w:right w:val="single" w:sz="4" w:space="0" w:color="auto"/>
            </w:tcBorders>
            <w:hideMark/>
          </w:tcPr>
          <w:p w:rsidR="00D37CD1" w:rsidRPr="00D37CD1" w:rsidRDefault="00D37CD1" w:rsidP="00541BCB">
            <w:pPr>
              <w:pStyle w:val="Rientrocorpodeltesto"/>
              <w:spacing w:after="0"/>
              <w:ind w:left="0"/>
              <w:jc w:val="center"/>
              <w:rPr>
                <w:rFonts w:asciiTheme="minorHAnsi" w:hAnsiTheme="minorHAnsi"/>
              </w:rPr>
            </w:pPr>
            <w:r w:rsidRPr="00D37CD1">
              <w:rPr>
                <w:rFonts w:asciiTheme="minorHAnsi" w:hAnsiTheme="minorHAnsi"/>
              </w:rPr>
              <w:t>2216.41</w:t>
            </w:r>
          </w:p>
        </w:tc>
        <w:tc>
          <w:tcPr>
            <w:tcW w:w="2091" w:type="dxa"/>
            <w:tcBorders>
              <w:top w:val="single" w:sz="4" w:space="0" w:color="auto"/>
              <w:left w:val="single" w:sz="4" w:space="0" w:color="auto"/>
              <w:bottom w:val="single" w:sz="4" w:space="0" w:color="auto"/>
              <w:right w:val="single" w:sz="4" w:space="0" w:color="auto"/>
            </w:tcBorders>
            <w:hideMark/>
          </w:tcPr>
          <w:p w:rsidR="00D37CD1" w:rsidRPr="00D37CD1" w:rsidRDefault="00D37CD1" w:rsidP="00541BCB">
            <w:pPr>
              <w:pStyle w:val="Rientrocorpodeltesto"/>
              <w:spacing w:after="0"/>
              <w:ind w:left="0"/>
              <w:jc w:val="center"/>
              <w:rPr>
                <w:rFonts w:asciiTheme="minorHAnsi" w:hAnsiTheme="minorHAnsi"/>
              </w:rPr>
            </w:pPr>
            <w:r w:rsidRPr="00D37CD1">
              <w:rPr>
                <w:rFonts w:asciiTheme="minorHAnsi" w:hAnsiTheme="minorHAnsi"/>
              </w:rPr>
              <w:t>2405.87</w:t>
            </w:r>
          </w:p>
        </w:tc>
        <w:tc>
          <w:tcPr>
            <w:tcW w:w="1475" w:type="dxa"/>
            <w:tcBorders>
              <w:top w:val="single" w:sz="4" w:space="0" w:color="auto"/>
              <w:left w:val="single" w:sz="4" w:space="0" w:color="auto"/>
              <w:bottom w:val="single" w:sz="4" w:space="0" w:color="auto"/>
              <w:right w:val="single" w:sz="4" w:space="0" w:color="auto"/>
            </w:tcBorders>
            <w:hideMark/>
          </w:tcPr>
          <w:p w:rsidR="00D37CD1" w:rsidRPr="00D37CD1" w:rsidRDefault="00D37CD1" w:rsidP="00541BCB">
            <w:pPr>
              <w:pStyle w:val="Rientrocorpodeltesto"/>
              <w:spacing w:after="0"/>
              <w:ind w:left="0"/>
              <w:jc w:val="center"/>
              <w:rPr>
                <w:rFonts w:asciiTheme="minorHAnsi" w:hAnsiTheme="minorHAnsi"/>
              </w:rPr>
            </w:pPr>
            <w:r w:rsidRPr="00D37CD1">
              <w:rPr>
                <w:rFonts w:asciiTheme="minorHAnsi" w:hAnsiTheme="minorHAnsi"/>
              </w:rPr>
              <w:t>0.9212</w:t>
            </w:r>
          </w:p>
        </w:tc>
        <w:tc>
          <w:tcPr>
            <w:tcW w:w="2377" w:type="dxa"/>
            <w:tcBorders>
              <w:top w:val="single" w:sz="4" w:space="0" w:color="auto"/>
              <w:left w:val="single" w:sz="4" w:space="0" w:color="auto"/>
              <w:bottom w:val="single" w:sz="4" w:space="0" w:color="auto"/>
              <w:right w:val="single" w:sz="4" w:space="0" w:color="auto"/>
            </w:tcBorders>
            <w:hideMark/>
          </w:tcPr>
          <w:p w:rsidR="00D37CD1" w:rsidRPr="00D37CD1" w:rsidRDefault="00D37CD1" w:rsidP="00541BCB">
            <w:pPr>
              <w:pStyle w:val="Rientrocorpodeltesto"/>
              <w:spacing w:after="0"/>
              <w:ind w:left="0"/>
              <w:jc w:val="center"/>
              <w:rPr>
                <w:rFonts w:asciiTheme="minorHAnsi" w:hAnsiTheme="minorHAnsi"/>
              </w:rPr>
            </w:pPr>
            <w:r w:rsidRPr="00D37CD1">
              <w:rPr>
                <w:rFonts w:asciiTheme="minorHAnsi" w:hAnsiTheme="minorHAnsi"/>
              </w:rPr>
              <w:t>87.12-97.42</w:t>
            </w:r>
          </w:p>
        </w:tc>
      </w:tr>
    </w:tbl>
    <w:p w:rsidR="0021251B" w:rsidRPr="00184DBA" w:rsidRDefault="0021251B" w:rsidP="0021251B">
      <w:pPr>
        <w:spacing w:after="0" w:line="240" w:lineRule="auto"/>
        <w:rPr>
          <w:rFonts w:cs="Arial"/>
          <w:highlight w:val="yellow"/>
          <w:lang w:val="en-GB"/>
        </w:rPr>
      </w:pPr>
    </w:p>
    <w:p w:rsidR="00184DBA" w:rsidRPr="00184DBA" w:rsidRDefault="00184DBA" w:rsidP="0021251B">
      <w:pPr>
        <w:spacing w:after="0" w:line="240" w:lineRule="auto"/>
        <w:rPr>
          <w:rFonts w:cs="Arial"/>
          <w:lang w:val="en-GB"/>
        </w:rPr>
      </w:pPr>
    </w:p>
    <w:p w:rsidR="00184DBA" w:rsidRPr="00184DBA" w:rsidRDefault="00184DBA" w:rsidP="00184DBA">
      <w:pPr>
        <w:pStyle w:val="Paragrafoelenco"/>
        <w:numPr>
          <w:ilvl w:val="0"/>
          <w:numId w:val="9"/>
        </w:numPr>
        <w:spacing w:after="0" w:line="240" w:lineRule="auto"/>
        <w:rPr>
          <w:rFonts w:cs="Arial"/>
          <w:u w:val="single"/>
          <w:lang w:val="en-GB"/>
        </w:rPr>
      </w:pPr>
      <w:r w:rsidRPr="00184DBA">
        <w:rPr>
          <w:rFonts w:cs="Arial"/>
          <w:u w:val="single"/>
          <w:lang w:val="en-GB"/>
        </w:rPr>
        <w:t xml:space="preserve">Studio in dose </w:t>
      </w:r>
      <w:r w:rsidRPr="00184DBA">
        <w:rPr>
          <w:rFonts w:cs="Arial"/>
          <w:u w:val="single"/>
        </w:rPr>
        <w:t>singola</w:t>
      </w:r>
    </w:p>
    <w:p w:rsidR="00184DBA" w:rsidRPr="00E16337" w:rsidRDefault="00184DBA" w:rsidP="00184DBA">
      <w:pPr>
        <w:spacing w:after="0" w:line="240" w:lineRule="auto"/>
        <w:jc w:val="both"/>
        <w:rPr>
          <w:rFonts w:cs="Arial"/>
        </w:rPr>
      </w:pPr>
      <w:r w:rsidRPr="00E16337">
        <w:t xml:space="preserve">Lo studio di bioequivalenza è uno studio comparativo, controllato,  randomizzato, a dose singola, </w:t>
      </w:r>
      <w:r w:rsidR="00373C51" w:rsidRPr="00E16337">
        <w:t>2</w:t>
      </w:r>
      <w:r w:rsidRPr="00E16337">
        <w:t xml:space="preserve">-periodi, crossover condotto in </w:t>
      </w:r>
      <w:r w:rsidR="00373C51" w:rsidRPr="00E16337">
        <w:t>34</w:t>
      </w:r>
      <w:r w:rsidRPr="00E16337">
        <w:t xml:space="preserve"> volontari sani</w:t>
      </w:r>
      <w:r w:rsidR="00373C51" w:rsidRPr="00E16337">
        <w:t>, uomini e donne</w:t>
      </w:r>
      <w:r w:rsidRPr="00E16337">
        <w:rPr>
          <w:rFonts w:cs="Arial"/>
        </w:rPr>
        <w:t>.</w:t>
      </w:r>
      <w:r w:rsidR="00373C51" w:rsidRPr="00E16337">
        <w:rPr>
          <w:rFonts w:cs="Arial"/>
        </w:rPr>
        <w:t xml:space="preserve"> </w:t>
      </w:r>
      <w:r w:rsidRPr="00E16337">
        <w:t xml:space="preserve">Un soddisfacente periodo di wash-out di </w:t>
      </w:r>
      <w:r w:rsidR="00E16337" w:rsidRPr="00E16337">
        <w:rPr>
          <w:rFonts w:cs="Arial"/>
        </w:rPr>
        <w:t>21</w:t>
      </w:r>
      <w:r w:rsidRPr="00E16337">
        <w:rPr>
          <w:rFonts w:cs="Arial"/>
        </w:rPr>
        <w:t xml:space="preserve"> giorni è stato previsto tra le somministrazioni in ogni gruppo.</w:t>
      </w:r>
    </w:p>
    <w:p w:rsidR="00373C51" w:rsidRDefault="00373C51" w:rsidP="00373C51">
      <w:pPr>
        <w:spacing w:after="0" w:line="240" w:lineRule="auto"/>
        <w:jc w:val="both"/>
        <w:rPr>
          <w:rFonts w:cs="Arial"/>
        </w:rPr>
      </w:pPr>
      <w:r w:rsidRPr="00373C51">
        <w:rPr>
          <w:rFonts w:cs="Arial"/>
        </w:rPr>
        <w:t xml:space="preserve">Durante ogni trattamento, sono stati somministrati a ciascun soggetto </w:t>
      </w:r>
      <w:r w:rsidR="00006FEB">
        <w:rPr>
          <w:rFonts w:cs="Arial"/>
        </w:rPr>
        <w:t>25</w:t>
      </w:r>
      <w:r w:rsidRPr="00373C51">
        <w:rPr>
          <w:rFonts w:cs="Arial"/>
        </w:rPr>
        <w:t xml:space="preserve"> mg di </w:t>
      </w:r>
      <w:proofErr w:type="spellStart"/>
      <w:r w:rsidRPr="00373C51">
        <w:rPr>
          <w:rFonts w:cs="Arial"/>
        </w:rPr>
        <w:t>naltrexone</w:t>
      </w:r>
      <w:proofErr w:type="spellEnd"/>
      <w:r w:rsidRPr="00373C51">
        <w:rPr>
          <w:rFonts w:cs="Arial"/>
        </w:rPr>
        <w:t xml:space="preserve"> </w:t>
      </w:r>
      <w:r w:rsidR="00006FEB">
        <w:rPr>
          <w:rFonts w:cs="Arial"/>
        </w:rPr>
        <w:t xml:space="preserve">12 ore prima dell’applicazione del cerotto, 50 mg un’ora prima dell’applicazione, durante il trattamento e dopo la rimozione del cerotto </w:t>
      </w:r>
      <w:r w:rsidRPr="00373C51">
        <w:rPr>
          <w:rFonts w:cs="Arial"/>
        </w:rPr>
        <w:t>come protezione da effetti eccessivi da oppi</w:t>
      </w:r>
      <w:r>
        <w:rPr>
          <w:rFonts w:cs="Arial"/>
        </w:rPr>
        <w:t>a</w:t>
      </w:r>
      <w:r w:rsidRPr="00373C51">
        <w:rPr>
          <w:rFonts w:cs="Arial"/>
        </w:rPr>
        <w:t>cei.</w:t>
      </w:r>
    </w:p>
    <w:p w:rsidR="00184DBA" w:rsidRPr="00E16337" w:rsidRDefault="00184DBA" w:rsidP="00317178">
      <w:pPr>
        <w:pStyle w:val="Paragrafoelenco"/>
        <w:spacing w:after="0" w:line="240" w:lineRule="auto"/>
        <w:ind w:left="0"/>
        <w:jc w:val="both"/>
        <w:rPr>
          <w:rFonts w:cs="Arial"/>
        </w:rPr>
      </w:pPr>
      <w:r w:rsidRPr="00006FEB">
        <w:rPr>
          <w:rFonts w:cs="Arial"/>
        </w:rPr>
        <w:t>Campioni di sangue sono stati prelevati al tempo zero (</w:t>
      </w:r>
      <w:proofErr w:type="spellStart"/>
      <w:r w:rsidRPr="00006FEB">
        <w:rPr>
          <w:rFonts w:cs="Arial"/>
        </w:rPr>
        <w:t>pre-dose</w:t>
      </w:r>
      <w:proofErr w:type="spellEnd"/>
      <w:r w:rsidRPr="00006FEB">
        <w:rPr>
          <w:rFonts w:cs="Arial"/>
        </w:rPr>
        <w:t>) e a specificati tempi fino a 72 ore dopo l’applicazione del cerotto; il cerotto veniva rimosso dopo 72 ore dall’applicazione e i prelievi continuavano fino a 1</w:t>
      </w:r>
      <w:r w:rsidR="00373C51" w:rsidRPr="00006FEB">
        <w:rPr>
          <w:rFonts w:cs="Arial"/>
        </w:rPr>
        <w:t>44</w:t>
      </w:r>
      <w:r w:rsidRPr="00006FEB">
        <w:rPr>
          <w:rFonts w:cs="Arial"/>
        </w:rPr>
        <w:t xml:space="preserve"> ore. I livelli plasmatici del  principio attivo </w:t>
      </w:r>
      <w:proofErr w:type="spellStart"/>
      <w:r w:rsidRPr="00006FEB">
        <w:rPr>
          <w:rFonts w:cs="Arial"/>
        </w:rPr>
        <w:t>fentanil</w:t>
      </w:r>
      <w:proofErr w:type="spellEnd"/>
      <w:r w:rsidRPr="00006FEB">
        <w:rPr>
          <w:rFonts w:cs="Arial"/>
        </w:rPr>
        <w:t xml:space="preserve"> sono stati determinati mediante un metodo </w:t>
      </w:r>
      <w:r w:rsidRPr="00E16337">
        <w:rPr>
          <w:rFonts w:cs="Arial"/>
        </w:rPr>
        <w:t>analitico HPLC-MS-MS opportunamente convalidato.</w:t>
      </w:r>
    </w:p>
    <w:p w:rsidR="00184DBA" w:rsidRPr="00E16337" w:rsidRDefault="00184DBA" w:rsidP="00317178">
      <w:pPr>
        <w:pStyle w:val="Text"/>
        <w:spacing w:line="240" w:lineRule="auto"/>
        <w:ind w:left="0"/>
        <w:jc w:val="both"/>
        <w:rPr>
          <w:rFonts w:asciiTheme="minorHAnsi" w:hAnsiTheme="minorHAnsi"/>
          <w:sz w:val="22"/>
          <w:szCs w:val="22"/>
          <w:lang w:val="it-IT"/>
        </w:rPr>
      </w:pPr>
      <w:r w:rsidRPr="00E16337">
        <w:rPr>
          <w:rFonts w:asciiTheme="minorHAnsi" w:hAnsiTheme="minorHAnsi"/>
          <w:sz w:val="22"/>
          <w:szCs w:val="22"/>
        </w:rPr>
        <w:t xml:space="preserve">Le </w:t>
      </w:r>
      <w:proofErr w:type="spellStart"/>
      <w:r w:rsidRPr="00E16337">
        <w:rPr>
          <w:rFonts w:asciiTheme="minorHAnsi" w:hAnsiTheme="minorHAnsi"/>
          <w:sz w:val="22"/>
          <w:szCs w:val="22"/>
        </w:rPr>
        <w:t>variabili</w:t>
      </w:r>
      <w:proofErr w:type="spellEnd"/>
      <w:r w:rsidRPr="00E16337">
        <w:rPr>
          <w:rFonts w:asciiTheme="minorHAnsi" w:hAnsiTheme="minorHAnsi"/>
          <w:sz w:val="22"/>
          <w:szCs w:val="22"/>
        </w:rPr>
        <w:t xml:space="preserve"> </w:t>
      </w:r>
      <w:proofErr w:type="spellStart"/>
      <w:r w:rsidRPr="00E16337">
        <w:rPr>
          <w:rFonts w:asciiTheme="minorHAnsi" w:hAnsiTheme="minorHAnsi"/>
          <w:sz w:val="22"/>
          <w:szCs w:val="22"/>
        </w:rPr>
        <w:t>farmacocinetiche</w:t>
      </w:r>
      <w:proofErr w:type="spellEnd"/>
      <w:r w:rsidRPr="00E16337">
        <w:rPr>
          <w:rFonts w:asciiTheme="minorHAnsi" w:hAnsiTheme="minorHAnsi"/>
          <w:sz w:val="22"/>
          <w:szCs w:val="22"/>
        </w:rPr>
        <w:t xml:space="preserve"> definite </w:t>
      </w:r>
      <w:proofErr w:type="spellStart"/>
      <w:r w:rsidRPr="00E16337">
        <w:rPr>
          <w:rFonts w:asciiTheme="minorHAnsi" w:hAnsiTheme="minorHAnsi"/>
          <w:sz w:val="22"/>
          <w:szCs w:val="22"/>
        </w:rPr>
        <w:t>sono</w:t>
      </w:r>
      <w:proofErr w:type="spellEnd"/>
      <w:r w:rsidRPr="00E16337">
        <w:rPr>
          <w:rFonts w:asciiTheme="minorHAnsi" w:hAnsiTheme="minorHAnsi"/>
          <w:sz w:val="22"/>
          <w:szCs w:val="22"/>
        </w:rPr>
        <w:t xml:space="preserve"> </w:t>
      </w:r>
      <w:proofErr w:type="spellStart"/>
      <w:r w:rsidRPr="00E16337">
        <w:rPr>
          <w:rFonts w:asciiTheme="minorHAnsi" w:hAnsiTheme="minorHAnsi"/>
          <w:sz w:val="22"/>
          <w:szCs w:val="22"/>
        </w:rPr>
        <w:t>state</w:t>
      </w:r>
      <w:proofErr w:type="spellEnd"/>
      <w:r w:rsidRPr="00E16337">
        <w:rPr>
          <w:rFonts w:asciiTheme="minorHAnsi" w:hAnsiTheme="minorHAnsi"/>
          <w:sz w:val="22"/>
          <w:szCs w:val="22"/>
        </w:rPr>
        <w:t xml:space="preserve">: </w:t>
      </w:r>
      <w:proofErr w:type="spellStart"/>
      <w:r w:rsidR="00317178" w:rsidRPr="00E16337">
        <w:rPr>
          <w:rFonts w:asciiTheme="minorHAnsi" w:hAnsiTheme="minorHAnsi"/>
          <w:sz w:val="22"/>
          <w:szCs w:val="22"/>
          <w:lang w:val="it-IT"/>
        </w:rPr>
        <w:t>C</w:t>
      </w:r>
      <w:r w:rsidR="00317178" w:rsidRPr="00E16337">
        <w:rPr>
          <w:rFonts w:asciiTheme="minorHAnsi" w:hAnsiTheme="minorHAnsi"/>
          <w:sz w:val="22"/>
          <w:szCs w:val="22"/>
          <w:vertAlign w:val="subscript"/>
          <w:lang w:val="it-IT"/>
        </w:rPr>
        <w:t>max</w:t>
      </w:r>
      <w:proofErr w:type="spellEnd"/>
      <w:r w:rsidR="00317178" w:rsidRPr="00E16337">
        <w:rPr>
          <w:rFonts w:asciiTheme="minorHAnsi" w:hAnsiTheme="minorHAnsi"/>
          <w:sz w:val="22"/>
          <w:szCs w:val="22"/>
          <w:lang w:val="it-IT"/>
        </w:rPr>
        <w:t xml:space="preserve">,  </w:t>
      </w:r>
      <w:proofErr w:type="spellStart"/>
      <w:r w:rsidR="00317178" w:rsidRPr="00E16337">
        <w:rPr>
          <w:rFonts w:asciiTheme="minorHAnsi" w:hAnsiTheme="minorHAnsi"/>
          <w:sz w:val="22"/>
          <w:szCs w:val="22"/>
          <w:lang w:val="it-IT"/>
        </w:rPr>
        <w:t>t</w:t>
      </w:r>
      <w:r w:rsidR="00317178" w:rsidRPr="00E16337">
        <w:rPr>
          <w:rFonts w:asciiTheme="minorHAnsi" w:hAnsiTheme="minorHAnsi"/>
          <w:sz w:val="22"/>
          <w:szCs w:val="22"/>
          <w:vertAlign w:val="subscript"/>
          <w:lang w:val="it-IT"/>
        </w:rPr>
        <w:t>max</w:t>
      </w:r>
      <w:proofErr w:type="spellEnd"/>
      <w:r w:rsidR="00317178">
        <w:rPr>
          <w:rFonts w:asciiTheme="minorHAnsi" w:hAnsiTheme="minorHAnsi"/>
          <w:sz w:val="22"/>
          <w:szCs w:val="22"/>
          <w:lang w:val="it-IT"/>
        </w:rPr>
        <w:t>,</w:t>
      </w:r>
      <w:r w:rsidR="00317178" w:rsidRPr="00E16337">
        <w:rPr>
          <w:rFonts w:asciiTheme="minorHAnsi" w:hAnsiTheme="minorHAnsi"/>
          <w:sz w:val="22"/>
          <w:szCs w:val="22"/>
          <w:lang w:val="it-IT"/>
        </w:rPr>
        <w:t xml:space="preserve"> t</w:t>
      </w:r>
      <w:r w:rsidR="00317178" w:rsidRPr="00E16337">
        <w:rPr>
          <w:rFonts w:asciiTheme="minorHAnsi" w:hAnsiTheme="minorHAnsi"/>
          <w:sz w:val="22"/>
          <w:szCs w:val="22"/>
          <w:vertAlign w:val="subscript"/>
          <w:lang w:val="it-IT"/>
        </w:rPr>
        <w:t>1/2</w:t>
      </w:r>
      <w:r w:rsidR="00317178">
        <w:rPr>
          <w:rFonts w:asciiTheme="minorHAnsi" w:hAnsiTheme="minorHAnsi"/>
          <w:sz w:val="22"/>
          <w:szCs w:val="22"/>
          <w:vertAlign w:val="subscript"/>
          <w:lang w:val="it-IT"/>
        </w:rPr>
        <w:t xml:space="preserve"> </w:t>
      </w:r>
      <w:proofErr w:type="spellStart"/>
      <w:r w:rsidR="00317178">
        <w:rPr>
          <w:rFonts w:asciiTheme="minorHAnsi" w:hAnsiTheme="minorHAnsi"/>
          <w:sz w:val="22"/>
          <w:szCs w:val="22"/>
          <w:vertAlign w:val="subscript"/>
          <w:lang w:val="it-IT"/>
        </w:rPr>
        <w:t>el</w:t>
      </w:r>
      <w:proofErr w:type="spellEnd"/>
      <w:r w:rsidR="00317178">
        <w:rPr>
          <w:rFonts w:asciiTheme="minorHAnsi" w:hAnsiTheme="minorHAnsi"/>
          <w:sz w:val="22"/>
          <w:szCs w:val="22"/>
          <w:vertAlign w:val="subscript"/>
          <w:lang w:val="it-IT"/>
        </w:rPr>
        <w:t xml:space="preserve"> </w:t>
      </w:r>
      <w:r w:rsidR="00317178" w:rsidRPr="00E16337">
        <w:rPr>
          <w:rFonts w:asciiTheme="minorHAnsi" w:hAnsiTheme="minorHAnsi"/>
          <w:sz w:val="22"/>
          <w:szCs w:val="22"/>
          <w:lang w:val="it-IT"/>
        </w:rPr>
        <w:t xml:space="preserve">, </w:t>
      </w:r>
      <w:r w:rsidR="00317178">
        <w:rPr>
          <w:rFonts w:asciiTheme="minorHAnsi" w:hAnsiTheme="minorHAnsi"/>
          <w:sz w:val="22"/>
          <w:szCs w:val="22"/>
          <w:lang w:val="it-IT"/>
        </w:rPr>
        <w:t xml:space="preserve">AUC </w:t>
      </w:r>
      <w:r w:rsidR="00317178">
        <w:rPr>
          <w:rFonts w:asciiTheme="minorHAnsi" w:hAnsiTheme="minorHAnsi"/>
          <w:sz w:val="22"/>
          <w:szCs w:val="22"/>
          <w:vertAlign w:val="subscript"/>
          <w:lang w:val="it-IT"/>
        </w:rPr>
        <w:t xml:space="preserve">0-t, </w:t>
      </w:r>
      <w:r w:rsidR="00317178">
        <w:rPr>
          <w:rFonts w:asciiTheme="minorHAnsi" w:hAnsiTheme="minorHAnsi"/>
          <w:sz w:val="22"/>
          <w:szCs w:val="22"/>
          <w:lang w:val="it-IT"/>
        </w:rPr>
        <w:t xml:space="preserve">AUC </w:t>
      </w:r>
      <w:r w:rsidR="00317178" w:rsidRPr="002A506F">
        <w:rPr>
          <w:rFonts w:asciiTheme="minorHAnsi" w:hAnsiTheme="minorHAnsi"/>
          <w:sz w:val="22"/>
          <w:szCs w:val="22"/>
          <w:vertAlign w:val="subscript"/>
          <w:lang w:val="it-IT"/>
        </w:rPr>
        <w:t>0-inf</w:t>
      </w:r>
      <w:r w:rsidR="00317178">
        <w:rPr>
          <w:rFonts w:asciiTheme="minorHAnsi" w:hAnsiTheme="minorHAnsi"/>
          <w:sz w:val="22"/>
          <w:szCs w:val="22"/>
          <w:vertAlign w:val="subscript"/>
          <w:lang w:val="it-IT"/>
        </w:rPr>
        <w:t xml:space="preserve">, </w:t>
      </w:r>
      <w:proofErr w:type="spellStart"/>
      <w:r w:rsidR="00317178" w:rsidRPr="00D93F62">
        <w:rPr>
          <w:rFonts w:asciiTheme="minorHAnsi" w:hAnsiTheme="minorHAnsi"/>
          <w:sz w:val="22"/>
          <w:szCs w:val="22"/>
          <w:lang w:val="it-IT"/>
        </w:rPr>
        <w:t>C</w:t>
      </w:r>
      <w:r w:rsidR="00317178" w:rsidRPr="00D93F62">
        <w:rPr>
          <w:rFonts w:asciiTheme="minorHAnsi" w:hAnsiTheme="minorHAnsi"/>
          <w:sz w:val="22"/>
          <w:szCs w:val="22"/>
          <w:vertAlign w:val="subscript"/>
          <w:lang w:val="it-IT"/>
        </w:rPr>
        <w:t>max</w:t>
      </w:r>
      <w:proofErr w:type="spellEnd"/>
      <w:r w:rsidR="00317178">
        <w:rPr>
          <w:rFonts w:asciiTheme="minorHAnsi" w:hAnsiTheme="minorHAnsi"/>
          <w:sz w:val="22"/>
          <w:szCs w:val="22"/>
          <w:lang w:val="it-IT"/>
        </w:rPr>
        <w:t xml:space="preserve">/AUC </w:t>
      </w:r>
      <w:r w:rsidR="00317178">
        <w:rPr>
          <w:rFonts w:asciiTheme="minorHAnsi" w:hAnsiTheme="minorHAnsi"/>
          <w:sz w:val="22"/>
          <w:szCs w:val="22"/>
          <w:vertAlign w:val="subscript"/>
          <w:lang w:val="it-IT"/>
        </w:rPr>
        <w:t xml:space="preserve">0-t </w:t>
      </w:r>
      <w:r w:rsidR="00317178">
        <w:rPr>
          <w:rFonts w:asciiTheme="minorHAnsi" w:hAnsiTheme="minorHAnsi"/>
          <w:sz w:val="22"/>
          <w:szCs w:val="22"/>
          <w:lang w:val="it-IT"/>
        </w:rPr>
        <w:t xml:space="preserve"> </w:t>
      </w:r>
      <w:r w:rsidR="00317178" w:rsidRPr="002A506F">
        <w:rPr>
          <w:rFonts w:asciiTheme="minorHAnsi" w:hAnsiTheme="minorHAnsi"/>
          <w:sz w:val="22"/>
          <w:szCs w:val="22"/>
          <w:lang w:val="it-IT"/>
        </w:rPr>
        <w:t>area</w:t>
      </w:r>
      <w:r w:rsidR="00317178">
        <w:rPr>
          <w:rFonts w:asciiTheme="minorHAnsi" w:hAnsiTheme="minorHAnsi"/>
          <w:sz w:val="22"/>
          <w:szCs w:val="22"/>
          <w:lang w:val="it-IT"/>
        </w:rPr>
        <w:t xml:space="preserve"> residua e K </w:t>
      </w:r>
      <w:proofErr w:type="spellStart"/>
      <w:r w:rsidR="00317178">
        <w:rPr>
          <w:rFonts w:asciiTheme="minorHAnsi" w:hAnsiTheme="minorHAnsi"/>
          <w:sz w:val="22"/>
          <w:szCs w:val="22"/>
          <w:vertAlign w:val="subscript"/>
          <w:lang w:val="it-IT"/>
        </w:rPr>
        <w:t>el</w:t>
      </w:r>
      <w:proofErr w:type="spellEnd"/>
      <w:r w:rsidRPr="00E16337">
        <w:rPr>
          <w:rFonts w:asciiTheme="minorHAnsi" w:hAnsiTheme="minorHAnsi"/>
          <w:sz w:val="22"/>
          <w:szCs w:val="22"/>
          <w:lang w:val="it-IT"/>
        </w:rPr>
        <w:t>.</w:t>
      </w:r>
    </w:p>
    <w:p w:rsidR="00184DBA" w:rsidRPr="00E16337" w:rsidRDefault="00184DBA" w:rsidP="00317178">
      <w:pPr>
        <w:pStyle w:val="Paragrafoelenco"/>
        <w:spacing w:after="0" w:line="240" w:lineRule="auto"/>
        <w:ind w:left="0"/>
        <w:jc w:val="both"/>
        <w:rPr>
          <w:rFonts w:cs="Arial"/>
        </w:rPr>
      </w:pPr>
      <w:r w:rsidRPr="00E16337">
        <w:rPr>
          <w:rFonts w:cs="Arial"/>
        </w:rPr>
        <w:t xml:space="preserve">La bioequivalenza tra medicinale test e medicinale di riferimento è dimostrata se gli intervalli di confidenza al 90% per la trasformata logaritmica di  </w:t>
      </w:r>
      <w:proofErr w:type="spellStart"/>
      <w:r w:rsidR="00C95557" w:rsidRPr="00E16337">
        <w:rPr>
          <w:rFonts w:cs="Arial"/>
        </w:rPr>
        <w:t>C</w:t>
      </w:r>
      <w:r w:rsidR="00C95557" w:rsidRPr="00E16337">
        <w:rPr>
          <w:rFonts w:cs="Arial"/>
          <w:vertAlign w:val="subscript"/>
        </w:rPr>
        <w:t>max</w:t>
      </w:r>
      <w:proofErr w:type="spellEnd"/>
      <w:r w:rsidR="00C95557" w:rsidRPr="00E16337">
        <w:rPr>
          <w:rFonts w:cs="Arial"/>
        </w:rPr>
        <w:t xml:space="preserve">, </w:t>
      </w:r>
      <w:r w:rsidR="00C95557" w:rsidRPr="00E16337">
        <w:t>AUC</w:t>
      </w:r>
      <w:r w:rsidR="00C95557">
        <w:t xml:space="preserve"> </w:t>
      </w:r>
      <w:r w:rsidR="00C95557">
        <w:rPr>
          <w:vertAlign w:val="subscript"/>
        </w:rPr>
        <w:t>0-</w:t>
      </w:r>
      <w:r w:rsidR="00C95557" w:rsidRPr="00C95557">
        <w:rPr>
          <w:vertAlign w:val="subscript"/>
        </w:rPr>
        <w:t xml:space="preserve">t </w:t>
      </w:r>
      <w:r w:rsidR="00C95557" w:rsidRPr="00E16337">
        <w:t xml:space="preserve"> </w:t>
      </w:r>
      <w:r w:rsidR="00C95557">
        <w:t xml:space="preserve">e </w:t>
      </w:r>
      <w:r w:rsidR="00C95557" w:rsidRPr="00E16337">
        <w:t xml:space="preserve"> AUC</w:t>
      </w:r>
      <w:r w:rsidR="00C95557">
        <w:rPr>
          <w:vertAlign w:val="subscript"/>
        </w:rPr>
        <w:t xml:space="preserve"> 0-inf</w:t>
      </w:r>
      <w:r w:rsidR="00C95557" w:rsidRPr="00E16337">
        <w:rPr>
          <w:rFonts w:cs="Arial"/>
        </w:rPr>
        <w:t xml:space="preserve"> </w:t>
      </w:r>
      <w:r w:rsidRPr="00E16337">
        <w:rPr>
          <w:rFonts w:cs="Arial"/>
        </w:rPr>
        <w:t xml:space="preserve">cadono nel </w:t>
      </w:r>
      <w:proofErr w:type="spellStart"/>
      <w:r w:rsidRPr="00E16337">
        <w:rPr>
          <w:rFonts w:cs="Arial"/>
        </w:rPr>
        <w:t>range</w:t>
      </w:r>
      <w:proofErr w:type="spellEnd"/>
      <w:r w:rsidRPr="00E16337">
        <w:rPr>
          <w:rFonts w:cs="Arial"/>
        </w:rPr>
        <w:t xml:space="preserve"> di accettabilità di 0.80-1.25 (80%-125%).</w:t>
      </w:r>
    </w:p>
    <w:p w:rsidR="00184DBA" w:rsidRPr="00184DBA" w:rsidRDefault="00184DBA" w:rsidP="00FF6775">
      <w:pPr>
        <w:pStyle w:val="Paragrafoelenco"/>
        <w:spacing w:after="0" w:line="240" w:lineRule="auto"/>
        <w:ind w:left="0"/>
        <w:jc w:val="both"/>
        <w:rPr>
          <w:highlight w:val="yellow"/>
        </w:rPr>
      </w:pPr>
    </w:p>
    <w:p w:rsidR="00184DBA" w:rsidRPr="00373C51" w:rsidRDefault="00184DBA" w:rsidP="00FF6775">
      <w:pPr>
        <w:pStyle w:val="Paragrafoelenco"/>
        <w:spacing w:after="0" w:line="240" w:lineRule="auto"/>
        <w:ind w:left="0"/>
        <w:jc w:val="both"/>
        <w:rPr>
          <w:u w:val="single"/>
        </w:rPr>
      </w:pPr>
      <w:r w:rsidRPr="00373C51">
        <w:rPr>
          <w:u w:val="single"/>
        </w:rPr>
        <w:t>Risultati</w:t>
      </w:r>
    </w:p>
    <w:p w:rsidR="00184DBA" w:rsidRPr="00373C51" w:rsidRDefault="00373C51" w:rsidP="00FF6775">
      <w:pPr>
        <w:pStyle w:val="Paragrafoelenco"/>
        <w:spacing w:after="0" w:line="240" w:lineRule="auto"/>
        <w:ind w:left="0"/>
        <w:jc w:val="both"/>
        <w:rPr>
          <w:rFonts w:cs="Arial"/>
        </w:rPr>
      </w:pPr>
      <w:r w:rsidRPr="00373C51">
        <w:rPr>
          <w:rFonts w:cs="Arial"/>
        </w:rPr>
        <w:t>34</w:t>
      </w:r>
      <w:r w:rsidR="00184DBA" w:rsidRPr="00373C51">
        <w:rPr>
          <w:rFonts w:cs="Arial"/>
        </w:rPr>
        <w:t xml:space="preserve"> volontari sani sono stati arruolati nello studio. </w:t>
      </w:r>
      <w:r w:rsidRPr="00373C51">
        <w:rPr>
          <w:rFonts w:cs="Arial"/>
        </w:rPr>
        <w:t>29</w:t>
      </w:r>
      <w:r w:rsidR="00184DBA" w:rsidRPr="00373C51">
        <w:rPr>
          <w:rFonts w:cs="Arial"/>
        </w:rPr>
        <w:t xml:space="preserve"> soggetti hanno completato lo studio e sono stati inclusi nell’analisi farmacocinetica.</w:t>
      </w:r>
    </w:p>
    <w:p w:rsidR="00184DBA" w:rsidRDefault="00184DBA" w:rsidP="00FF6775">
      <w:pPr>
        <w:spacing w:after="0" w:line="240" w:lineRule="auto"/>
        <w:jc w:val="both"/>
      </w:pPr>
    </w:p>
    <w:p w:rsidR="00F347A1" w:rsidRPr="00DA7FA7" w:rsidRDefault="00F347A1" w:rsidP="00FF6775">
      <w:pPr>
        <w:pStyle w:val="Didascalia"/>
        <w:keepNext/>
        <w:spacing w:before="0" w:after="0"/>
        <w:jc w:val="both"/>
        <w:outlineLvl w:val="0"/>
        <w:rPr>
          <w:rFonts w:ascii="Calibri" w:hAnsi="Calibri" w:cs="Arial"/>
          <w:b w:val="0"/>
          <w:sz w:val="22"/>
          <w:szCs w:val="22"/>
          <w:lang w:val="it-IT"/>
        </w:rPr>
      </w:pPr>
      <w:r w:rsidRPr="00DA7FA7">
        <w:rPr>
          <w:rFonts w:ascii="Calibri" w:hAnsi="Calibri" w:cs="Arial"/>
          <w:b w:val="0"/>
          <w:i/>
          <w:sz w:val="22"/>
          <w:szCs w:val="22"/>
          <w:lang w:val="it-IT"/>
        </w:rPr>
        <w:t>Sicurezza</w:t>
      </w:r>
    </w:p>
    <w:p w:rsidR="00F347A1" w:rsidRPr="00DA7FA7" w:rsidRDefault="00F347A1" w:rsidP="00FF6775">
      <w:pPr>
        <w:pStyle w:val="Didascalia"/>
        <w:keepNext/>
        <w:spacing w:before="0" w:after="0"/>
        <w:jc w:val="both"/>
        <w:outlineLvl w:val="0"/>
        <w:rPr>
          <w:rFonts w:ascii="Calibri" w:hAnsi="Calibri" w:cs="Arial"/>
          <w:b w:val="0"/>
          <w:sz w:val="22"/>
          <w:szCs w:val="22"/>
          <w:lang w:val="it-IT"/>
        </w:rPr>
      </w:pPr>
      <w:r>
        <w:rPr>
          <w:rFonts w:ascii="Calibri" w:hAnsi="Calibri" w:cs="Arial"/>
          <w:b w:val="0"/>
          <w:sz w:val="22"/>
          <w:szCs w:val="22"/>
          <w:lang w:val="it-IT"/>
        </w:rPr>
        <w:t>Durante lo studio n</w:t>
      </w:r>
      <w:r w:rsidRPr="00DA7FA7">
        <w:rPr>
          <w:rFonts w:ascii="Calibri" w:hAnsi="Calibri" w:cs="Arial"/>
          <w:b w:val="0"/>
          <w:sz w:val="22"/>
          <w:szCs w:val="22"/>
          <w:lang w:val="it-IT"/>
        </w:rPr>
        <w:t>on sono stati rilevati eventi avversi gravi.</w:t>
      </w:r>
    </w:p>
    <w:p w:rsidR="00F347A1" w:rsidRDefault="00F347A1" w:rsidP="00FF6775">
      <w:pPr>
        <w:spacing w:after="0" w:line="240" w:lineRule="auto"/>
        <w:jc w:val="both"/>
      </w:pPr>
      <w:r w:rsidRPr="00DA7FA7">
        <w:rPr>
          <w:rFonts w:ascii="Calibri" w:hAnsi="Calibri" w:cs="Arial"/>
        </w:rPr>
        <w:t xml:space="preserve">Nel corso dello studio,venivano riscontrati </w:t>
      </w:r>
      <w:r>
        <w:rPr>
          <w:rFonts w:ascii="Calibri" w:hAnsi="Calibri" w:cs="Arial"/>
        </w:rPr>
        <w:t xml:space="preserve">in totale </w:t>
      </w:r>
      <w:r>
        <w:t>185</w:t>
      </w:r>
      <w:r w:rsidRPr="00DA7FA7">
        <w:t xml:space="preserve"> eventi avversi giudicati possibilmente correlati con le formulazioni in studio, ed erano tutti di entità lieve o moderata.</w:t>
      </w:r>
    </w:p>
    <w:p w:rsidR="00F347A1" w:rsidRPr="00DA7FA7" w:rsidRDefault="00F347A1" w:rsidP="00FF6775">
      <w:pPr>
        <w:spacing w:after="0" w:line="240" w:lineRule="auto"/>
        <w:jc w:val="both"/>
      </w:pPr>
      <w:r w:rsidRPr="00DA7FA7">
        <w:t>Gli eventi avversi sono stati simili tra medicinale test e medicinal</w:t>
      </w:r>
      <w:r>
        <w:t>e</w:t>
      </w:r>
      <w:r w:rsidRPr="00DA7FA7">
        <w:t xml:space="preserve"> di riferimento. </w:t>
      </w:r>
    </w:p>
    <w:p w:rsidR="00F347A1" w:rsidRDefault="00F347A1" w:rsidP="00FF6775">
      <w:pPr>
        <w:spacing w:after="0" w:line="240" w:lineRule="auto"/>
        <w:jc w:val="both"/>
      </w:pPr>
    </w:p>
    <w:p w:rsidR="00FF6775" w:rsidRDefault="00FF6775" w:rsidP="00FF6775">
      <w:pPr>
        <w:spacing w:after="0" w:line="240" w:lineRule="auto"/>
        <w:jc w:val="both"/>
      </w:pPr>
    </w:p>
    <w:p w:rsidR="00FF6775" w:rsidRPr="00373C51" w:rsidRDefault="00FF6775" w:rsidP="00FF6775">
      <w:pPr>
        <w:spacing w:after="0" w:line="240" w:lineRule="auto"/>
        <w:jc w:val="both"/>
      </w:pPr>
    </w:p>
    <w:p w:rsidR="00F347A1" w:rsidRPr="006C448B" w:rsidRDefault="00F347A1" w:rsidP="00FF6775">
      <w:pPr>
        <w:spacing w:after="0" w:line="240" w:lineRule="auto"/>
        <w:jc w:val="both"/>
        <w:rPr>
          <w:i/>
        </w:rPr>
      </w:pPr>
      <w:r w:rsidRPr="006C448B">
        <w:rPr>
          <w:i/>
        </w:rPr>
        <w:t>Tollerabilità locale</w:t>
      </w:r>
    </w:p>
    <w:p w:rsidR="00F347A1" w:rsidRPr="00F347A1" w:rsidRDefault="00F347A1" w:rsidP="00FF6775">
      <w:pPr>
        <w:spacing w:after="0" w:line="240" w:lineRule="auto"/>
        <w:jc w:val="both"/>
      </w:pPr>
      <w:r w:rsidRPr="00F347A1">
        <w:t>Non sono state rilevate reazioni gravi. In generale, entrambi i trattamenti, con medicinale test e con medicinale di riferimento,</w:t>
      </w:r>
      <w:r>
        <w:t xml:space="preserve"> sono ben tollerati.</w:t>
      </w:r>
    </w:p>
    <w:p w:rsidR="00F347A1" w:rsidRDefault="00F347A1" w:rsidP="00FF6775">
      <w:pPr>
        <w:tabs>
          <w:tab w:val="num" w:pos="0"/>
        </w:tabs>
        <w:spacing w:after="0" w:line="240" w:lineRule="auto"/>
        <w:jc w:val="both"/>
        <w:rPr>
          <w:highlight w:val="cyan"/>
        </w:rPr>
      </w:pPr>
    </w:p>
    <w:p w:rsidR="00F347A1" w:rsidRPr="00F347A1" w:rsidRDefault="00F347A1" w:rsidP="00FF6775">
      <w:pPr>
        <w:tabs>
          <w:tab w:val="num" w:pos="0"/>
        </w:tabs>
        <w:spacing w:after="0" w:line="240" w:lineRule="auto"/>
        <w:jc w:val="both"/>
        <w:rPr>
          <w:i/>
        </w:rPr>
      </w:pPr>
      <w:r w:rsidRPr="00F347A1">
        <w:rPr>
          <w:i/>
        </w:rPr>
        <w:t>Adesività</w:t>
      </w:r>
    </w:p>
    <w:p w:rsidR="00C95557" w:rsidRDefault="00C95557" w:rsidP="00FF6775">
      <w:pPr>
        <w:tabs>
          <w:tab w:val="num" w:pos="0"/>
        </w:tabs>
        <w:spacing w:after="0" w:line="240" w:lineRule="auto"/>
        <w:jc w:val="both"/>
      </w:pPr>
      <w:r>
        <w:t xml:space="preserve">L’adesività è stata valutata approssimativamente a 3, 6, 9, 12, 24, 36, 48 e 60 ore dopo l’applicazione del cerotto e immediatamente prima della rimozione, in ogni periodo. </w:t>
      </w:r>
    </w:p>
    <w:p w:rsidR="00F347A1" w:rsidRPr="00F347A1" w:rsidRDefault="00F347A1" w:rsidP="00FF6775">
      <w:pPr>
        <w:tabs>
          <w:tab w:val="num" w:pos="0"/>
        </w:tabs>
        <w:spacing w:after="0" w:line="240" w:lineRule="auto"/>
        <w:jc w:val="both"/>
      </w:pPr>
      <w:r w:rsidRPr="00F347A1">
        <w:t>Non sono state rilevate significative differenze di adesività tra cerotto test e cerotto di riferimento, anche se il primo ha mostrato una adesività leggermente migliore.</w:t>
      </w:r>
    </w:p>
    <w:p w:rsidR="00184DBA" w:rsidRPr="00317178" w:rsidRDefault="00184DBA" w:rsidP="00FF6775">
      <w:pPr>
        <w:spacing w:after="0" w:line="240" w:lineRule="auto"/>
        <w:jc w:val="both"/>
        <w:rPr>
          <w:highlight w:val="yellow"/>
        </w:rPr>
      </w:pPr>
    </w:p>
    <w:p w:rsidR="00184DBA" w:rsidRPr="00E16337" w:rsidRDefault="00184DBA" w:rsidP="00FF6775">
      <w:pPr>
        <w:pStyle w:val="Didascalia"/>
        <w:keepNext/>
        <w:spacing w:before="0" w:after="0"/>
        <w:jc w:val="both"/>
        <w:outlineLvl w:val="0"/>
        <w:rPr>
          <w:rFonts w:asciiTheme="minorHAnsi" w:hAnsiTheme="minorHAnsi" w:cs="Arial"/>
          <w:b w:val="0"/>
          <w:sz w:val="22"/>
          <w:szCs w:val="22"/>
          <w:lang w:val="it-IT"/>
        </w:rPr>
      </w:pPr>
      <w:r w:rsidRPr="00E16337">
        <w:rPr>
          <w:rFonts w:asciiTheme="minorHAnsi" w:hAnsiTheme="minorHAnsi" w:cs="Arial"/>
          <w:b w:val="0"/>
          <w:i/>
          <w:sz w:val="22"/>
          <w:szCs w:val="22"/>
          <w:lang w:val="it-IT"/>
        </w:rPr>
        <w:t>Parametri farmacocinetici</w:t>
      </w:r>
      <w:r w:rsidRPr="00E16337">
        <w:rPr>
          <w:rFonts w:asciiTheme="minorHAnsi" w:hAnsiTheme="minorHAnsi" w:cs="Arial"/>
          <w:b w:val="0"/>
          <w:sz w:val="22"/>
          <w:szCs w:val="22"/>
          <w:lang w:val="it-IT"/>
        </w:rPr>
        <w:t xml:space="preserve">. </w:t>
      </w:r>
    </w:p>
    <w:p w:rsidR="00184DBA" w:rsidRDefault="00184DBA" w:rsidP="00FF6775">
      <w:pPr>
        <w:pStyle w:val="Didascalia"/>
        <w:keepNext/>
        <w:spacing w:before="0" w:after="0"/>
        <w:jc w:val="both"/>
        <w:outlineLvl w:val="0"/>
        <w:rPr>
          <w:rFonts w:asciiTheme="minorHAnsi" w:hAnsiTheme="minorHAnsi" w:cs="Arial"/>
          <w:b w:val="0"/>
          <w:sz w:val="22"/>
          <w:szCs w:val="22"/>
          <w:lang w:val="it-IT"/>
        </w:rPr>
      </w:pPr>
      <w:r w:rsidRPr="00E16337">
        <w:rPr>
          <w:rFonts w:asciiTheme="minorHAnsi" w:hAnsiTheme="minorHAnsi" w:cs="Arial"/>
          <w:b w:val="0"/>
          <w:sz w:val="22"/>
          <w:szCs w:val="22"/>
          <w:lang w:val="it-IT"/>
        </w:rPr>
        <w:t>La sintesi dei risultati dello studio di bioequivalenza è riportata nella tabella che segue.</w:t>
      </w:r>
    </w:p>
    <w:p w:rsidR="00FF6775" w:rsidRPr="00FF6775" w:rsidRDefault="00FF6775" w:rsidP="00FF6775">
      <w:pPr>
        <w:spacing w:after="0" w:line="240"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4A0"/>
      </w:tblPr>
      <w:tblGrid>
        <w:gridCol w:w="1531"/>
        <w:gridCol w:w="1713"/>
        <w:gridCol w:w="2091"/>
        <w:gridCol w:w="1475"/>
        <w:gridCol w:w="2377"/>
      </w:tblGrid>
      <w:tr w:rsidR="00937557" w:rsidRPr="00184DBA" w:rsidTr="009D54A2">
        <w:trPr>
          <w:trHeight w:val="247"/>
          <w:jc w:val="center"/>
        </w:trPr>
        <w:tc>
          <w:tcPr>
            <w:tcW w:w="9187" w:type="dxa"/>
            <w:gridSpan w:val="5"/>
            <w:tcBorders>
              <w:top w:val="single" w:sz="4" w:space="0" w:color="auto"/>
              <w:left w:val="single" w:sz="4" w:space="0" w:color="auto"/>
              <w:bottom w:val="single" w:sz="4" w:space="0" w:color="auto"/>
              <w:right w:val="single" w:sz="4" w:space="0" w:color="auto"/>
            </w:tcBorders>
            <w:vAlign w:val="center"/>
            <w:hideMark/>
          </w:tcPr>
          <w:p w:rsidR="00937557" w:rsidRPr="00E16337" w:rsidRDefault="00937557" w:rsidP="00FF6775">
            <w:pPr>
              <w:spacing w:after="0" w:line="240" w:lineRule="auto"/>
              <w:jc w:val="center"/>
              <w:rPr>
                <w:rFonts w:cs="Arial"/>
                <w:b/>
                <w:bCs/>
                <w:sz w:val="20"/>
                <w:szCs w:val="20"/>
              </w:rPr>
            </w:pPr>
            <w:r w:rsidRPr="00E16337">
              <w:rPr>
                <w:rFonts w:cs="Arial"/>
                <w:b/>
                <w:bCs/>
                <w:sz w:val="20"/>
                <w:szCs w:val="20"/>
              </w:rPr>
              <w:t>FENTANIL</w:t>
            </w:r>
          </w:p>
        </w:tc>
      </w:tr>
      <w:tr w:rsidR="00937557" w:rsidRPr="00184DBA" w:rsidTr="00FF6775">
        <w:trPr>
          <w:trHeight w:hRule="exact" w:val="284"/>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937557" w:rsidRPr="00E16337" w:rsidRDefault="00937557" w:rsidP="00FF6775">
            <w:pPr>
              <w:spacing w:after="0" w:line="240" w:lineRule="auto"/>
              <w:jc w:val="center"/>
              <w:rPr>
                <w:rFonts w:cs="Arial"/>
                <w:b/>
                <w:sz w:val="20"/>
                <w:szCs w:val="20"/>
              </w:rPr>
            </w:pPr>
            <w:r w:rsidRPr="00E16337">
              <w:rPr>
                <w:rFonts w:cs="Arial"/>
                <w:b/>
                <w:sz w:val="20"/>
                <w:szCs w:val="20"/>
              </w:rPr>
              <w:t>Parametro</w:t>
            </w:r>
          </w:p>
        </w:tc>
        <w:tc>
          <w:tcPr>
            <w:tcW w:w="1713" w:type="dxa"/>
            <w:tcBorders>
              <w:top w:val="single" w:sz="4" w:space="0" w:color="auto"/>
              <w:left w:val="single" w:sz="4" w:space="0" w:color="auto"/>
              <w:bottom w:val="single" w:sz="4" w:space="0" w:color="auto"/>
              <w:right w:val="single" w:sz="4" w:space="0" w:color="auto"/>
            </w:tcBorders>
            <w:vAlign w:val="bottom"/>
            <w:hideMark/>
          </w:tcPr>
          <w:p w:rsidR="00937557" w:rsidRPr="00E16337" w:rsidRDefault="00937557" w:rsidP="00FF6775">
            <w:pPr>
              <w:spacing w:after="0" w:line="240" w:lineRule="auto"/>
              <w:jc w:val="center"/>
              <w:rPr>
                <w:rFonts w:cs="Arial"/>
                <w:b/>
                <w:sz w:val="20"/>
                <w:szCs w:val="20"/>
              </w:rPr>
            </w:pPr>
            <w:r w:rsidRPr="00E16337">
              <w:rPr>
                <w:rFonts w:cs="Arial"/>
                <w:b/>
                <w:sz w:val="20"/>
                <w:szCs w:val="20"/>
              </w:rPr>
              <w:t>Test [LSM]</w:t>
            </w:r>
          </w:p>
        </w:tc>
        <w:tc>
          <w:tcPr>
            <w:tcW w:w="2091" w:type="dxa"/>
            <w:tcBorders>
              <w:top w:val="single" w:sz="4" w:space="0" w:color="auto"/>
              <w:left w:val="single" w:sz="4" w:space="0" w:color="auto"/>
              <w:bottom w:val="single" w:sz="4" w:space="0" w:color="auto"/>
              <w:right w:val="single" w:sz="4" w:space="0" w:color="auto"/>
            </w:tcBorders>
            <w:vAlign w:val="bottom"/>
            <w:hideMark/>
          </w:tcPr>
          <w:p w:rsidR="00937557" w:rsidRPr="00E16337" w:rsidRDefault="00937557" w:rsidP="00FF6775">
            <w:pPr>
              <w:spacing w:after="0" w:line="240" w:lineRule="auto"/>
              <w:jc w:val="center"/>
              <w:rPr>
                <w:rFonts w:cs="Arial"/>
                <w:b/>
                <w:sz w:val="20"/>
                <w:szCs w:val="20"/>
              </w:rPr>
            </w:pPr>
            <w:proofErr w:type="spellStart"/>
            <w:r w:rsidRPr="00E16337">
              <w:rPr>
                <w:rFonts w:cs="Arial"/>
                <w:b/>
                <w:sz w:val="20"/>
                <w:szCs w:val="20"/>
              </w:rPr>
              <w:t>Reference</w:t>
            </w:r>
            <w:proofErr w:type="spellEnd"/>
            <w:r w:rsidRPr="00E16337">
              <w:rPr>
                <w:rFonts w:cs="Arial"/>
                <w:b/>
                <w:sz w:val="20"/>
                <w:szCs w:val="20"/>
              </w:rPr>
              <w:t xml:space="preserve"> [LSM]</w:t>
            </w:r>
          </w:p>
        </w:tc>
        <w:tc>
          <w:tcPr>
            <w:tcW w:w="1475" w:type="dxa"/>
            <w:tcBorders>
              <w:top w:val="single" w:sz="4" w:space="0" w:color="auto"/>
              <w:left w:val="single" w:sz="4" w:space="0" w:color="auto"/>
              <w:bottom w:val="single" w:sz="4" w:space="0" w:color="auto"/>
              <w:right w:val="single" w:sz="4" w:space="0" w:color="auto"/>
            </w:tcBorders>
            <w:vAlign w:val="bottom"/>
            <w:hideMark/>
          </w:tcPr>
          <w:p w:rsidR="00937557" w:rsidRPr="00E16337" w:rsidRDefault="00937557" w:rsidP="00FF6775">
            <w:pPr>
              <w:spacing w:after="0" w:line="240" w:lineRule="auto"/>
              <w:jc w:val="center"/>
              <w:rPr>
                <w:rFonts w:cs="Arial"/>
                <w:b/>
                <w:sz w:val="20"/>
                <w:szCs w:val="20"/>
              </w:rPr>
            </w:pPr>
            <w:r w:rsidRPr="00E16337">
              <w:rPr>
                <w:rFonts w:cs="Arial"/>
                <w:b/>
                <w:sz w:val="20"/>
                <w:szCs w:val="20"/>
              </w:rPr>
              <w:t xml:space="preserve">T/R </w:t>
            </w:r>
            <w:proofErr w:type="spellStart"/>
            <w:r w:rsidRPr="00E16337">
              <w:rPr>
                <w:rFonts w:cs="Arial"/>
                <w:b/>
                <w:sz w:val="20"/>
                <w:szCs w:val="20"/>
              </w:rPr>
              <w:t>Ratio</w:t>
            </w:r>
            <w:proofErr w:type="spellEnd"/>
          </w:p>
        </w:tc>
        <w:tc>
          <w:tcPr>
            <w:tcW w:w="2377" w:type="dxa"/>
            <w:tcBorders>
              <w:top w:val="single" w:sz="4" w:space="0" w:color="auto"/>
              <w:left w:val="single" w:sz="4" w:space="0" w:color="auto"/>
              <w:bottom w:val="single" w:sz="4" w:space="0" w:color="auto"/>
              <w:right w:val="single" w:sz="4" w:space="0" w:color="auto"/>
            </w:tcBorders>
            <w:vAlign w:val="bottom"/>
            <w:hideMark/>
          </w:tcPr>
          <w:p w:rsidR="00937557" w:rsidRPr="00E16337" w:rsidRDefault="00937557" w:rsidP="00FF6775">
            <w:pPr>
              <w:spacing w:after="0" w:line="240" w:lineRule="auto"/>
              <w:jc w:val="center"/>
              <w:rPr>
                <w:rFonts w:cs="Arial"/>
                <w:b/>
                <w:sz w:val="20"/>
                <w:szCs w:val="20"/>
              </w:rPr>
            </w:pPr>
            <w:r w:rsidRPr="00E16337">
              <w:rPr>
                <w:rFonts w:cs="Arial"/>
                <w:b/>
                <w:sz w:val="20"/>
                <w:szCs w:val="20"/>
              </w:rPr>
              <w:t>90% C.I.</w:t>
            </w:r>
          </w:p>
        </w:tc>
      </w:tr>
      <w:tr w:rsidR="00C95557" w:rsidRPr="00184DBA" w:rsidTr="00FF6775">
        <w:trPr>
          <w:trHeight w:hRule="exact" w:val="284"/>
          <w:jc w:val="center"/>
        </w:trPr>
        <w:tc>
          <w:tcPr>
            <w:tcW w:w="1531" w:type="dxa"/>
            <w:tcBorders>
              <w:top w:val="single" w:sz="4" w:space="0" w:color="auto"/>
              <w:left w:val="single" w:sz="4" w:space="0" w:color="auto"/>
              <w:bottom w:val="single" w:sz="4" w:space="0" w:color="auto"/>
              <w:right w:val="single" w:sz="4" w:space="0" w:color="auto"/>
            </w:tcBorders>
            <w:hideMark/>
          </w:tcPr>
          <w:p w:rsidR="00C95557" w:rsidRPr="00861A36" w:rsidRDefault="00C95557" w:rsidP="00DD290B">
            <w:pPr>
              <w:spacing w:after="0" w:line="240" w:lineRule="auto"/>
              <w:jc w:val="center"/>
              <w:rPr>
                <w:b/>
                <w:sz w:val="20"/>
                <w:szCs w:val="20"/>
                <w:vertAlign w:val="subscript"/>
              </w:rPr>
            </w:pPr>
            <w:r w:rsidRPr="00E16337">
              <w:rPr>
                <w:b/>
                <w:sz w:val="20"/>
                <w:szCs w:val="20"/>
              </w:rPr>
              <w:t>AUC</w:t>
            </w:r>
            <w:r>
              <w:rPr>
                <w:b/>
                <w:sz w:val="20"/>
                <w:szCs w:val="20"/>
                <w:vertAlign w:val="subscript"/>
              </w:rPr>
              <w:t>0-inf</w:t>
            </w:r>
          </w:p>
        </w:tc>
        <w:tc>
          <w:tcPr>
            <w:tcW w:w="1713" w:type="dxa"/>
            <w:tcBorders>
              <w:top w:val="single" w:sz="4" w:space="0" w:color="auto"/>
              <w:left w:val="single" w:sz="4" w:space="0" w:color="auto"/>
              <w:bottom w:val="single" w:sz="4" w:space="0" w:color="auto"/>
              <w:right w:val="single" w:sz="4" w:space="0" w:color="auto"/>
            </w:tcBorders>
            <w:hideMark/>
          </w:tcPr>
          <w:p w:rsidR="00C95557" w:rsidRPr="00E16337" w:rsidRDefault="00C95557" w:rsidP="00DD290B">
            <w:pPr>
              <w:pStyle w:val="Rientrocorpodeltesto"/>
              <w:spacing w:after="0"/>
              <w:ind w:left="0"/>
              <w:jc w:val="center"/>
              <w:rPr>
                <w:rFonts w:asciiTheme="minorHAnsi" w:hAnsiTheme="minorHAnsi"/>
              </w:rPr>
            </w:pPr>
            <w:r w:rsidRPr="00E16337">
              <w:rPr>
                <w:rFonts w:asciiTheme="minorHAnsi" w:hAnsiTheme="minorHAnsi"/>
              </w:rPr>
              <w:t>116800</w:t>
            </w:r>
          </w:p>
        </w:tc>
        <w:tc>
          <w:tcPr>
            <w:tcW w:w="2091" w:type="dxa"/>
            <w:tcBorders>
              <w:top w:val="single" w:sz="4" w:space="0" w:color="auto"/>
              <w:left w:val="single" w:sz="4" w:space="0" w:color="auto"/>
              <w:bottom w:val="single" w:sz="4" w:space="0" w:color="auto"/>
              <w:right w:val="single" w:sz="4" w:space="0" w:color="auto"/>
            </w:tcBorders>
            <w:hideMark/>
          </w:tcPr>
          <w:p w:rsidR="00C95557" w:rsidRPr="00E16337" w:rsidRDefault="00C95557" w:rsidP="00DD290B">
            <w:pPr>
              <w:pStyle w:val="Rientrocorpodeltesto"/>
              <w:spacing w:after="0"/>
              <w:ind w:left="0"/>
              <w:jc w:val="center"/>
              <w:rPr>
                <w:rFonts w:asciiTheme="minorHAnsi" w:hAnsiTheme="minorHAnsi"/>
              </w:rPr>
            </w:pPr>
            <w:r>
              <w:rPr>
                <w:rFonts w:asciiTheme="minorHAnsi" w:hAnsiTheme="minorHAnsi"/>
              </w:rPr>
              <w:t xml:space="preserve"> 124307</w:t>
            </w:r>
          </w:p>
        </w:tc>
        <w:tc>
          <w:tcPr>
            <w:tcW w:w="1475" w:type="dxa"/>
            <w:tcBorders>
              <w:top w:val="single" w:sz="4" w:space="0" w:color="auto"/>
              <w:left w:val="single" w:sz="4" w:space="0" w:color="auto"/>
              <w:bottom w:val="single" w:sz="4" w:space="0" w:color="auto"/>
              <w:right w:val="single" w:sz="4" w:space="0" w:color="auto"/>
            </w:tcBorders>
            <w:hideMark/>
          </w:tcPr>
          <w:p w:rsidR="00C95557" w:rsidRPr="00E16337" w:rsidRDefault="00C95557" w:rsidP="00FF6775">
            <w:pPr>
              <w:pStyle w:val="Rientrocorpodeltesto"/>
              <w:spacing w:after="0"/>
              <w:ind w:left="0"/>
              <w:jc w:val="center"/>
              <w:rPr>
                <w:rFonts w:asciiTheme="minorHAnsi" w:hAnsiTheme="minorHAnsi"/>
              </w:rPr>
            </w:pPr>
            <w:r w:rsidRPr="00E16337">
              <w:rPr>
                <w:rFonts w:asciiTheme="minorHAnsi" w:hAnsiTheme="minorHAnsi"/>
              </w:rPr>
              <w:t>0.934</w:t>
            </w:r>
          </w:p>
        </w:tc>
        <w:tc>
          <w:tcPr>
            <w:tcW w:w="2377" w:type="dxa"/>
            <w:tcBorders>
              <w:top w:val="single" w:sz="4" w:space="0" w:color="auto"/>
              <w:left w:val="single" w:sz="4" w:space="0" w:color="auto"/>
              <w:bottom w:val="single" w:sz="4" w:space="0" w:color="auto"/>
              <w:right w:val="single" w:sz="4" w:space="0" w:color="auto"/>
            </w:tcBorders>
            <w:hideMark/>
          </w:tcPr>
          <w:p w:rsidR="00C95557" w:rsidRPr="00E16337" w:rsidRDefault="00C95557" w:rsidP="00DD290B">
            <w:pPr>
              <w:pStyle w:val="Rientrocorpodeltesto"/>
              <w:spacing w:after="0"/>
              <w:ind w:left="0"/>
              <w:jc w:val="center"/>
              <w:rPr>
                <w:rFonts w:asciiTheme="minorHAnsi" w:hAnsiTheme="minorHAnsi"/>
              </w:rPr>
            </w:pPr>
            <w:r w:rsidRPr="00E16337">
              <w:rPr>
                <w:rFonts w:asciiTheme="minorHAnsi" w:hAnsiTheme="minorHAnsi"/>
              </w:rPr>
              <w:t>89.3</w:t>
            </w:r>
            <w:r>
              <w:rPr>
                <w:rFonts w:asciiTheme="minorHAnsi" w:hAnsiTheme="minorHAnsi"/>
              </w:rPr>
              <w:t>2</w:t>
            </w:r>
            <w:r w:rsidRPr="00E16337">
              <w:rPr>
                <w:rFonts w:asciiTheme="minorHAnsi" w:hAnsiTheme="minorHAnsi"/>
              </w:rPr>
              <w:t>-97.6</w:t>
            </w:r>
            <w:r>
              <w:rPr>
                <w:rFonts w:asciiTheme="minorHAnsi" w:hAnsiTheme="minorHAnsi"/>
              </w:rPr>
              <w:t>8</w:t>
            </w:r>
          </w:p>
        </w:tc>
      </w:tr>
      <w:tr w:rsidR="00C95557" w:rsidRPr="00184DBA" w:rsidTr="00FF6775">
        <w:trPr>
          <w:trHeight w:hRule="exact" w:val="284"/>
          <w:jc w:val="center"/>
        </w:trPr>
        <w:tc>
          <w:tcPr>
            <w:tcW w:w="1531" w:type="dxa"/>
            <w:tcBorders>
              <w:top w:val="single" w:sz="4" w:space="0" w:color="auto"/>
              <w:left w:val="single" w:sz="4" w:space="0" w:color="auto"/>
              <w:bottom w:val="single" w:sz="4" w:space="0" w:color="auto"/>
              <w:right w:val="single" w:sz="4" w:space="0" w:color="auto"/>
            </w:tcBorders>
            <w:hideMark/>
          </w:tcPr>
          <w:p w:rsidR="00C95557" w:rsidRPr="00E16337" w:rsidRDefault="00C95557" w:rsidP="00DD290B">
            <w:pPr>
              <w:spacing w:after="0" w:line="240" w:lineRule="auto"/>
              <w:jc w:val="center"/>
              <w:rPr>
                <w:b/>
                <w:sz w:val="20"/>
                <w:szCs w:val="20"/>
              </w:rPr>
            </w:pPr>
            <w:r w:rsidRPr="00C95557">
              <w:rPr>
                <w:b/>
                <w:sz w:val="20"/>
                <w:szCs w:val="20"/>
              </w:rPr>
              <w:t>AUC</w:t>
            </w:r>
            <w:r>
              <w:rPr>
                <w:b/>
                <w:sz w:val="20"/>
                <w:szCs w:val="20"/>
                <w:vertAlign w:val="subscript"/>
              </w:rPr>
              <w:t>0-t</w:t>
            </w:r>
          </w:p>
        </w:tc>
        <w:tc>
          <w:tcPr>
            <w:tcW w:w="1713" w:type="dxa"/>
            <w:tcBorders>
              <w:top w:val="single" w:sz="4" w:space="0" w:color="auto"/>
              <w:left w:val="single" w:sz="4" w:space="0" w:color="auto"/>
              <w:bottom w:val="single" w:sz="4" w:space="0" w:color="auto"/>
              <w:right w:val="single" w:sz="4" w:space="0" w:color="auto"/>
            </w:tcBorders>
            <w:hideMark/>
          </w:tcPr>
          <w:p w:rsidR="00C95557" w:rsidRPr="00E16337" w:rsidRDefault="00C95557" w:rsidP="00DD290B">
            <w:pPr>
              <w:pStyle w:val="Rientrocorpodeltesto"/>
              <w:spacing w:after="0"/>
              <w:ind w:left="0"/>
              <w:jc w:val="center"/>
              <w:rPr>
                <w:rFonts w:asciiTheme="minorHAnsi" w:hAnsiTheme="minorHAnsi"/>
              </w:rPr>
            </w:pPr>
            <w:r>
              <w:rPr>
                <w:rFonts w:asciiTheme="minorHAnsi" w:hAnsiTheme="minorHAnsi"/>
              </w:rPr>
              <w:t>112660</w:t>
            </w:r>
          </w:p>
        </w:tc>
        <w:tc>
          <w:tcPr>
            <w:tcW w:w="2091" w:type="dxa"/>
            <w:tcBorders>
              <w:top w:val="single" w:sz="4" w:space="0" w:color="auto"/>
              <w:left w:val="single" w:sz="4" w:space="0" w:color="auto"/>
              <w:bottom w:val="single" w:sz="4" w:space="0" w:color="auto"/>
              <w:right w:val="single" w:sz="4" w:space="0" w:color="auto"/>
            </w:tcBorders>
            <w:hideMark/>
          </w:tcPr>
          <w:p w:rsidR="00C95557" w:rsidRPr="00E16337" w:rsidRDefault="00C95557" w:rsidP="00DD290B">
            <w:pPr>
              <w:pStyle w:val="Rientrocorpodeltesto"/>
              <w:spacing w:after="0"/>
              <w:ind w:left="0"/>
              <w:jc w:val="center"/>
              <w:rPr>
                <w:rFonts w:asciiTheme="minorHAnsi" w:hAnsiTheme="minorHAnsi"/>
              </w:rPr>
            </w:pPr>
            <w:r>
              <w:rPr>
                <w:rFonts w:asciiTheme="minorHAnsi" w:hAnsiTheme="minorHAnsi"/>
              </w:rPr>
              <w:t>120229</w:t>
            </w:r>
          </w:p>
        </w:tc>
        <w:tc>
          <w:tcPr>
            <w:tcW w:w="1475" w:type="dxa"/>
            <w:tcBorders>
              <w:top w:val="single" w:sz="4" w:space="0" w:color="auto"/>
              <w:left w:val="single" w:sz="4" w:space="0" w:color="auto"/>
              <w:bottom w:val="single" w:sz="4" w:space="0" w:color="auto"/>
              <w:right w:val="single" w:sz="4" w:space="0" w:color="auto"/>
            </w:tcBorders>
            <w:hideMark/>
          </w:tcPr>
          <w:p w:rsidR="00C95557" w:rsidRPr="00E16337" w:rsidRDefault="00C95557" w:rsidP="00FF6775">
            <w:pPr>
              <w:pStyle w:val="Rientrocorpodeltesto"/>
              <w:spacing w:after="0"/>
              <w:ind w:left="0"/>
              <w:jc w:val="center"/>
              <w:rPr>
                <w:rFonts w:asciiTheme="minorHAnsi" w:hAnsiTheme="minorHAnsi"/>
              </w:rPr>
            </w:pPr>
            <w:r w:rsidRPr="00E16337">
              <w:rPr>
                <w:rFonts w:asciiTheme="minorHAnsi" w:hAnsiTheme="minorHAnsi"/>
              </w:rPr>
              <w:t>0.929</w:t>
            </w:r>
          </w:p>
        </w:tc>
        <w:tc>
          <w:tcPr>
            <w:tcW w:w="2377" w:type="dxa"/>
            <w:tcBorders>
              <w:top w:val="single" w:sz="4" w:space="0" w:color="auto"/>
              <w:left w:val="single" w:sz="4" w:space="0" w:color="auto"/>
              <w:bottom w:val="single" w:sz="4" w:space="0" w:color="auto"/>
              <w:right w:val="single" w:sz="4" w:space="0" w:color="auto"/>
            </w:tcBorders>
            <w:hideMark/>
          </w:tcPr>
          <w:p w:rsidR="00C95557" w:rsidRPr="00E16337" w:rsidRDefault="00C95557" w:rsidP="00DD290B">
            <w:pPr>
              <w:pStyle w:val="Rientrocorpodeltesto"/>
              <w:spacing w:after="0"/>
              <w:ind w:left="0"/>
              <w:jc w:val="center"/>
              <w:rPr>
                <w:rFonts w:asciiTheme="minorHAnsi" w:hAnsiTheme="minorHAnsi"/>
              </w:rPr>
            </w:pPr>
            <w:r w:rsidRPr="00E16337">
              <w:rPr>
                <w:rFonts w:asciiTheme="minorHAnsi" w:hAnsiTheme="minorHAnsi"/>
              </w:rPr>
              <w:t>88.7</w:t>
            </w:r>
            <w:r>
              <w:rPr>
                <w:rFonts w:asciiTheme="minorHAnsi" w:hAnsiTheme="minorHAnsi"/>
              </w:rPr>
              <w:t>8</w:t>
            </w:r>
            <w:r w:rsidRPr="00E16337">
              <w:rPr>
                <w:rFonts w:asciiTheme="minorHAnsi" w:hAnsiTheme="minorHAnsi"/>
              </w:rPr>
              <w:t>-97.3</w:t>
            </w:r>
            <w:r>
              <w:rPr>
                <w:rFonts w:asciiTheme="minorHAnsi" w:hAnsiTheme="minorHAnsi"/>
              </w:rPr>
              <w:t>6</w:t>
            </w:r>
          </w:p>
        </w:tc>
      </w:tr>
      <w:tr w:rsidR="00C95557" w:rsidRPr="00D37CD1" w:rsidTr="00FF6775">
        <w:trPr>
          <w:trHeight w:hRule="exact" w:val="284"/>
          <w:jc w:val="center"/>
        </w:trPr>
        <w:tc>
          <w:tcPr>
            <w:tcW w:w="1531" w:type="dxa"/>
            <w:tcBorders>
              <w:top w:val="single" w:sz="4" w:space="0" w:color="auto"/>
              <w:left w:val="single" w:sz="4" w:space="0" w:color="auto"/>
              <w:bottom w:val="single" w:sz="4" w:space="0" w:color="auto"/>
              <w:right w:val="single" w:sz="4" w:space="0" w:color="auto"/>
            </w:tcBorders>
            <w:hideMark/>
          </w:tcPr>
          <w:p w:rsidR="00C95557" w:rsidRPr="00E16337" w:rsidRDefault="00C95557" w:rsidP="00FF6775">
            <w:pPr>
              <w:spacing w:after="0" w:line="240" w:lineRule="auto"/>
              <w:jc w:val="center"/>
              <w:rPr>
                <w:b/>
                <w:sz w:val="20"/>
                <w:szCs w:val="20"/>
              </w:rPr>
            </w:pPr>
            <w:proofErr w:type="spellStart"/>
            <w:r w:rsidRPr="00E16337">
              <w:rPr>
                <w:b/>
                <w:sz w:val="20"/>
                <w:szCs w:val="20"/>
              </w:rPr>
              <w:t>C</w:t>
            </w:r>
            <w:r w:rsidRPr="00E16337">
              <w:rPr>
                <w:b/>
                <w:sz w:val="20"/>
                <w:szCs w:val="20"/>
                <w:vertAlign w:val="subscript"/>
              </w:rPr>
              <w:t>max</w:t>
            </w:r>
            <w:proofErr w:type="spellEnd"/>
          </w:p>
        </w:tc>
        <w:tc>
          <w:tcPr>
            <w:tcW w:w="1713" w:type="dxa"/>
            <w:tcBorders>
              <w:top w:val="single" w:sz="4" w:space="0" w:color="auto"/>
              <w:left w:val="single" w:sz="4" w:space="0" w:color="auto"/>
              <w:bottom w:val="single" w:sz="4" w:space="0" w:color="auto"/>
              <w:right w:val="single" w:sz="4" w:space="0" w:color="auto"/>
            </w:tcBorders>
            <w:hideMark/>
          </w:tcPr>
          <w:p w:rsidR="00C95557" w:rsidRPr="00E16337" w:rsidRDefault="00C95557" w:rsidP="00FF6775">
            <w:pPr>
              <w:pStyle w:val="Rientrocorpodeltesto"/>
              <w:spacing w:after="0"/>
              <w:ind w:left="0"/>
              <w:jc w:val="center"/>
              <w:rPr>
                <w:rFonts w:asciiTheme="minorHAnsi" w:hAnsiTheme="minorHAnsi"/>
              </w:rPr>
            </w:pPr>
            <w:r w:rsidRPr="00E16337">
              <w:rPr>
                <w:rFonts w:asciiTheme="minorHAnsi" w:hAnsiTheme="minorHAnsi"/>
              </w:rPr>
              <w:t>1766</w:t>
            </w:r>
          </w:p>
        </w:tc>
        <w:tc>
          <w:tcPr>
            <w:tcW w:w="2091" w:type="dxa"/>
            <w:tcBorders>
              <w:top w:val="single" w:sz="4" w:space="0" w:color="auto"/>
              <w:left w:val="single" w:sz="4" w:space="0" w:color="auto"/>
              <w:bottom w:val="single" w:sz="4" w:space="0" w:color="auto"/>
              <w:right w:val="single" w:sz="4" w:space="0" w:color="auto"/>
            </w:tcBorders>
            <w:hideMark/>
          </w:tcPr>
          <w:p w:rsidR="00C95557" w:rsidRPr="00E16337" w:rsidRDefault="00C95557" w:rsidP="00FF6775">
            <w:pPr>
              <w:pStyle w:val="Rientrocorpodeltesto"/>
              <w:spacing w:after="0"/>
              <w:ind w:left="0"/>
              <w:jc w:val="center"/>
              <w:rPr>
                <w:rFonts w:asciiTheme="minorHAnsi" w:hAnsiTheme="minorHAnsi"/>
              </w:rPr>
            </w:pPr>
            <w:r w:rsidRPr="00E16337">
              <w:rPr>
                <w:rFonts w:asciiTheme="minorHAnsi" w:hAnsiTheme="minorHAnsi"/>
              </w:rPr>
              <w:t>1898</w:t>
            </w:r>
          </w:p>
        </w:tc>
        <w:tc>
          <w:tcPr>
            <w:tcW w:w="1475" w:type="dxa"/>
            <w:tcBorders>
              <w:top w:val="single" w:sz="4" w:space="0" w:color="auto"/>
              <w:left w:val="single" w:sz="4" w:space="0" w:color="auto"/>
              <w:bottom w:val="single" w:sz="4" w:space="0" w:color="auto"/>
              <w:right w:val="single" w:sz="4" w:space="0" w:color="auto"/>
            </w:tcBorders>
            <w:hideMark/>
          </w:tcPr>
          <w:p w:rsidR="00C95557" w:rsidRPr="00E16337" w:rsidRDefault="00C95557" w:rsidP="00FF6775">
            <w:pPr>
              <w:pStyle w:val="Rientrocorpodeltesto"/>
              <w:spacing w:after="0"/>
              <w:ind w:left="0"/>
              <w:jc w:val="center"/>
              <w:rPr>
                <w:rFonts w:asciiTheme="minorHAnsi" w:hAnsiTheme="minorHAnsi"/>
              </w:rPr>
            </w:pPr>
            <w:r w:rsidRPr="00E16337">
              <w:rPr>
                <w:rFonts w:asciiTheme="minorHAnsi" w:hAnsiTheme="minorHAnsi"/>
              </w:rPr>
              <w:t>0.925</w:t>
            </w:r>
          </w:p>
        </w:tc>
        <w:tc>
          <w:tcPr>
            <w:tcW w:w="2377" w:type="dxa"/>
            <w:tcBorders>
              <w:top w:val="single" w:sz="4" w:space="0" w:color="auto"/>
              <w:left w:val="single" w:sz="4" w:space="0" w:color="auto"/>
              <w:bottom w:val="single" w:sz="4" w:space="0" w:color="auto"/>
              <w:right w:val="single" w:sz="4" w:space="0" w:color="auto"/>
            </w:tcBorders>
            <w:hideMark/>
          </w:tcPr>
          <w:p w:rsidR="00C95557" w:rsidRPr="00E16337" w:rsidRDefault="00C95557" w:rsidP="00DD290B">
            <w:pPr>
              <w:pStyle w:val="Rientrocorpodeltesto"/>
              <w:spacing w:after="0"/>
              <w:ind w:left="0"/>
              <w:jc w:val="center"/>
              <w:rPr>
                <w:rFonts w:asciiTheme="minorHAnsi" w:hAnsiTheme="minorHAnsi"/>
              </w:rPr>
            </w:pPr>
            <w:r w:rsidRPr="00E16337">
              <w:rPr>
                <w:rFonts w:asciiTheme="minorHAnsi" w:hAnsiTheme="minorHAnsi"/>
              </w:rPr>
              <w:t>86.6</w:t>
            </w:r>
            <w:r>
              <w:rPr>
                <w:rFonts w:asciiTheme="minorHAnsi" w:hAnsiTheme="minorHAnsi"/>
              </w:rPr>
              <w:t>2</w:t>
            </w:r>
            <w:r w:rsidRPr="00E16337">
              <w:rPr>
                <w:rFonts w:asciiTheme="minorHAnsi" w:hAnsiTheme="minorHAnsi"/>
              </w:rPr>
              <w:t>-98.8</w:t>
            </w:r>
            <w:r>
              <w:rPr>
                <w:rFonts w:asciiTheme="minorHAnsi" w:hAnsiTheme="minorHAnsi"/>
              </w:rPr>
              <w:t>7</w:t>
            </w:r>
          </w:p>
        </w:tc>
      </w:tr>
    </w:tbl>
    <w:p w:rsidR="00937557" w:rsidRPr="00184DBA" w:rsidRDefault="00937557" w:rsidP="00FF6775">
      <w:pPr>
        <w:spacing w:after="0" w:line="240" w:lineRule="auto"/>
        <w:rPr>
          <w:rFonts w:cs="Arial"/>
          <w:highlight w:val="yellow"/>
          <w:lang w:val="en-GB"/>
        </w:rPr>
      </w:pPr>
    </w:p>
    <w:p w:rsidR="00E16337" w:rsidRDefault="00E16337" w:rsidP="00FF6775">
      <w:pPr>
        <w:spacing w:after="0" w:line="240" w:lineRule="auto"/>
        <w:rPr>
          <w:rFonts w:cs="Arial"/>
          <w:lang w:val="en-GB"/>
        </w:rPr>
      </w:pPr>
    </w:p>
    <w:p w:rsidR="00E16337" w:rsidRPr="00184DBA" w:rsidRDefault="00E16337" w:rsidP="00FF6775">
      <w:pPr>
        <w:pStyle w:val="Paragrafoelenco"/>
        <w:numPr>
          <w:ilvl w:val="0"/>
          <w:numId w:val="9"/>
        </w:numPr>
        <w:spacing w:after="0" w:line="240" w:lineRule="auto"/>
        <w:rPr>
          <w:rFonts w:cs="Arial"/>
          <w:u w:val="single"/>
          <w:lang w:val="en-GB"/>
        </w:rPr>
      </w:pPr>
      <w:r w:rsidRPr="00184DBA">
        <w:rPr>
          <w:rFonts w:cs="Arial"/>
          <w:u w:val="single"/>
          <w:lang w:val="en-GB"/>
        </w:rPr>
        <w:t xml:space="preserve">Studio in dose </w:t>
      </w:r>
      <w:r>
        <w:rPr>
          <w:rFonts w:cs="Arial"/>
          <w:u w:val="single"/>
        </w:rPr>
        <w:t>multipla</w:t>
      </w:r>
    </w:p>
    <w:p w:rsidR="00E16337" w:rsidRPr="00E16337" w:rsidRDefault="00E16337" w:rsidP="00FF6775">
      <w:pPr>
        <w:spacing w:after="0" w:line="240" w:lineRule="auto"/>
        <w:jc w:val="both"/>
        <w:rPr>
          <w:rFonts w:cs="Arial"/>
        </w:rPr>
      </w:pPr>
      <w:r w:rsidRPr="00E16337">
        <w:t xml:space="preserve">Lo studio di bioequivalenza è uno studio comparativo, controllato,  randomizzato, a dose </w:t>
      </w:r>
      <w:r>
        <w:t>ripetuta (3 cerotti successivi mantenuti per 72 ore)</w:t>
      </w:r>
      <w:r w:rsidRPr="00E16337">
        <w:t xml:space="preserve">, 2-periodi, crossover condotto in </w:t>
      </w:r>
      <w:r>
        <w:t>36</w:t>
      </w:r>
      <w:r w:rsidRPr="00E16337">
        <w:t xml:space="preserve"> volontari sani, uomini e donne</w:t>
      </w:r>
      <w:r w:rsidRPr="00E16337">
        <w:rPr>
          <w:rFonts w:cs="Arial"/>
        </w:rPr>
        <w:t xml:space="preserve">. </w:t>
      </w:r>
      <w:r w:rsidRPr="00E16337">
        <w:t xml:space="preserve">Un soddisfacente periodo di wash-out di </w:t>
      </w:r>
      <w:r>
        <w:rPr>
          <w:rFonts w:cs="Arial"/>
        </w:rPr>
        <w:t>10</w:t>
      </w:r>
      <w:r w:rsidRPr="00E16337">
        <w:rPr>
          <w:rFonts w:cs="Arial"/>
        </w:rPr>
        <w:t xml:space="preserve"> giorni è stato previsto tra le somministrazioni in ogni gruppo.</w:t>
      </w:r>
    </w:p>
    <w:p w:rsidR="00E16337" w:rsidRDefault="00E16337" w:rsidP="00FF6775">
      <w:pPr>
        <w:spacing w:after="0" w:line="240" w:lineRule="auto"/>
        <w:jc w:val="both"/>
        <w:rPr>
          <w:rFonts w:cs="Arial"/>
        </w:rPr>
      </w:pPr>
      <w:r w:rsidRPr="00373C51">
        <w:rPr>
          <w:rFonts w:cs="Arial"/>
        </w:rPr>
        <w:t xml:space="preserve">Durante ogni trattamento, sono stati somministrati a ciascun soggetto </w:t>
      </w:r>
      <w:r w:rsidR="00C95557">
        <w:rPr>
          <w:rFonts w:cs="Arial"/>
        </w:rPr>
        <w:t>50</w:t>
      </w:r>
      <w:r w:rsidRPr="00373C51">
        <w:rPr>
          <w:rFonts w:cs="Arial"/>
        </w:rPr>
        <w:t xml:space="preserve"> mg di </w:t>
      </w:r>
      <w:proofErr w:type="spellStart"/>
      <w:r w:rsidRPr="00373C51">
        <w:rPr>
          <w:rFonts w:cs="Arial"/>
        </w:rPr>
        <w:t>naltrexone</w:t>
      </w:r>
      <w:proofErr w:type="spellEnd"/>
      <w:r w:rsidRPr="00373C51">
        <w:rPr>
          <w:rFonts w:cs="Arial"/>
        </w:rPr>
        <w:t xml:space="preserve"> </w:t>
      </w:r>
      <w:r>
        <w:rPr>
          <w:rFonts w:cs="Arial"/>
        </w:rPr>
        <w:t xml:space="preserve">12 ore prima dell’applicazione del cerotto, 50 mg un’ora prima dell’applicazione, durante il trattamento e dopo la rimozione del cerotto </w:t>
      </w:r>
      <w:r w:rsidRPr="00373C51">
        <w:rPr>
          <w:rFonts w:cs="Arial"/>
        </w:rPr>
        <w:t>come protezione da effetti eccessivi da oppi</w:t>
      </w:r>
      <w:r>
        <w:rPr>
          <w:rFonts w:cs="Arial"/>
        </w:rPr>
        <w:t>a</w:t>
      </w:r>
      <w:r w:rsidRPr="00373C51">
        <w:rPr>
          <w:rFonts w:cs="Arial"/>
        </w:rPr>
        <w:t>cei.</w:t>
      </w:r>
    </w:p>
    <w:p w:rsidR="00E16337" w:rsidRPr="00E16337" w:rsidRDefault="00E16337" w:rsidP="00FF6775">
      <w:pPr>
        <w:pStyle w:val="Paragrafoelenco"/>
        <w:spacing w:after="0" w:line="240" w:lineRule="auto"/>
        <w:ind w:left="0"/>
        <w:jc w:val="both"/>
        <w:rPr>
          <w:rFonts w:cs="Arial"/>
        </w:rPr>
      </w:pPr>
      <w:r w:rsidRPr="00006FEB">
        <w:rPr>
          <w:rFonts w:cs="Arial"/>
        </w:rPr>
        <w:t>Campioni di sangue sono stati prelevati al tempo zero (</w:t>
      </w:r>
      <w:proofErr w:type="spellStart"/>
      <w:r w:rsidRPr="00006FEB">
        <w:rPr>
          <w:rFonts w:cs="Arial"/>
        </w:rPr>
        <w:t>pre-dose</w:t>
      </w:r>
      <w:proofErr w:type="spellEnd"/>
      <w:r w:rsidRPr="00006FEB">
        <w:rPr>
          <w:rFonts w:cs="Arial"/>
        </w:rPr>
        <w:t>)</w:t>
      </w:r>
      <w:r w:rsidR="00937557">
        <w:rPr>
          <w:rFonts w:cs="Arial"/>
        </w:rPr>
        <w:t>, prima di ogni applicazione (giorno 1, 4 e 7)</w:t>
      </w:r>
      <w:r w:rsidRPr="00006FEB">
        <w:rPr>
          <w:rFonts w:cs="Arial"/>
        </w:rPr>
        <w:t xml:space="preserve"> e a specificati tempi fino a 72 ore dopo</w:t>
      </w:r>
      <w:r w:rsidR="00937557">
        <w:rPr>
          <w:rFonts w:cs="Arial"/>
        </w:rPr>
        <w:t xml:space="preserve"> ogni </w:t>
      </w:r>
      <w:r w:rsidRPr="00006FEB">
        <w:rPr>
          <w:rFonts w:cs="Arial"/>
        </w:rPr>
        <w:t>applicazione del cerotto</w:t>
      </w:r>
      <w:r w:rsidR="00937557">
        <w:rPr>
          <w:rFonts w:cs="Arial"/>
        </w:rPr>
        <w:t xml:space="preserve"> e fino a 120 ore dopo la rimozione del terzo cerotto.</w:t>
      </w:r>
      <w:r w:rsidRPr="00006FEB">
        <w:rPr>
          <w:rFonts w:cs="Arial"/>
        </w:rPr>
        <w:t xml:space="preserve"> I livelli plasmatici del  principio attivo </w:t>
      </w:r>
      <w:proofErr w:type="spellStart"/>
      <w:r w:rsidRPr="00006FEB">
        <w:rPr>
          <w:rFonts w:cs="Arial"/>
        </w:rPr>
        <w:t>fentanil</w:t>
      </w:r>
      <w:proofErr w:type="spellEnd"/>
      <w:r w:rsidRPr="00006FEB">
        <w:rPr>
          <w:rFonts w:cs="Arial"/>
        </w:rPr>
        <w:t xml:space="preserve"> sono stati determinati mediante un metodo </w:t>
      </w:r>
      <w:r w:rsidRPr="00E16337">
        <w:rPr>
          <w:rFonts w:cs="Arial"/>
        </w:rPr>
        <w:t>analitico HPLC-MS-MS opportunamente convalidato.</w:t>
      </w:r>
    </w:p>
    <w:p w:rsidR="00E16337" w:rsidRPr="00E16337" w:rsidRDefault="00E16337" w:rsidP="00E16337">
      <w:pPr>
        <w:pStyle w:val="Text"/>
        <w:spacing w:line="240" w:lineRule="auto"/>
        <w:ind w:left="0"/>
        <w:rPr>
          <w:rFonts w:asciiTheme="minorHAnsi" w:hAnsiTheme="minorHAnsi"/>
          <w:sz w:val="22"/>
          <w:szCs w:val="22"/>
          <w:lang w:val="it-IT"/>
        </w:rPr>
      </w:pPr>
      <w:r w:rsidRPr="00E16337">
        <w:rPr>
          <w:rFonts w:asciiTheme="minorHAnsi" w:hAnsiTheme="minorHAnsi"/>
          <w:sz w:val="22"/>
          <w:szCs w:val="22"/>
        </w:rPr>
        <w:t xml:space="preserve">Le </w:t>
      </w:r>
      <w:proofErr w:type="spellStart"/>
      <w:r w:rsidRPr="00E16337">
        <w:rPr>
          <w:rFonts w:asciiTheme="minorHAnsi" w:hAnsiTheme="minorHAnsi"/>
          <w:sz w:val="22"/>
          <w:szCs w:val="22"/>
        </w:rPr>
        <w:t>variabili</w:t>
      </w:r>
      <w:proofErr w:type="spellEnd"/>
      <w:r w:rsidRPr="00E16337">
        <w:rPr>
          <w:rFonts w:asciiTheme="minorHAnsi" w:hAnsiTheme="minorHAnsi"/>
          <w:sz w:val="22"/>
          <w:szCs w:val="22"/>
        </w:rPr>
        <w:t xml:space="preserve"> </w:t>
      </w:r>
      <w:proofErr w:type="spellStart"/>
      <w:r w:rsidRPr="00E16337">
        <w:rPr>
          <w:rFonts w:asciiTheme="minorHAnsi" w:hAnsiTheme="minorHAnsi"/>
          <w:sz w:val="22"/>
          <w:szCs w:val="22"/>
        </w:rPr>
        <w:t>farmacocinetiche</w:t>
      </w:r>
      <w:proofErr w:type="spellEnd"/>
      <w:r w:rsidRPr="00E16337">
        <w:rPr>
          <w:rFonts w:asciiTheme="minorHAnsi" w:hAnsiTheme="minorHAnsi"/>
          <w:sz w:val="22"/>
          <w:szCs w:val="22"/>
        </w:rPr>
        <w:t xml:space="preserve"> definite </w:t>
      </w:r>
      <w:proofErr w:type="spellStart"/>
      <w:r w:rsidRPr="00E16337">
        <w:rPr>
          <w:rFonts w:asciiTheme="minorHAnsi" w:hAnsiTheme="minorHAnsi"/>
          <w:sz w:val="22"/>
          <w:szCs w:val="22"/>
        </w:rPr>
        <w:t>sono</w:t>
      </w:r>
      <w:proofErr w:type="spellEnd"/>
      <w:r w:rsidRPr="00E16337">
        <w:rPr>
          <w:rFonts w:asciiTheme="minorHAnsi" w:hAnsiTheme="minorHAnsi"/>
          <w:sz w:val="22"/>
          <w:szCs w:val="22"/>
        </w:rPr>
        <w:t xml:space="preserve"> </w:t>
      </w:r>
      <w:proofErr w:type="spellStart"/>
      <w:r w:rsidRPr="00E16337">
        <w:rPr>
          <w:rFonts w:asciiTheme="minorHAnsi" w:hAnsiTheme="minorHAnsi"/>
          <w:sz w:val="22"/>
          <w:szCs w:val="22"/>
        </w:rPr>
        <w:t>state</w:t>
      </w:r>
      <w:proofErr w:type="spellEnd"/>
      <w:r w:rsidRPr="00E16337">
        <w:rPr>
          <w:rFonts w:asciiTheme="minorHAnsi" w:hAnsiTheme="minorHAnsi"/>
          <w:sz w:val="22"/>
          <w:szCs w:val="22"/>
        </w:rPr>
        <w:t xml:space="preserve">: </w:t>
      </w:r>
      <w:proofErr w:type="spellStart"/>
      <w:r w:rsidR="00C95557" w:rsidRPr="00E16337">
        <w:rPr>
          <w:rFonts w:asciiTheme="minorHAnsi" w:hAnsiTheme="minorHAnsi"/>
          <w:sz w:val="22"/>
          <w:szCs w:val="22"/>
          <w:lang w:val="it-IT"/>
        </w:rPr>
        <w:t>C</w:t>
      </w:r>
      <w:r w:rsidR="00C95557" w:rsidRPr="00E16337">
        <w:rPr>
          <w:rFonts w:asciiTheme="minorHAnsi" w:hAnsiTheme="minorHAnsi"/>
          <w:sz w:val="22"/>
          <w:szCs w:val="22"/>
          <w:vertAlign w:val="subscript"/>
          <w:lang w:val="it-IT"/>
        </w:rPr>
        <w:t>max</w:t>
      </w:r>
      <w:proofErr w:type="spellEnd"/>
      <w:r w:rsidR="00C95557">
        <w:rPr>
          <w:rFonts w:asciiTheme="minorHAnsi" w:hAnsiTheme="minorHAnsi"/>
          <w:sz w:val="22"/>
          <w:szCs w:val="22"/>
          <w:lang w:val="it-IT"/>
        </w:rPr>
        <w:t>,</w:t>
      </w:r>
      <w:r w:rsidR="00C95557" w:rsidRPr="00E16337">
        <w:rPr>
          <w:rFonts w:asciiTheme="minorHAnsi" w:hAnsiTheme="minorHAnsi"/>
          <w:sz w:val="22"/>
          <w:szCs w:val="22"/>
          <w:lang w:val="it-IT"/>
        </w:rPr>
        <w:t xml:space="preserve"> </w:t>
      </w:r>
      <w:r w:rsidR="00C95557">
        <w:rPr>
          <w:rFonts w:asciiTheme="minorHAnsi" w:hAnsiTheme="minorHAnsi"/>
          <w:sz w:val="22"/>
          <w:szCs w:val="22"/>
          <w:lang w:val="it-IT"/>
        </w:rPr>
        <w:t xml:space="preserve">, </w:t>
      </w:r>
      <w:proofErr w:type="spellStart"/>
      <w:r w:rsidR="00C95557" w:rsidRPr="00E16337">
        <w:rPr>
          <w:rFonts w:asciiTheme="minorHAnsi" w:hAnsiTheme="minorHAnsi"/>
          <w:sz w:val="22"/>
          <w:szCs w:val="22"/>
          <w:lang w:val="it-IT"/>
        </w:rPr>
        <w:t>C</w:t>
      </w:r>
      <w:r w:rsidR="00C95557">
        <w:rPr>
          <w:rFonts w:asciiTheme="minorHAnsi" w:hAnsiTheme="minorHAnsi"/>
          <w:sz w:val="22"/>
          <w:szCs w:val="22"/>
          <w:vertAlign w:val="subscript"/>
          <w:lang w:val="it-IT"/>
        </w:rPr>
        <w:t>min</w:t>
      </w:r>
      <w:proofErr w:type="spellEnd"/>
      <w:r w:rsidR="00C95557" w:rsidRPr="00E16337">
        <w:rPr>
          <w:rFonts w:asciiTheme="minorHAnsi" w:hAnsiTheme="minorHAnsi"/>
          <w:sz w:val="22"/>
          <w:szCs w:val="22"/>
          <w:lang w:val="it-IT"/>
        </w:rPr>
        <w:t>,</w:t>
      </w:r>
      <w:r w:rsidR="00C95557">
        <w:rPr>
          <w:rFonts w:asciiTheme="minorHAnsi" w:hAnsiTheme="minorHAnsi"/>
          <w:sz w:val="22"/>
          <w:szCs w:val="22"/>
          <w:lang w:val="it-IT"/>
        </w:rPr>
        <w:t xml:space="preserve"> </w:t>
      </w:r>
      <w:proofErr w:type="spellStart"/>
      <w:r w:rsidR="00C95557" w:rsidRPr="00E16337">
        <w:rPr>
          <w:rFonts w:asciiTheme="minorHAnsi" w:hAnsiTheme="minorHAnsi"/>
          <w:sz w:val="22"/>
          <w:szCs w:val="22"/>
          <w:lang w:val="it-IT"/>
        </w:rPr>
        <w:t>t</w:t>
      </w:r>
      <w:r w:rsidR="00C95557" w:rsidRPr="00E16337">
        <w:rPr>
          <w:rFonts w:asciiTheme="minorHAnsi" w:hAnsiTheme="minorHAnsi"/>
          <w:sz w:val="22"/>
          <w:szCs w:val="22"/>
          <w:vertAlign w:val="subscript"/>
          <w:lang w:val="it-IT"/>
        </w:rPr>
        <w:t>max</w:t>
      </w:r>
      <w:proofErr w:type="spellEnd"/>
      <w:r w:rsidR="00C95557" w:rsidRPr="00E16337">
        <w:rPr>
          <w:rFonts w:asciiTheme="minorHAnsi" w:hAnsiTheme="minorHAnsi"/>
          <w:sz w:val="22"/>
          <w:szCs w:val="22"/>
          <w:lang w:val="it-IT"/>
        </w:rPr>
        <w:t>, AUC</w:t>
      </w:r>
      <w:r w:rsidR="00C95557">
        <w:rPr>
          <w:rFonts w:asciiTheme="minorHAnsi" w:hAnsiTheme="minorHAnsi"/>
          <w:sz w:val="22"/>
          <w:szCs w:val="22"/>
          <w:lang w:val="it-IT"/>
        </w:rPr>
        <w:t xml:space="preserve"> </w:t>
      </w:r>
      <w:r w:rsidR="00C95557">
        <w:rPr>
          <w:rFonts w:asciiTheme="minorHAnsi" w:hAnsiTheme="minorHAnsi"/>
          <w:sz w:val="22"/>
          <w:szCs w:val="22"/>
          <w:vertAlign w:val="subscript"/>
          <w:lang w:val="it-IT"/>
        </w:rPr>
        <w:t xml:space="preserve">t-0 </w:t>
      </w:r>
      <w:r w:rsidR="00C95557">
        <w:rPr>
          <w:rFonts w:asciiTheme="minorHAnsi" w:hAnsiTheme="minorHAnsi"/>
          <w:sz w:val="22"/>
          <w:szCs w:val="22"/>
          <w:lang w:val="it-IT"/>
        </w:rPr>
        <w:t xml:space="preserve"> e </w:t>
      </w:r>
      <w:proofErr w:type="spellStart"/>
      <w:r w:rsidR="00C95557">
        <w:rPr>
          <w:rFonts w:asciiTheme="minorHAnsi" w:hAnsiTheme="minorHAnsi"/>
          <w:sz w:val="22"/>
          <w:szCs w:val="22"/>
          <w:lang w:val="it-IT"/>
        </w:rPr>
        <w:t>%FI</w:t>
      </w:r>
      <w:proofErr w:type="spellEnd"/>
      <w:r w:rsidR="00C95557" w:rsidRPr="00E16337">
        <w:rPr>
          <w:rFonts w:asciiTheme="minorHAnsi" w:hAnsiTheme="minorHAnsi"/>
          <w:sz w:val="22"/>
          <w:szCs w:val="22"/>
          <w:lang w:val="it-IT"/>
        </w:rPr>
        <w:t>.</w:t>
      </w:r>
    </w:p>
    <w:p w:rsidR="00E16337" w:rsidRPr="00E16337" w:rsidRDefault="00E16337" w:rsidP="00E16337">
      <w:pPr>
        <w:pStyle w:val="Paragrafoelenco"/>
        <w:spacing w:after="0" w:line="240" w:lineRule="auto"/>
        <w:ind w:left="0"/>
        <w:jc w:val="both"/>
        <w:rPr>
          <w:rFonts w:cs="Arial"/>
        </w:rPr>
      </w:pPr>
      <w:r w:rsidRPr="00E16337">
        <w:rPr>
          <w:rFonts w:cs="Arial"/>
        </w:rPr>
        <w:t xml:space="preserve">La bioequivalenza tra medicinale test e medicinale di riferimento è dimostrata se gli intervalli di confidenza al 90% per la trasformata logaritmica di  </w:t>
      </w:r>
      <w:proofErr w:type="spellStart"/>
      <w:r w:rsidR="00C95557" w:rsidRPr="00E16337">
        <w:rPr>
          <w:rFonts w:cs="Arial"/>
        </w:rPr>
        <w:t>C</w:t>
      </w:r>
      <w:r w:rsidR="00C95557" w:rsidRPr="00E16337">
        <w:rPr>
          <w:rFonts w:cs="Arial"/>
          <w:vertAlign w:val="subscript"/>
        </w:rPr>
        <w:t>max</w:t>
      </w:r>
      <w:proofErr w:type="spellEnd"/>
      <w:r w:rsidR="00C95557" w:rsidRPr="00E16337">
        <w:rPr>
          <w:rFonts w:cs="Arial"/>
        </w:rPr>
        <w:t xml:space="preserve">, </w:t>
      </w:r>
      <w:r w:rsidR="00C95557" w:rsidRPr="00E16337">
        <w:t>AUC</w:t>
      </w:r>
      <w:r w:rsidR="00C95557">
        <w:t xml:space="preserve"> </w:t>
      </w:r>
      <w:r w:rsidR="00C95557">
        <w:rPr>
          <w:vertAlign w:val="subscript"/>
        </w:rPr>
        <w:t xml:space="preserve">0-t </w:t>
      </w:r>
      <w:r w:rsidR="00C95557" w:rsidRPr="00E16337">
        <w:t xml:space="preserve"> e </w:t>
      </w:r>
      <w:r w:rsidR="00C95557">
        <w:t>C</w:t>
      </w:r>
      <w:r w:rsidR="00C95557">
        <w:rPr>
          <w:vertAlign w:val="subscript"/>
        </w:rPr>
        <w:t xml:space="preserve"> min</w:t>
      </w:r>
      <w:r w:rsidR="00C95557" w:rsidRPr="00E16337">
        <w:rPr>
          <w:rFonts w:cs="Arial"/>
        </w:rPr>
        <w:t xml:space="preserve"> </w:t>
      </w:r>
      <w:r w:rsidRPr="00E16337">
        <w:rPr>
          <w:rFonts w:cs="Arial"/>
        </w:rPr>
        <w:t xml:space="preserve">cadono nel </w:t>
      </w:r>
      <w:proofErr w:type="spellStart"/>
      <w:r w:rsidRPr="00E16337">
        <w:rPr>
          <w:rFonts w:cs="Arial"/>
        </w:rPr>
        <w:t>range</w:t>
      </w:r>
      <w:proofErr w:type="spellEnd"/>
      <w:r w:rsidRPr="00E16337">
        <w:rPr>
          <w:rFonts w:cs="Arial"/>
        </w:rPr>
        <w:t xml:space="preserve"> di accettabilità di 0.80-1.25 (80%-125%).</w:t>
      </w:r>
    </w:p>
    <w:p w:rsidR="00E16337" w:rsidRPr="00184DBA" w:rsidRDefault="00E16337" w:rsidP="00E16337">
      <w:pPr>
        <w:pStyle w:val="Paragrafoelenco"/>
        <w:spacing w:after="0" w:line="240" w:lineRule="auto"/>
        <w:ind w:left="0"/>
        <w:jc w:val="both"/>
        <w:rPr>
          <w:highlight w:val="yellow"/>
        </w:rPr>
      </w:pPr>
    </w:p>
    <w:p w:rsidR="00E16337" w:rsidRPr="00373C51" w:rsidRDefault="00E16337" w:rsidP="00E16337">
      <w:pPr>
        <w:pStyle w:val="Paragrafoelenco"/>
        <w:spacing w:after="0" w:line="240" w:lineRule="auto"/>
        <w:ind w:left="0"/>
        <w:jc w:val="both"/>
        <w:rPr>
          <w:u w:val="single"/>
        </w:rPr>
      </w:pPr>
      <w:r w:rsidRPr="00373C51">
        <w:rPr>
          <w:u w:val="single"/>
        </w:rPr>
        <w:t>Risultati</w:t>
      </w:r>
    </w:p>
    <w:p w:rsidR="00E16337" w:rsidRPr="00373C51" w:rsidRDefault="00E16337" w:rsidP="00E16337">
      <w:pPr>
        <w:pStyle w:val="Paragrafoelenco"/>
        <w:spacing w:after="0" w:line="240" w:lineRule="auto"/>
        <w:ind w:left="0"/>
        <w:jc w:val="both"/>
        <w:rPr>
          <w:rFonts w:cs="Arial"/>
        </w:rPr>
      </w:pPr>
      <w:r>
        <w:rPr>
          <w:rFonts w:cs="Arial"/>
        </w:rPr>
        <w:t>36</w:t>
      </w:r>
      <w:r w:rsidRPr="00373C51">
        <w:rPr>
          <w:rFonts w:cs="Arial"/>
        </w:rPr>
        <w:t xml:space="preserve"> volontari sani sono stati arruolati nello studio. </w:t>
      </w:r>
      <w:r>
        <w:rPr>
          <w:rFonts w:cs="Arial"/>
        </w:rPr>
        <w:t>3</w:t>
      </w:r>
      <w:r w:rsidR="00C95557">
        <w:rPr>
          <w:rFonts w:cs="Arial"/>
        </w:rPr>
        <w:t>1</w:t>
      </w:r>
      <w:r w:rsidRPr="00373C51">
        <w:rPr>
          <w:rFonts w:cs="Arial"/>
        </w:rPr>
        <w:t xml:space="preserve"> soggetti hanno completato lo studio e sono stati inclusi nell’analisi farmacocinetica.</w:t>
      </w:r>
    </w:p>
    <w:p w:rsidR="00E16337" w:rsidRDefault="00E16337" w:rsidP="00E16337">
      <w:pPr>
        <w:spacing w:after="0" w:line="240" w:lineRule="auto"/>
      </w:pPr>
    </w:p>
    <w:p w:rsidR="00FF6775" w:rsidRPr="00DA7FA7" w:rsidRDefault="00FF6775" w:rsidP="00FF6775">
      <w:pPr>
        <w:pStyle w:val="Didascalia"/>
        <w:keepNext/>
        <w:spacing w:before="0" w:after="0"/>
        <w:jc w:val="both"/>
        <w:outlineLvl w:val="0"/>
        <w:rPr>
          <w:rFonts w:ascii="Calibri" w:hAnsi="Calibri" w:cs="Arial"/>
          <w:b w:val="0"/>
          <w:sz w:val="22"/>
          <w:szCs w:val="22"/>
          <w:lang w:val="it-IT"/>
        </w:rPr>
      </w:pPr>
      <w:r w:rsidRPr="00DA7FA7">
        <w:rPr>
          <w:rFonts w:ascii="Calibri" w:hAnsi="Calibri" w:cs="Arial"/>
          <w:b w:val="0"/>
          <w:i/>
          <w:sz w:val="22"/>
          <w:szCs w:val="22"/>
          <w:lang w:val="it-IT"/>
        </w:rPr>
        <w:t>Sicurezza</w:t>
      </w:r>
    </w:p>
    <w:p w:rsidR="00FF6775" w:rsidRPr="00DA7FA7" w:rsidRDefault="00FF6775" w:rsidP="00FF6775">
      <w:pPr>
        <w:pStyle w:val="Didascalia"/>
        <w:keepNext/>
        <w:spacing w:before="0" w:after="0"/>
        <w:jc w:val="both"/>
        <w:outlineLvl w:val="0"/>
        <w:rPr>
          <w:rFonts w:ascii="Calibri" w:hAnsi="Calibri" w:cs="Arial"/>
          <w:b w:val="0"/>
          <w:sz w:val="22"/>
          <w:szCs w:val="22"/>
          <w:lang w:val="it-IT"/>
        </w:rPr>
      </w:pPr>
      <w:r>
        <w:rPr>
          <w:rFonts w:ascii="Calibri" w:hAnsi="Calibri" w:cs="Arial"/>
          <w:b w:val="0"/>
          <w:sz w:val="22"/>
          <w:szCs w:val="22"/>
          <w:lang w:val="it-IT"/>
        </w:rPr>
        <w:t>Durante lo studio n</w:t>
      </w:r>
      <w:r w:rsidRPr="00DA7FA7">
        <w:rPr>
          <w:rFonts w:ascii="Calibri" w:hAnsi="Calibri" w:cs="Arial"/>
          <w:b w:val="0"/>
          <w:sz w:val="22"/>
          <w:szCs w:val="22"/>
          <w:lang w:val="it-IT"/>
        </w:rPr>
        <w:t>on sono stati rilevati eventi avversi gravi.</w:t>
      </w:r>
    </w:p>
    <w:p w:rsidR="00FF6775" w:rsidRDefault="00FF6775" w:rsidP="00FF6775">
      <w:pPr>
        <w:spacing w:after="0" w:line="240" w:lineRule="auto"/>
        <w:jc w:val="both"/>
      </w:pPr>
      <w:r w:rsidRPr="00DA7FA7">
        <w:rPr>
          <w:rFonts w:ascii="Calibri" w:hAnsi="Calibri" w:cs="Arial"/>
        </w:rPr>
        <w:t xml:space="preserve">Nel corso dello studio,venivano riscontrati </w:t>
      </w:r>
      <w:r>
        <w:rPr>
          <w:rFonts w:ascii="Calibri" w:hAnsi="Calibri" w:cs="Arial"/>
        </w:rPr>
        <w:t xml:space="preserve">in totale </w:t>
      </w:r>
      <w:r>
        <w:t xml:space="preserve">118 </w:t>
      </w:r>
      <w:r w:rsidRPr="00DA7FA7">
        <w:t>eventi avversi giudicati possibilmente correlati con le formulazioni in studio, ed erano tutti di entità lieve o moderata.</w:t>
      </w:r>
    </w:p>
    <w:p w:rsidR="00FF6775" w:rsidRPr="00DA7FA7" w:rsidRDefault="00FF6775" w:rsidP="00FF6775">
      <w:pPr>
        <w:spacing w:after="0" w:line="240" w:lineRule="auto"/>
        <w:jc w:val="both"/>
      </w:pPr>
      <w:r w:rsidRPr="00DA7FA7">
        <w:t>Gli eventi avversi sono stati simili tra medicinale test e medicinal</w:t>
      </w:r>
      <w:r>
        <w:t>e</w:t>
      </w:r>
      <w:r w:rsidRPr="00DA7FA7">
        <w:t xml:space="preserve"> di riferimento. </w:t>
      </w:r>
    </w:p>
    <w:p w:rsidR="00FF6775" w:rsidRPr="00317178" w:rsidRDefault="00FF6775" w:rsidP="00E16337">
      <w:pPr>
        <w:spacing w:after="0" w:line="240" w:lineRule="auto"/>
        <w:rPr>
          <w:highlight w:val="cyan"/>
        </w:rPr>
      </w:pPr>
    </w:p>
    <w:p w:rsidR="00FF6775" w:rsidRPr="006C448B" w:rsidRDefault="00FF6775" w:rsidP="00FF6775">
      <w:pPr>
        <w:spacing w:after="0" w:line="240" w:lineRule="auto"/>
        <w:rPr>
          <w:i/>
        </w:rPr>
      </w:pPr>
      <w:r w:rsidRPr="006C448B">
        <w:rPr>
          <w:i/>
        </w:rPr>
        <w:t>Tollerabilità locale</w:t>
      </w:r>
    </w:p>
    <w:p w:rsidR="00FF6775" w:rsidRPr="00F347A1" w:rsidRDefault="00FF6775" w:rsidP="00FF6775">
      <w:pPr>
        <w:spacing w:after="0" w:line="240" w:lineRule="auto"/>
        <w:jc w:val="both"/>
      </w:pPr>
      <w:r w:rsidRPr="00F347A1">
        <w:t xml:space="preserve">Non sono state rilevate </w:t>
      </w:r>
      <w:r>
        <w:t xml:space="preserve">differenze tra </w:t>
      </w:r>
      <w:r w:rsidRPr="00F347A1">
        <w:t>i trattamenti con medicinale test e medicinale di riferimento. In generale, entrambi,</w:t>
      </w:r>
      <w:r>
        <w:t xml:space="preserve"> sono ben tollerati.</w:t>
      </w:r>
    </w:p>
    <w:p w:rsidR="00FF6775" w:rsidRDefault="00FF6775" w:rsidP="00FF6775">
      <w:pPr>
        <w:tabs>
          <w:tab w:val="num" w:pos="0"/>
        </w:tabs>
        <w:spacing w:after="0" w:line="240" w:lineRule="auto"/>
        <w:jc w:val="both"/>
        <w:rPr>
          <w:highlight w:val="cyan"/>
        </w:rPr>
      </w:pPr>
    </w:p>
    <w:p w:rsidR="00C95557" w:rsidRDefault="00C95557" w:rsidP="00FF6775">
      <w:pPr>
        <w:tabs>
          <w:tab w:val="num" w:pos="0"/>
        </w:tabs>
        <w:spacing w:after="0" w:line="240" w:lineRule="auto"/>
        <w:jc w:val="both"/>
        <w:rPr>
          <w:highlight w:val="cyan"/>
        </w:rPr>
      </w:pPr>
    </w:p>
    <w:p w:rsidR="00C95557" w:rsidRDefault="00C95557" w:rsidP="00FF6775">
      <w:pPr>
        <w:tabs>
          <w:tab w:val="num" w:pos="0"/>
        </w:tabs>
        <w:spacing w:after="0" w:line="240" w:lineRule="auto"/>
        <w:jc w:val="both"/>
        <w:rPr>
          <w:highlight w:val="cyan"/>
        </w:rPr>
      </w:pPr>
    </w:p>
    <w:p w:rsidR="00FF6775" w:rsidRPr="00F347A1" w:rsidRDefault="00FF6775" w:rsidP="00FF6775">
      <w:pPr>
        <w:tabs>
          <w:tab w:val="num" w:pos="0"/>
        </w:tabs>
        <w:spacing w:after="0" w:line="240" w:lineRule="auto"/>
        <w:jc w:val="both"/>
        <w:rPr>
          <w:i/>
        </w:rPr>
      </w:pPr>
      <w:r w:rsidRPr="00F347A1">
        <w:rPr>
          <w:i/>
        </w:rPr>
        <w:lastRenderedPageBreak/>
        <w:t>Adesività</w:t>
      </w:r>
    </w:p>
    <w:p w:rsidR="00FF6775" w:rsidRPr="00F347A1" w:rsidRDefault="00FF6775" w:rsidP="00FF6775">
      <w:pPr>
        <w:tabs>
          <w:tab w:val="num" w:pos="0"/>
        </w:tabs>
        <w:spacing w:after="0" w:line="240" w:lineRule="auto"/>
        <w:jc w:val="both"/>
      </w:pPr>
      <w:r w:rsidRPr="00F347A1">
        <w:t>Non sono state rilevate significative differenze di adesività tra cerotto test e cerotto di riferimento, anche se il primo ha mostrato una adesività leggermente migliore.</w:t>
      </w:r>
    </w:p>
    <w:p w:rsidR="00FF6775" w:rsidRPr="00FF6775" w:rsidRDefault="00FF6775" w:rsidP="00E16337">
      <w:pPr>
        <w:spacing w:after="0" w:line="240" w:lineRule="auto"/>
        <w:rPr>
          <w:highlight w:val="cyan"/>
        </w:rPr>
      </w:pPr>
    </w:p>
    <w:p w:rsidR="00E16337" w:rsidRPr="00E16337" w:rsidRDefault="00E16337" w:rsidP="00E16337">
      <w:pPr>
        <w:pStyle w:val="Didascalia"/>
        <w:keepNext/>
        <w:spacing w:before="0" w:after="0"/>
        <w:jc w:val="both"/>
        <w:outlineLvl w:val="0"/>
        <w:rPr>
          <w:rFonts w:asciiTheme="minorHAnsi" w:hAnsiTheme="minorHAnsi" w:cs="Arial"/>
          <w:b w:val="0"/>
          <w:sz w:val="22"/>
          <w:szCs w:val="22"/>
          <w:lang w:val="it-IT"/>
        </w:rPr>
      </w:pPr>
      <w:r w:rsidRPr="00E16337">
        <w:rPr>
          <w:rFonts w:asciiTheme="minorHAnsi" w:hAnsiTheme="minorHAnsi" w:cs="Arial"/>
          <w:b w:val="0"/>
          <w:i/>
          <w:sz w:val="22"/>
          <w:szCs w:val="22"/>
          <w:lang w:val="it-IT"/>
        </w:rPr>
        <w:t>Parametri farmacocinetici</w:t>
      </w:r>
      <w:r w:rsidRPr="00E16337">
        <w:rPr>
          <w:rFonts w:asciiTheme="minorHAnsi" w:hAnsiTheme="minorHAnsi" w:cs="Arial"/>
          <w:b w:val="0"/>
          <w:sz w:val="22"/>
          <w:szCs w:val="22"/>
          <w:lang w:val="it-IT"/>
        </w:rPr>
        <w:t xml:space="preserve">. </w:t>
      </w:r>
    </w:p>
    <w:p w:rsidR="00E16337" w:rsidRPr="00E16337" w:rsidRDefault="00E16337" w:rsidP="00E16337">
      <w:pPr>
        <w:pStyle w:val="Didascalia"/>
        <w:keepNext/>
        <w:spacing w:before="0" w:after="0"/>
        <w:jc w:val="both"/>
        <w:outlineLvl w:val="0"/>
        <w:rPr>
          <w:rFonts w:asciiTheme="minorHAnsi" w:hAnsiTheme="minorHAnsi" w:cs="Arial"/>
          <w:b w:val="0"/>
          <w:sz w:val="22"/>
          <w:szCs w:val="22"/>
          <w:lang w:val="it-IT"/>
        </w:rPr>
      </w:pPr>
      <w:r w:rsidRPr="00E16337">
        <w:rPr>
          <w:rFonts w:asciiTheme="minorHAnsi" w:hAnsiTheme="minorHAnsi" w:cs="Arial"/>
          <w:b w:val="0"/>
          <w:sz w:val="22"/>
          <w:szCs w:val="22"/>
          <w:lang w:val="it-IT"/>
        </w:rPr>
        <w:t>La sintesi dei risultati dello studio di bioequivalenza è riportata nella tabella che segue.</w:t>
      </w:r>
    </w:p>
    <w:p w:rsidR="00FF6775" w:rsidRDefault="00FF6775" w:rsidP="0021251B">
      <w:pPr>
        <w:spacing w:after="0" w:line="240" w:lineRule="auto"/>
        <w:rPr>
          <w:rFonts w:cs="Arial"/>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4A0"/>
      </w:tblPr>
      <w:tblGrid>
        <w:gridCol w:w="1531"/>
        <w:gridCol w:w="1713"/>
        <w:gridCol w:w="2091"/>
        <w:gridCol w:w="1475"/>
        <w:gridCol w:w="2377"/>
      </w:tblGrid>
      <w:tr w:rsidR="00C95557" w:rsidRPr="00FB1C76" w:rsidTr="00DD290B">
        <w:trPr>
          <w:trHeight w:val="247"/>
          <w:jc w:val="center"/>
        </w:trPr>
        <w:tc>
          <w:tcPr>
            <w:tcW w:w="9187" w:type="dxa"/>
            <w:gridSpan w:val="5"/>
            <w:tcBorders>
              <w:top w:val="single" w:sz="4" w:space="0" w:color="auto"/>
              <w:left w:val="single" w:sz="4" w:space="0" w:color="auto"/>
              <w:bottom w:val="single" w:sz="4" w:space="0" w:color="auto"/>
              <w:right w:val="single" w:sz="4" w:space="0" w:color="auto"/>
            </w:tcBorders>
            <w:vAlign w:val="center"/>
            <w:hideMark/>
          </w:tcPr>
          <w:p w:rsidR="00C95557" w:rsidRPr="00FB1C76" w:rsidRDefault="00C95557" w:rsidP="00DD290B">
            <w:pPr>
              <w:spacing w:after="0" w:line="240" w:lineRule="auto"/>
              <w:jc w:val="center"/>
              <w:rPr>
                <w:rFonts w:ascii="Calibri" w:eastAsia="Calibri" w:hAnsi="Calibri" w:cs="Arial"/>
                <w:b/>
                <w:bCs/>
                <w:sz w:val="20"/>
                <w:szCs w:val="20"/>
              </w:rPr>
            </w:pPr>
            <w:r w:rsidRPr="00FB1C76">
              <w:rPr>
                <w:rFonts w:ascii="Calibri" w:eastAsia="Calibri" w:hAnsi="Calibri" w:cs="Arial"/>
                <w:b/>
                <w:bCs/>
                <w:sz w:val="20"/>
                <w:szCs w:val="20"/>
              </w:rPr>
              <w:t>FENTANIL</w:t>
            </w:r>
          </w:p>
        </w:tc>
      </w:tr>
      <w:tr w:rsidR="00C95557" w:rsidRPr="00FB1C76" w:rsidTr="00DD290B">
        <w:trPr>
          <w:trHeight w:hRule="exact" w:val="284"/>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C95557" w:rsidRPr="00FB1C76" w:rsidRDefault="00C95557" w:rsidP="00DD290B">
            <w:pPr>
              <w:spacing w:after="0" w:line="240" w:lineRule="auto"/>
              <w:jc w:val="center"/>
              <w:rPr>
                <w:rFonts w:ascii="Calibri" w:eastAsia="Calibri" w:hAnsi="Calibri" w:cs="Arial"/>
                <w:b/>
                <w:sz w:val="20"/>
                <w:szCs w:val="20"/>
              </w:rPr>
            </w:pPr>
            <w:r w:rsidRPr="00FB1C76">
              <w:rPr>
                <w:rFonts w:ascii="Calibri" w:eastAsia="Calibri" w:hAnsi="Calibri" w:cs="Arial"/>
                <w:b/>
                <w:sz w:val="20"/>
                <w:szCs w:val="20"/>
              </w:rPr>
              <w:t>Parametro</w:t>
            </w:r>
          </w:p>
        </w:tc>
        <w:tc>
          <w:tcPr>
            <w:tcW w:w="1713" w:type="dxa"/>
            <w:tcBorders>
              <w:top w:val="single" w:sz="4" w:space="0" w:color="auto"/>
              <w:left w:val="single" w:sz="4" w:space="0" w:color="auto"/>
              <w:bottom w:val="single" w:sz="4" w:space="0" w:color="auto"/>
              <w:right w:val="single" w:sz="4" w:space="0" w:color="auto"/>
            </w:tcBorders>
            <w:vAlign w:val="bottom"/>
            <w:hideMark/>
          </w:tcPr>
          <w:p w:rsidR="00C95557" w:rsidRPr="00FB1C76" w:rsidRDefault="00C95557" w:rsidP="00DD290B">
            <w:pPr>
              <w:spacing w:after="0" w:line="240" w:lineRule="auto"/>
              <w:jc w:val="center"/>
              <w:rPr>
                <w:rFonts w:ascii="Calibri" w:eastAsia="Calibri" w:hAnsi="Calibri" w:cs="Arial"/>
                <w:b/>
                <w:sz w:val="20"/>
                <w:szCs w:val="20"/>
              </w:rPr>
            </w:pPr>
            <w:r w:rsidRPr="00FB1C76">
              <w:rPr>
                <w:rFonts w:ascii="Calibri" w:eastAsia="Calibri" w:hAnsi="Calibri" w:cs="Arial"/>
                <w:b/>
                <w:sz w:val="20"/>
                <w:szCs w:val="20"/>
              </w:rPr>
              <w:t xml:space="preserve">Test (A) </w:t>
            </w:r>
          </w:p>
        </w:tc>
        <w:tc>
          <w:tcPr>
            <w:tcW w:w="2091" w:type="dxa"/>
            <w:tcBorders>
              <w:top w:val="single" w:sz="4" w:space="0" w:color="auto"/>
              <w:left w:val="single" w:sz="4" w:space="0" w:color="auto"/>
              <w:bottom w:val="single" w:sz="4" w:space="0" w:color="auto"/>
              <w:right w:val="single" w:sz="4" w:space="0" w:color="auto"/>
            </w:tcBorders>
            <w:vAlign w:val="bottom"/>
            <w:hideMark/>
          </w:tcPr>
          <w:p w:rsidR="00C95557" w:rsidRPr="00FB1C76" w:rsidRDefault="00C95557" w:rsidP="00DD290B">
            <w:pPr>
              <w:spacing w:after="0" w:line="240" w:lineRule="auto"/>
              <w:jc w:val="center"/>
              <w:rPr>
                <w:rFonts w:ascii="Calibri" w:eastAsia="Calibri" w:hAnsi="Calibri" w:cs="Arial"/>
                <w:b/>
                <w:sz w:val="20"/>
                <w:szCs w:val="20"/>
              </w:rPr>
            </w:pPr>
            <w:proofErr w:type="spellStart"/>
            <w:r w:rsidRPr="00FB1C76">
              <w:rPr>
                <w:rFonts w:ascii="Calibri" w:eastAsia="Calibri" w:hAnsi="Calibri" w:cs="Arial"/>
                <w:b/>
                <w:sz w:val="20"/>
                <w:szCs w:val="20"/>
              </w:rPr>
              <w:t>Reference</w:t>
            </w:r>
            <w:proofErr w:type="spellEnd"/>
            <w:r w:rsidRPr="00FB1C76">
              <w:rPr>
                <w:rFonts w:ascii="Calibri" w:eastAsia="Calibri" w:hAnsi="Calibri" w:cs="Arial"/>
                <w:b/>
                <w:sz w:val="20"/>
                <w:szCs w:val="20"/>
              </w:rPr>
              <w:t xml:space="preserve"> (B) </w:t>
            </w:r>
          </w:p>
        </w:tc>
        <w:tc>
          <w:tcPr>
            <w:tcW w:w="1475" w:type="dxa"/>
            <w:tcBorders>
              <w:top w:val="single" w:sz="4" w:space="0" w:color="auto"/>
              <w:left w:val="single" w:sz="4" w:space="0" w:color="auto"/>
              <w:bottom w:val="single" w:sz="4" w:space="0" w:color="auto"/>
              <w:right w:val="single" w:sz="4" w:space="0" w:color="auto"/>
            </w:tcBorders>
            <w:vAlign w:val="bottom"/>
            <w:hideMark/>
          </w:tcPr>
          <w:p w:rsidR="00C95557" w:rsidRPr="00FB1C76" w:rsidRDefault="00C95557" w:rsidP="00DD290B">
            <w:pPr>
              <w:spacing w:after="0" w:line="240" w:lineRule="auto"/>
              <w:jc w:val="center"/>
              <w:rPr>
                <w:rFonts w:ascii="Calibri" w:eastAsia="Calibri" w:hAnsi="Calibri" w:cs="Arial"/>
                <w:b/>
                <w:sz w:val="20"/>
                <w:szCs w:val="20"/>
              </w:rPr>
            </w:pPr>
            <w:r w:rsidRPr="00FB1C76">
              <w:rPr>
                <w:rFonts w:ascii="Calibri" w:eastAsia="Calibri" w:hAnsi="Calibri" w:cs="Arial"/>
                <w:b/>
                <w:sz w:val="20"/>
                <w:szCs w:val="20"/>
              </w:rPr>
              <w:t xml:space="preserve">T/R </w:t>
            </w:r>
            <w:proofErr w:type="spellStart"/>
            <w:r w:rsidRPr="00FB1C76">
              <w:rPr>
                <w:rFonts w:ascii="Calibri" w:eastAsia="Calibri" w:hAnsi="Calibri" w:cs="Arial"/>
                <w:b/>
                <w:sz w:val="20"/>
                <w:szCs w:val="20"/>
              </w:rPr>
              <w:t>Ratio</w:t>
            </w:r>
            <w:proofErr w:type="spellEnd"/>
          </w:p>
        </w:tc>
        <w:tc>
          <w:tcPr>
            <w:tcW w:w="2377" w:type="dxa"/>
            <w:tcBorders>
              <w:top w:val="single" w:sz="4" w:space="0" w:color="auto"/>
              <w:left w:val="single" w:sz="4" w:space="0" w:color="auto"/>
              <w:bottom w:val="single" w:sz="4" w:space="0" w:color="auto"/>
              <w:right w:val="single" w:sz="4" w:space="0" w:color="auto"/>
            </w:tcBorders>
            <w:vAlign w:val="bottom"/>
            <w:hideMark/>
          </w:tcPr>
          <w:p w:rsidR="00C95557" w:rsidRPr="00FB1C76" w:rsidRDefault="00C95557" w:rsidP="00DD290B">
            <w:pPr>
              <w:spacing w:after="0" w:line="240" w:lineRule="auto"/>
              <w:jc w:val="center"/>
              <w:rPr>
                <w:rFonts w:ascii="Calibri" w:eastAsia="Calibri" w:hAnsi="Calibri" w:cs="Arial"/>
                <w:b/>
                <w:sz w:val="20"/>
                <w:szCs w:val="20"/>
              </w:rPr>
            </w:pPr>
            <w:r w:rsidRPr="00FB1C76">
              <w:rPr>
                <w:rFonts w:ascii="Calibri" w:eastAsia="Calibri" w:hAnsi="Calibri" w:cs="Arial"/>
                <w:b/>
                <w:sz w:val="20"/>
                <w:szCs w:val="20"/>
              </w:rPr>
              <w:t>90% C.I.</w:t>
            </w:r>
          </w:p>
        </w:tc>
      </w:tr>
      <w:tr w:rsidR="00C95557" w:rsidRPr="00FB1C76" w:rsidTr="00DD290B">
        <w:trPr>
          <w:trHeight w:hRule="exact" w:val="284"/>
          <w:jc w:val="center"/>
        </w:trPr>
        <w:tc>
          <w:tcPr>
            <w:tcW w:w="1531" w:type="dxa"/>
            <w:tcBorders>
              <w:top w:val="single" w:sz="4" w:space="0" w:color="auto"/>
              <w:left w:val="single" w:sz="4" w:space="0" w:color="auto"/>
              <w:bottom w:val="single" w:sz="4" w:space="0" w:color="auto"/>
              <w:right w:val="single" w:sz="4" w:space="0" w:color="auto"/>
            </w:tcBorders>
            <w:hideMark/>
          </w:tcPr>
          <w:p w:rsidR="00C95557" w:rsidRPr="00FB1C76" w:rsidRDefault="00C95557" w:rsidP="00DD290B">
            <w:pPr>
              <w:spacing w:after="0" w:line="240" w:lineRule="auto"/>
              <w:jc w:val="center"/>
              <w:rPr>
                <w:rFonts w:ascii="Calibri" w:eastAsia="Calibri" w:hAnsi="Calibri" w:cs="Times New Roman"/>
                <w:b/>
                <w:sz w:val="20"/>
                <w:szCs w:val="20"/>
                <w:vertAlign w:val="subscript"/>
              </w:rPr>
            </w:pPr>
            <w:r w:rsidRPr="00FB1C76">
              <w:rPr>
                <w:rFonts w:ascii="Calibri" w:eastAsia="Calibri" w:hAnsi="Calibri" w:cs="Times New Roman"/>
                <w:b/>
                <w:sz w:val="20"/>
                <w:szCs w:val="20"/>
              </w:rPr>
              <w:t>AUC</w:t>
            </w:r>
            <w:r w:rsidRPr="00FB1C76">
              <w:rPr>
                <w:rFonts w:ascii="Calibri" w:eastAsia="Calibri" w:hAnsi="Calibri" w:cs="Times New Roman"/>
                <w:b/>
                <w:sz w:val="20"/>
                <w:szCs w:val="20"/>
                <w:vertAlign w:val="subscript"/>
              </w:rPr>
              <w:t>0-t</w:t>
            </w:r>
          </w:p>
        </w:tc>
        <w:tc>
          <w:tcPr>
            <w:tcW w:w="1713" w:type="dxa"/>
            <w:tcBorders>
              <w:top w:val="single" w:sz="4" w:space="0" w:color="auto"/>
              <w:left w:val="single" w:sz="4" w:space="0" w:color="auto"/>
              <w:bottom w:val="single" w:sz="4" w:space="0" w:color="auto"/>
              <w:right w:val="single" w:sz="4" w:space="0" w:color="auto"/>
            </w:tcBorders>
          </w:tcPr>
          <w:p w:rsidR="00C95557" w:rsidRPr="00FB1C76" w:rsidRDefault="00C95557" w:rsidP="00DD290B">
            <w:pPr>
              <w:spacing w:after="0" w:line="240" w:lineRule="auto"/>
              <w:jc w:val="center"/>
              <w:rPr>
                <w:rFonts w:ascii="Calibri" w:eastAsia="Times New Roman" w:hAnsi="Calibri" w:cs="Times New Roman"/>
                <w:sz w:val="20"/>
                <w:szCs w:val="20"/>
                <w:lang w:val="nl-NL" w:eastAsia="nl-NL"/>
              </w:rPr>
            </w:pPr>
            <w:r w:rsidRPr="00FB1C76">
              <w:rPr>
                <w:rFonts w:ascii="Calibri" w:eastAsia="Times New Roman" w:hAnsi="Calibri" w:cs="Times New Roman"/>
                <w:sz w:val="20"/>
                <w:szCs w:val="20"/>
                <w:lang w:val="nl-NL" w:eastAsia="nl-NL"/>
              </w:rPr>
              <w:t>144958</w:t>
            </w:r>
          </w:p>
        </w:tc>
        <w:tc>
          <w:tcPr>
            <w:tcW w:w="2091" w:type="dxa"/>
            <w:tcBorders>
              <w:top w:val="single" w:sz="4" w:space="0" w:color="auto"/>
              <w:left w:val="single" w:sz="4" w:space="0" w:color="auto"/>
              <w:bottom w:val="single" w:sz="4" w:space="0" w:color="auto"/>
              <w:right w:val="single" w:sz="4" w:space="0" w:color="auto"/>
            </w:tcBorders>
          </w:tcPr>
          <w:p w:rsidR="00C95557" w:rsidRPr="00FB1C76" w:rsidRDefault="00C95557" w:rsidP="00DD290B">
            <w:pPr>
              <w:spacing w:after="0" w:line="240" w:lineRule="auto"/>
              <w:jc w:val="center"/>
              <w:rPr>
                <w:rFonts w:ascii="Calibri" w:eastAsia="Times New Roman" w:hAnsi="Calibri" w:cs="Times New Roman"/>
                <w:sz w:val="20"/>
                <w:szCs w:val="20"/>
                <w:lang w:val="nl-NL" w:eastAsia="nl-NL"/>
              </w:rPr>
            </w:pPr>
            <w:r w:rsidRPr="00FB1C76">
              <w:rPr>
                <w:rFonts w:ascii="Calibri" w:eastAsia="Times New Roman" w:hAnsi="Calibri" w:cs="Times New Roman"/>
                <w:sz w:val="20"/>
                <w:szCs w:val="20"/>
                <w:lang w:val="nl-NL" w:eastAsia="nl-NL"/>
              </w:rPr>
              <w:t>144161</w:t>
            </w:r>
          </w:p>
        </w:tc>
        <w:tc>
          <w:tcPr>
            <w:tcW w:w="1475" w:type="dxa"/>
            <w:tcBorders>
              <w:top w:val="single" w:sz="4" w:space="0" w:color="auto"/>
              <w:left w:val="single" w:sz="4" w:space="0" w:color="auto"/>
              <w:bottom w:val="single" w:sz="4" w:space="0" w:color="auto"/>
              <w:right w:val="single" w:sz="4" w:space="0" w:color="auto"/>
            </w:tcBorders>
          </w:tcPr>
          <w:p w:rsidR="00C95557" w:rsidRPr="00FB1C76" w:rsidRDefault="00C95557" w:rsidP="00DD290B">
            <w:pPr>
              <w:spacing w:after="0" w:line="240" w:lineRule="auto"/>
              <w:jc w:val="center"/>
              <w:rPr>
                <w:rFonts w:ascii="Calibri" w:eastAsia="Times New Roman" w:hAnsi="Calibri" w:cs="Times New Roman"/>
                <w:sz w:val="20"/>
                <w:szCs w:val="20"/>
                <w:lang w:val="nl-NL" w:eastAsia="nl-NL"/>
              </w:rPr>
            </w:pPr>
            <w:r w:rsidRPr="00FB1C76">
              <w:rPr>
                <w:rFonts w:ascii="Calibri" w:eastAsia="Times New Roman" w:hAnsi="Calibri" w:cs="Times New Roman"/>
                <w:sz w:val="20"/>
                <w:szCs w:val="20"/>
                <w:lang w:val="nl-NL" w:eastAsia="nl-NL"/>
              </w:rPr>
              <w:t>0.9873</w:t>
            </w:r>
          </w:p>
        </w:tc>
        <w:tc>
          <w:tcPr>
            <w:tcW w:w="2377" w:type="dxa"/>
            <w:tcBorders>
              <w:top w:val="single" w:sz="4" w:space="0" w:color="auto"/>
              <w:left w:val="single" w:sz="4" w:space="0" w:color="auto"/>
              <w:bottom w:val="single" w:sz="4" w:space="0" w:color="auto"/>
              <w:right w:val="single" w:sz="4" w:space="0" w:color="auto"/>
            </w:tcBorders>
          </w:tcPr>
          <w:p w:rsidR="00C95557" w:rsidRPr="00FB1C76" w:rsidRDefault="00C95557" w:rsidP="00DD290B">
            <w:pPr>
              <w:spacing w:after="0" w:line="240" w:lineRule="auto"/>
              <w:jc w:val="center"/>
              <w:rPr>
                <w:rFonts w:ascii="Calibri" w:eastAsia="Times New Roman" w:hAnsi="Calibri" w:cs="Times New Roman"/>
                <w:sz w:val="20"/>
                <w:szCs w:val="20"/>
                <w:lang w:val="nl-NL" w:eastAsia="nl-NL"/>
              </w:rPr>
            </w:pPr>
            <w:r w:rsidRPr="00FB1C76">
              <w:rPr>
                <w:rFonts w:ascii="Calibri" w:eastAsia="Times New Roman" w:hAnsi="Calibri" w:cs="Times New Roman"/>
                <w:sz w:val="20"/>
                <w:szCs w:val="20"/>
                <w:lang w:val="nl-NL" w:eastAsia="nl-NL"/>
              </w:rPr>
              <w:t>93.57-104.17</w:t>
            </w:r>
          </w:p>
        </w:tc>
      </w:tr>
      <w:tr w:rsidR="00C95557" w:rsidRPr="00FB1C76" w:rsidTr="00DD290B">
        <w:trPr>
          <w:trHeight w:hRule="exact" w:val="284"/>
          <w:jc w:val="center"/>
        </w:trPr>
        <w:tc>
          <w:tcPr>
            <w:tcW w:w="1531" w:type="dxa"/>
            <w:tcBorders>
              <w:top w:val="single" w:sz="4" w:space="0" w:color="auto"/>
              <w:left w:val="single" w:sz="4" w:space="0" w:color="auto"/>
              <w:bottom w:val="single" w:sz="4" w:space="0" w:color="auto"/>
              <w:right w:val="single" w:sz="4" w:space="0" w:color="auto"/>
            </w:tcBorders>
            <w:hideMark/>
          </w:tcPr>
          <w:p w:rsidR="00C95557" w:rsidRPr="00FB1C76" w:rsidRDefault="00C95557" w:rsidP="00DD290B">
            <w:pPr>
              <w:spacing w:after="0" w:line="240" w:lineRule="auto"/>
              <w:jc w:val="center"/>
              <w:rPr>
                <w:rFonts w:ascii="Calibri" w:eastAsia="Calibri" w:hAnsi="Calibri" w:cs="Times New Roman"/>
                <w:b/>
                <w:sz w:val="20"/>
                <w:szCs w:val="20"/>
                <w:vertAlign w:val="subscript"/>
              </w:rPr>
            </w:pPr>
            <w:proofErr w:type="spellStart"/>
            <w:r w:rsidRPr="00FB1C76">
              <w:rPr>
                <w:rFonts w:ascii="Calibri" w:eastAsia="Calibri" w:hAnsi="Calibri" w:cs="Times New Roman"/>
                <w:b/>
                <w:sz w:val="20"/>
                <w:szCs w:val="20"/>
              </w:rPr>
              <w:t>C</w:t>
            </w:r>
            <w:r w:rsidRPr="00FB1C76">
              <w:rPr>
                <w:rFonts w:ascii="Calibri" w:eastAsia="Calibri" w:hAnsi="Calibri" w:cs="Times New Roman"/>
                <w:b/>
                <w:sz w:val="20"/>
                <w:szCs w:val="20"/>
                <w:vertAlign w:val="subscript"/>
              </w:rPr>
              <w:t>max</w:t>
            </w:r>
            <w:proofErr w:type="spellEnd"/>
          </w:p>
        </w:tc>
        <w:tc>
          <w:tcPr>
            <w:tcW w:w="1713" w:type="dxa"/>
            <w:tcBorders>
              <w:top w:val="single" w:sz="4" w:space="0" w:color="auto"/>
              <w:left w:val="single" w:sz="4" w:space="0" w:color="auto"/>
              <w:bottom w:val="single" w:sz="4" w:space="0" w:color="auto"/>
              <w:right w:val="single" w:sz="4" w:space="0" w:color="auto"/>
            </w:tcBorders>
          </w:tcPr>
          <w:p w:rsidR="00C95557" w:rsidRPr="00FB1C76" w:rsidRDefault="00C95557" w:rsidP="00DD290B">
            <w:pPr>
              <w:spacing w:after="0" w:line="240" w:lineRule="auto"/>
              <w:jc w:val="center"/>
              <w:rPr>
                <w:rFonts w:ascii="Calibri" w:eastAsia="Times New Roman" w:hAnsi="Calibri" w:cs="Times New Roman"/>
                <w:sz w:val="20"/>
                <w:szCs w:val="20"/>
                <w:lang w:val="nl-NL" w:eastAsia="nl-NL"/>
              </w:rPr>
            </w:pPr>
            <w:r w:rsidRPr="00FB1C76">
              <w:rPr>
                <w:rFonts w:ascii="Calibri" w:eastAsia="Times New Roman" w:hAnsi="Calibri" w:cs="Times New Roman"/>
                <w:sz w:val="20"/>
                <w:szCs w:val="20"/>
                <w:lang w:val="nl-NL" w:eastAsia="nl-NL"/>
              </w:rPr>
              <w:t>2881</w:t>
            </w:r>
          </w:p>
        </w:tc>
        <w:tc>
          <w:tcPr>
            <w:tcW w:w="2091" w:type="dxa"/>
            <w:tcBorders>
              <w:top w:val="single" w:sz="4" w:space="0" w:color="auto"/>
              <w:left w:val="single" w:sz="4" w:space="0" w:color="auto"/>
              <w:bottom w:val="single" w:sz="4" w:space="0" w:color="auto"/>
              <w:right w:val="single" w:sz="4" w:space="0" w:color="auto"/>
            </w:tcBorders>
          </w:tcPr>
          <w:p w:rsidR="00C95557" w:rsidRPr="00FB1C76" w:rsidRDefault="00C95557" w:rsidP="00DD290B">
            <w:pPr>
              <w:spacing w:after="0" w:line="240" w:lineRule="auto"/>
              <w:jc w:val="center"/>
              <w:rPr>
                <w:rFonts w:ascii="Calibri" w:eastAsia="Times New Roman" w:hAnsi="Calibri" w:cs="Times New Roman"/>
                <w:sz w:val="20"/>
                <w:szCs w:val="20"/>
                <w:lang w:val="nl-NL" w:eastAsia="nl-NL"/>
              </w:rPr>
            </w:pPr>
            <w:r w:rsidRPr="00FB1C76">
              <w:rPr>
                <w:rFonts w:ascii="Calibri" w:eastAsia="Times New Roman" w:hAnsi="Calibri" w:cs="Times New Roman"/>
                <w:sz w:val="20"/>
                <w:szCs w:val="20"/>
                <w:lang w:val="nl-NL" w:eastAsia="nl-NL"/>
              </w:rPr>
              <w:t>3030</w:t>
            </w:r>
          </w:p>
        </w:tc>
        <w:tc>
          <w:tcPr>
            <w:tcW w:w="1475" w:type="dxa"/>
            <w:tcBorders>
              <w:top w:val="single" w:sz="4" w:space="0" w:color="auto"/>
              <w:left w:val="single" w:sz="4" w:space="0" w:color="auto"/>
              <w:bottom w:val="single" w:sz="4" w:space="0" w:color="auto"/>
              <w:right w:val="single" w:sz="4" w:space="0" w:color="auto"/>
            </w:tcBorders>
          </w:tcPr>
          <w:p w:rsidR="00C95557" w:rsidRPr="00FB1C76" w:rsidRDefault="00C95557" w:rsidP="00DD290B">
            <w:pPr>
              <w:spacing w:after="0" w:line="240" w:lineRule="auto"/>
              <w:jc w:val="center"/>
              <w:rPr>
                <w:rFonts w:ascii="Calibri" w:eastAsia="Times New Roman" w:hAnsi="Calibri" w:cs="Times New Roman"/>
                <w:sz w:val="20"/>
                <w:szCs w:val="20"/>
                <w:lang w:val="nl-NL" w:eastAsia="nl-NL"/>
              </w:rPr>
            </w:pPr>
            <w:r w:rsidRPr="00FB1C76">
              <w:rPr>
                <w:rFonts w:ascii="Calibri" w:eastAsia="Times New Roman" w:hAnsi="Calibri" w:cs="Times New Roman"/>
                <w:sz w:val="20"/>
                <w:szCs w:val="20"/>
                <w:lang w:val="nl-NL" w:eastAsia="nl-NL"/>
              </w:rPr>
              <w:t>0.9286</w:t>
            </w:r>
          </w:p>
        </w:tc>
        <w:tc>
          <w:tcPr>
            <w:tcW w:w="2377" w:type="dxa"/>
            <w:tcBorders>
              <w:top w:val="single" w:sz="4" w:space="0" w:color="auto"/>
              <w:left w:val="single" w:sz="4" w:space="0" w:color="auto"/>
              <w:bottom w:val="single" w:sz="4" w:space="0" w:color="auto"/>
              <w:right w:val="single" w:sz="4" w:space="0" w:color="auto"/>
            </w:tcBorders>
          </w:tcPr>
          <w:p w:rsidR="00C95557" w:rsidRPr="00FB1C76" w:rsidRDefault="00C95557" w:rsidP="00DD290B">
            <w:pPr>
              <w:spacing w:after="0" w:line="240" w:lineRule="auto"/>
              <w:jc w:val="center"/>
              <w:rPr>
                <w:rFonts w:ascii="Calibri" w:eastAsia="Times New Roman" w:hAnsi="Calibri" w:cs="Times New Roman"/>
                <w:sz w:val="20"/>
                <w:szCs w:val="20"/>
                <w:lang w:val="nl-NL" w:eastAsia="nl-NL"/>
              </w:rPr>
            </w:pPr>
            <w:r w:rsidRPr="00FB1C76">
              <w:rPr>
                <w:rFonts w:ascii="Calibri" w:eastAsia="Times New Roman" w:hAnsi="Calibri" w:cs="Times New Roman"/>
                <w:sz w:val="20"/>
                <w:szCs w:val="20"/>
                <w:lang w:val="nl-NL" w:eastAsia="nl-NL"/>
              </w:rPr>
              <w:t>88.18-97.79</w:t>
            </w:r>
          </w:p>
        </w:tc>
      </w:tr>
      <w:tr w:rsidR="00C95557" w:rsidRPr="00FB1C76" w:rsidTr="00DD290B">
        <w:trPr>
          <w:trHeight w:hRule="exact" w:val="284"/>
          <w:jc w:val="center"/>
        </w:trPr>
        <w:tc>
          <w:tcPr>
            <w:tcW w:w="1531" w:type="dxa"/>
            <w:tcBorders>
              <w:top w:val="single" w:sz="4" w:space="0" w:color="auto"/>
              <w:left w:val="single" w:sz="4" w:space="0" w:color="auto"/>
              <w:bottom w:val="single" w:sz="4" w:space="0" w:color="auto"/>
              <w:right w:val="single" w:sz="4" w:space="0" w:color="auto"/>
            </w:tcBorders>
            <w:hideMark/>
          </w:tcPr>
          <w:p w:rsidR="00C95557" w:rsidRPr="00FB1C76" w:rsidRDefault="00C95557" w:rsidP="00DD290B">
            <w:pPr>
              <w:spacing w:after="0" w:line="240" w:lineRule="auto"/>
              <w:jc w:val="center"/>
              <w:rPr>
                <w:rFonts w:ascii="Calibri" w:eastAsia="Calibri" w:hAnsi="Calibri" w:cs="Times New Roman"/>
                <w:b/>
                <w:sz w:val="20"/>
                <w:szCs w:val="20"/>
                <w:vertAlign w:val="subscript"/>
              </w:rPr>
            </w:pPr>
            <w:proofErr w:type="spellStart"/>
            <w:r w:rsidRPr="00FB1C76">
              <w:rPr>
                <w:rFonts w:ascii="Calibri" w:eastAsia="Calibri" w:hAnsi="Calibri" w:cs="Times New Roman"/>
                <w:b/>
                <w:sz w:val="20"/>
                <w:szCs w:val="20"/>
              </w:rPr>
              <w:t>C</w:t>
            </w:r>
            <w:r w:rsidRPr="00FB1C76">
              <w:rPr>
                <w:rFonts w:ascii="Calibri" w:eastAsia="Calibri" w:hAnsi="Calibri" w:cs="Times New Roman"/>
                <w:b/>
                <w:sz w:val="20"/>
                <w:szCs w:val="20"/>
                <w:vertAlign w:val="subscript"/>
              </w:rPr>
              <w:t>min</w:t>
            </w:r>
            <w:proofErr w:type="spellEnd"/>
          </w:p>
        </w:tc>
        <w:tc>
          <w:tcPr>
            <w:tcW w:w="1713" w:type="dxa"/>
            <w:tcBorders>
              <w:top w:val="single" w:sz="4" w:space="0" w:color="auto"/>
              <w:left w:val="single" w:sz="4" w:space="0" w:color="auto"/>
              <w:bottom w:val="single" w:sz="4" w:space="0" w:color="auto"/>
              <w:right w:val="single" w:sz="4" w:space="0" w:color="auto"/>
            </w:tcBorders>
          </w:tcPr>
          <w:p w:rsidR="00C95557" w:rsidRPr="00FB1C76" w:rsidRDefault="00C95557" w:rsidP="00DD290B">
            <w:pPr>
              <w:spacing w:after="0" w:line="240" w:lineRule="auto"/>
              <w:jc w:val="center"/>
              <w:rPr>
                <w:rFonts w:ascii="Calibri" w:eastAsia="Times New Roman" w:hAnsi="Calibri" w:cs="Times New Roman"/>
                <w:sz w:val="20"/>
                <w:szCs w:val="20"/>
                <w:lang w:val="nl-NL" w:eastAsia="nl-NL"/>
              </w:rPr>
            </w:pPr>
            <w:r w:rsidRPr="00FB1C76">
              <w:rPr>
                <w:rFonts w:ascii="Calibri" w:eastAsia="Times New Roman" w:hAnsi="Calibri" w:cs="Times New Roman"/>
                <w:sz w:val="20"/>
                <w:szCs w:val="20"/>
                <w:lang w:val="nl-NL" w:eastAsia="nl-NL"/>
              </w:rPr>
              <w:t>1262</w:t>
            </w:r>
          </w:p>
        </w:tc>
        <w:tc>
          <w:tcPr>
            <w:tcW w:w="2091" w:type="dxa"/>
            <w:tcBorders>
              <w:top w:val="single" w:sz="4" w:space="0" w:color="auto"/>
              <w:left w:val="single" w:sz="4" w:space="0" w:color="auto"/>
              <w:bottom w:val="single" w:sz="4" w:space="0" w:color="auto"/>
              <w:right w:val="single" w:sz="4" w:space="0" w:color="auto"/>
            </w:tcBorders>
          </w:tcPr>
          <w:p w:rsidR="00C95557" w:rsidRPr="00FB1C76" w:rsidRDefault="00C95557" w:rsidP="00DD290B">
            <w:pPr>
              <w:spacing w:after="0" w:line="240" w:lineRule="auto"/>
              <w:jc w:val="center"/>
              <w:rPr>
                <w:rFonts w:ascii="Calibri" w:eastAsia="Times New Roman" w:hAnsi="Calibri" w:cs="Times New Roman"/>
                <w:sz w:val="20"/>
                <w:szCs w:val="20"/>
                <w:lang w:val="nl-NL" w:eastAsia="nl-NL"/>
              </w:rPr>
            </w:pPr>
            <w:r w:rsidRPr="00FB1C76">
              <w:rPr>
                <w:rFonts w:ascii="Calibri" w:eastAsia="Times New Roman" w:hAnsi="Calibri" w:cs="Times New Roman"/>
                <w:sz w:val="20"/>
                <w:szCs w:val="20"/>
                <w:lang w:val="nl-NL" w:eastAsia="nl-NL"/>
              </w:rPr>
              <w:t>1194</w:t>
            </w:r>
          </w:p>
        </w:tc>
        <w:tc>
          <w:tcPr>
            <w:tcW w:w="1475" w:type="dxa"/>
            <w:tcBorders>
              <w:top w:val="single" w:sz="4" w:space="0" w:color="auto"/>
              <w:left w:val="single" w:sz="4" w:space="0" w:color="auto"/>
              <w:bottom w:val="single" w:sz="4" w:space="0" w:color="auto"/>
              <w:right w:val="single" w:sz="4" w:space="0" w:color="auto"/>
            </w:tcBorders>
          </w:tcPr>
          <w:p w:rsidR="00C95557" w:rsidRPr="00FB1C76" w:rsidRDefault="00C95557" w:rsidP="00DD290B">
            <w:pPr>
              <w:spacing w:after="0" w:line="240" w:lineRule="auto"/>
              <w:jc w:val="center"/>
              <w:rPr>
                <w:rFonts w:ascii="Calibri" w:eastAsia="Times New Roman" w:hAnsi="Calibri" w:cs="Times New Roman"/>
                <w:sz w:val="20"/>
                <w:szCs w:val="20"/>
                <w:lang w:val="nl-NL" w:eastAsia="nl-NL"/>
              </w:rPr>
            </w:pPr>
            <w:r w:rsidRPr="00FB1C76">
              <w:rPr>
                <w:rFonts w:ascii="Calibri" w:eastAsia="Times New Roman" w:hAnsi="Calibri" w:cs="Times New Roman"/>
                <w:sz w:val="20"/>
                <w:szCs w:val="20"/>
                <w:lang w:val="nl-NL" w:eastAsia="nl-NL"/>
              </w:rPr>
              <w:t>1.082</w:t>
            </w:r>
          </w:p>
        </w:tc>
        <w:tc>
          <w:tcPr>
            <w:tcW w:w="2377" w:type="dxa"/>
            <w:tcBorders>
              <w:top w:val="single" w:sz="4" w:space="0" w:color="auto"/>
              <w:left w:val="single" w:sz="4" w:space="0" w:color="auto"/>
              <w:bottom w:val="single" w:sz="4" w:space="0" w:color="auto"/>
              <w:right w:val="single" w:sz="4" w:space="0" w:color="auto"/>
            </w:tcBorders>
          </w:tcPr>
          <w:p w:rsidR="00C95557" w:rsidRPr="00FB1C76" w:rsidRDefault="00C95557" w:rsidP="00DD290B">
            <w:pPr>
              <w:spacing w:after="0" w:line="240" w:lineRule="auto"/>
              <w:jc w:val="center"/>
              <w:rPr>
                <w:rFonts w:ascii="Calibri" w:eastAsia="Times New Roman" w:hAnsi="Calibri" w:cs="Times New Roman"/>
                <w:sz w:val="20"/>
                <w:szCs w:val="20"/>
                <w:lang w:val="nl-NL" w:eastAsia="nl-NL"/>
              </w:rPr>
            </w:pPr>
            <w:r w:rsidRPr="00FB1C76">
              <w:rPr>
                <w:rFonts w:ascii="Calibri" w:eastAsia="Times New Roman" w:hAnsi="Calibri" w:cs="Times New Roman"/>
                <w:sz w:val="20"/>
                <w:szCs w:val="20"/>
                <w:lang w:val="nl-NL" w:eastAsia="nl-NL"/>
              </w:rPr>
              <w:t>94.65-123.70</w:t>
            </w:r>
          </w:p>
        </w:tc>
      </w:tr>
    </w:tbl>
    <w:p w:rsidR="00C95557" w:rsidRDefault="00C95557" w:rsidP="00C95557">
      <w:pPr>
        <w:spacing w:after="0" w:line="240" w:lineRule="auto"/>
        <w:ind w:firstLine="708"/>
        <w:rPr>
          <w:rFonts w:cs="Arial"/>
          <w:lang w:val="en-GB"/>
        </w:rPr>
      </w:pPr>
    </w:p>
    <w:p w:rsidR="0021251B" w:rsidRPr="00184DBA" w:rsidRDefault="0021251B" w:rsidP="0021251B">
      <w:pPr>
        <w:spacing w:after="0" w:line="240" w:lineRule="auto"/>
        <w:rPr>
          <w:rFonts w:cs="Arial"/>
        </w:rPr>
      </w:pPr>
      <w:r w:rsidRPr="00184DBA">
        <w:rPr>
          <w:rFonts w:cs="Arial"/>
          <w:i/>
        </w:rPr>
        <w:t>Conclusioni sulla bioequivalenza</w:t>
      </w:r>
      <w:r w:rsidRPr="00184DBA">
        <w:rPr>
          <w:rFonts w:cs="Arial"/>
        </w:rPr>
        <w:t>.</w:t>
      </w:r>
    </w:p>
    <w:p w:rsidR="0021251B" w:rsidRPr="00184DBA" w:rsidRDefault="0021251B" w:rsidP="0021251B">
      <w:pPr>
        <w:spacing w:after="0" w:line="240" w:lineRule="auto"/>
        <w:jc w:val="both"/>
        <w:rPr>
          <w:rFonts w:cs="Arial"/>
        </w:rPr>
      </w:pPr>
      <w:r w:rsidRPr="00184DBA">
        <w:rPr>
          <w:rFonts w:cs="Arial"/>
        </w:rPr>
        <w:t xml:space="preserve">I risultati degli studi di bioequivalenza mostrano che gli intervalli di confidenza dei parametri farmacocinetici studiati cadono nel </w:t>
      </w:r>
      <w:proofErr w:type="spellStart"/>
      <w:r w:rsidRPr="00184DBA">
        <w:rPr>
          <w:rFonts w:cs="Arial"/>
        </w:rPr>
        <w:t>range</w:t>
      </w:r>
      <w:proofErr w:type="spellEnd"/>
      <w:r w:rsidRPr="00184DBA">
        <w:rPr>
          <w:rFonts w:cs="Arial"/>
        </w:rPr>
        <w:t xml:space="preserve"> di accettabilità di 80-125%, in accordo con le linee guida correnti.</w:t>
      </w:r>
    </w:p>
    <w:p w:rsidR="00900C91" w:rsidRPr="00184DBA" w:rsidRDefault="00900C91" w:rsidP="00072257">
      <w:pPr>
        <w:spacing w:after="0" w:line="240" w:lineRule="auto"/>
        <w:jc w:val="both"/>
        <w:rPr>
          <w:rFonts w:cs="Arial"/>
        </w:rPr>
      </w:pPr>
    </w:p>
    <w:p w:rsidR="00900C91" w:rsidRPr="00184DBA" w:rsidRDefault="00900C91" w:rsidP="00072257">
      <w:pPr>
        <w:spacing w:after="0" w:line="240" w:lineRule="auto"/>
        <w:jc w:val="both"/>
        <w:rPr>
          <w:rFonts w:cs="Arial"/>
          <w:b/>
        </w:rPr>
      </w:pPr>
      <w:r w:rsidRPr="00184DBA">
        <w:rPr>
          <w:rFonts w:cs="Arial"/>
          <w:b/>
        </w:rPr>
        <w:t>Efficacia e sicurezza clinica</w:t>
      </w:r>
    </w:p>
    <w:p w:rsidR="00900C91" w:rsidRPr="00184DBA" w:rsidRDefault="00900C91" w:rsidP="00072257">
      <w:pPr>
        <w:spacing w:after="0" w:line="240" w:lineRule="auto"/>
        <w:jc w:val="both"/>
        <w:rPr>
          <w:rFonts w:cs="Arial"/>
        </w:rPr>
      </w:pPr>
      <w:r w:rsidRPr="00184DBA">
        <w:rPr>
          <w:rFonts w:cs="Arial"/>
        </w:rPr>
        <w:t>Non sono stati presentati nuovi dati di efficacia e sicurezza clinica: il profilo di sicurezza e l’efficacia de</w:t>
      </w:r>
      <w:r w:rsidR="00A2288E" w:rsidRPr="00184DBA">
        <w:rPr>
          <w:rFonts w:cs="Arial"/>
        </w:rPr>
        <w:t>l</w:t>
      </w:r>
      <w:r w:rsidRPr="00184DBA">
        <w:rPr>
          <w:rFonts w:cs="Arial"/>
        </w:rPr>
        <w:t xml:space="preserve"> principi</w:t>
      </w:r>
      <w:r w:rsidR="00A2288E" w:rsidRPr="00184DBA">
        <w:rPr>
          <w:rFonts w:cs="Arial"/>
        </w:rPr>
        <w:t>o</w:t>
      </w:r>
      <w:r w:rsidRPr="00184DBA">
        <w:rPr>
          <w:rFonts w:cs="Arial"/>
        </w:rPr>
        <w:t xml:space="preserve"> attiv</w:t>
      </w:r>
      <w:r w:rsidR="00A2288E" w:rsidRPr="00184DBA">
        <w:rPr>
          <w:rFonts w:cs="Arial"/>
        </w:rPr>
        <w:t>o</w:t>
      </w:r>
      <w:r w:rsidRPr="00184DBA">
        <w:rPr>
          <w:rFonts w:cs="Arial"/>
        </w:rPr>
        <w:t xml:space="preserve"> di </w:t>
      </w:r>
      <w:proofErr w:type="spellStart"/>
      <w:r w:rsidR="006951D9" w:rsidRPr="00184DBA">
        <w:rPr>
          <w:rFonts w:cs="Arial"/>
        </w:rPr>
        <w:t>Fentanyl</w:t>
      </w:r>
      <w:proofErr w:type="spellEnd"/>
      <w:r w:rsidR="006951D9" w:rsidRPr="00184DBA">
        <w:rPr>
          <w:rFonts w:cs="Arial"/>
        </w:rPr>
        <w:t xml:space="preserve"> </w:t>
      </w:r>
      <w:proofErr w:type="spellStart"/>
      <w:r w:rsidR="006951D9" w:rsidRPr="00184DBA">
        <w:rPr>
          <w:rFonts w:cs="Arial"/>
        </w:rPr>
        <w:t>Noventia</w:t>
      </w:r>
      <w:proofErr w:type="spellEnd"/>
      <w:r w:rsidR="006951D9" w:rsidRPr="00184DBA">
        <w:rPr>
          <w:rFonts w:cs="Arial"/>
        </w:rPr>
        <w:t xml:space="preserve"> </w:t>
      </w:r>
      <w:proofErr w:type="spellStart"/>
      <w:r w:rsidR="006951D9" w:rsidRPr="00184DBA">
        <w:rPr>
          <w:rFonts w:cs="Arial"/>
        </w:rPr>
        <w:t>Pharma</w:t>
      </w:r>
      <w:proofErr w:type="spellEnd"/>
      <w:r w:rsidRPr="00184DBA">
        <w:rPr>
          <w:rFonts w:cs="Arial"/>
        </w:rPr>
        <w:t xml:space="preserve"> </w:t>
      </w:r>
      <w:r w:rsidR="00A2288E" w:rsidRPr="00184DBA">
        <w:rPr>
          <w:rFonts w:cs="Arial"/>
        </w:rPr>
        <w:t>è</w:t>
      </w:r>
      <w:r w:rsidRPr="00184DBA">
        <w:rPr>
          <w:rFonts w:cs="Arial"/>
        </w:rPr>
        <w:t xml:space="preserve"> ben conosciuti. </w:t>
      </w:r>
    </w:p>
    <w:p w:rsidR="00900C91" w:rsidRPr="00184DBA" w:rsidRDefault="00900C91" w:rsidP="00072257">
      <w:pPr>
        <w:pStyle w:val="Paragrafoelenco"/>
        <w:spacing w:after="0" w:line="240" w:lineRule="auto"/>
        <w:ind w:left="0"/>
        <w:jc w:val="both"/>
      </w:pPr>
    </w:p>
    <w:p w:rsidR="00900C91" w:rsidRPr="00184DBA" w:rsidRDefault="00900C91" w:rsidP="00072257">
      <w:pPr>
        <w:pStyle w:val="Paragrafoelenco"/>
        <w:spacing w:after="0" w:line="240" w:lineRule="auto"/>
        <w:ind w:left="0"/>
        <w:jc w:val="both"/>
        <w:rPr>
          <w:b/>
        </w:rPr>
      </w:pPr>
      <w:r w:rsidRPr="00184DBA">
        <w:rPr>
          <w:b/>
        </w:rPr>
        <w:t>Piano di Valutazione del Rischio (</w:t>
      </w:r>
      <w:proofErr w:type="spellStart"/>
      <w:r w:rsidRPr="00184DBA">
        <w:rPr>
          <w:b/>
          <w:i/>
        </w:rPr>
        <w:t>Risk</w:t>
      </w:r>
      <w:proofErr w:type="spellEnd"/>
      <w:r w:rsidRPr="00184DBA">
        <w:rPr>
          <w:b/>
          <w:i/>
        </w:rPr>
        <w:t xml:space="preserve"> Management </w:t>
      </w:r>
      <w:proofErr w:type="spellStart"/>
      <w:r w:rsidRPr="00184DBA">
        <w:rPr>
          <w:b/>
          <w:i/>
        </w:rPr>
        <w:t>Plan</w:t>
      </w:r>
      <w:proofErr w:type="spellEnd"/>
      <w:r w:rsidRPr="00184DBA">
        <w:rPr>
          <w:b/>
        </w:rPr>
        <w:t xml:space="preserve"> - RMP)</w:t>
      </w:r>
    </w:p>
    <w:p w:rsidR="00900C91" w:rsidRPr="00451338" w:rsidRDefault="00900C91" w:rsidP="00072257">
      <w:pPr>
        <w:pStyle w:val="Paragrafoelenco"/>
        <w:spacing w:after="0" w:line="240" w:lineRule="auto"/>
        <w:ind w:left="0"/>
        <w:jc w:val="both"/>
      </w:pPr>
      <w:r w:rsidRPr="00451338">
        <w:t xml:space="preserve">E’ stato presentato un RMP in accordo a quanto previsto dalla Direttiva 2001/83/EU </w:t>
      </w:r>
      <w:proofErr w:type="spellStart"/>
      <w:r w:rsidRPr="00451338">
        <w:t>s.m.i.</w:t>
      </w:r>
      <w:proofErr w:type="spellEnd"/>
      <w:r w:rsidRPr="00451338">
        <w:t xml:space="preserve"> che descrive le attività di farmacovigilanza e gli interventi definiti al fine di identificare, caratterizzare, prevenire o minimizzare i rischi collegati all’uso di </w:t>
      </w:r>
      <w:proofErr w:type="spellStart"/>
      <w:r w:rsidR="006951D9">
        <w:t>Fentanyl</w:t>
      </w:r>
      <w:proofErr w:type="spellEnd"/>
      <w:r w:rsidR="006951D9">
        <w:t xml:space="preserve"> </w:t>
      </w:r>
      <w:proofErr w:type="spellStart"/>
      <w:r w:rsidR="006951D9">
        <w:t>Noventia</w:t>
      </w:r>
      <w:proofErr w:type="spellEnd"/>
      <w:r w:rsidR="006951D9">
        <w:t xml:space="preserve"> </w:t>
      </w:r>
      <w:proofErr w:type="spellStart"/>
      <w:r w:rsidR="006951D9">
        <w:t>Pharma</w:t>
      </w:r>
      <w:proofErr w:type="spellEnd"/>
      <w:r w:rsidRPr="00451338">
        <w:t>.</w:t>
      </w:r>
    </w:p>
    <w:p w:rsidR="00451338" w:rsidRDefault="00451338" w:rsidP="00451338">
      <w:pPr>
        <w:pStyle w:val="Paragrafoelenco"/>
        <w:spacing w:after="0" w:line="240" w:lineRule="auto"/>
        <w:ind w:left="0"/>
        <w:jc w:val="both"/>
      </w:pPr>
      <w:r>
        <w:t>Il riassunto delle problematiche di sicurezza è riportato nella tabella seguente.</w:t>
      </w:r>
    </w:p>
    <w:p w:rsidR="009404E8" w:rsidRDefault="009404E8" w:rsidP="00451338">
      <w:pPr>
        <w:pStyle w:val="Paragrafoelenco"/>
        <w:spacing w:after="0" w:line="240" w:lineRule="auto"/>
        <w:ind w:left="0"/>
        <w:jc w:val="both"/>
      </w:pPr>
    </w:p>
    <w:tbl>
      <w:tblPr>
        <w:tblStyle w:val="Grigliatabella"/>
        <w:tblW w:w="8584" w:type="dxa"/>
        <w:jc w:val="center"/>
        <w:tblLook w:val="04A0"/>
      </w:tblPr>
      <w:tblGrid>
        <w:gridCol w:w="2748"/>
        <w:gridCol w:w="5836"/>
      </w:tblGrid>
      <w:tr w:rsidR="00451338" w:rsidRPr="0016766D" w:rsidTr="0016766D">
        <w:trPr>
          <w:jc w:val="center"/>
        </w:trPr>
        <w:tc>
          <w:tcPr>
            <w:tcW w:w="2748" w:type="dxa"/>
            <w:tcBorders>
              <w:top w:val="single" w:sz="4" w:space="0" w:color="auto"/>
              <w:left w:val="single" w:sz="4" w:space="0" w:color="auto"/>
              <w:bottom w:val="single" w:sz="4" w:space="0" w:color="auto"/>
              <w:right w:val="single" w:sz="4" w:space="0" w:color="auto"/>
            </w:tcBorders>
          </w:tcPr>
          <w:p w:rsidR="00451338" w:rsidRPr="0016766D" w:rsidRDefault="007301DA" w:rsidP="00541BCB">
            <w:pPr>
              <w:pStyle w:val="Paragrafoelenco"/>
              <w:ind w:left="0"/>
              <w:rPr>
                <w:sz w:val="20"/>
                <w:szCs w:val="20"/>
              </w:rPr>
            </w:pPr>
            <w:r w:rsidRPr="0016766D">
              <w:rPr>
                <w:sz w:val="20"/>
                <w:szCs w:val="20"/>
              </w:rPr>
              <w:t>Rischi importanti identificati</w:t>
            </w:r>
          </w:p>
        </w:tc>
        <w:tc>
          <w:tcPr>
            <w:tcW w:w="5836" w:type="dxa"/>
            <w:tcBorders>
              <w:top w:val="single" w:sz="4" w:space="0" w:color="auto"/>
              <w:left w:val="single" w:sz="4" w:space="0" w:color="auto"/>
              <w:bottom w:val="single" w:sz="4" w:space="0" w:color="auto"/>
              <w:right w:val="single" w:sz="4" w:space="0" w:color="auto"/>
            </w:tcBorders>
            <w:hideMark/>
          </w:tcPr>
          <w:p w:rsidR="00541BCB" w:rsidRPr="0016766D" w:rsidRDefault="00195D39" w:rsidP="00541BCB">
            <w:pPr>
              <w:autoSpaceDE w:val="0"/>
              <w:autoSpaceDN w:val="0"/>
              <w:adjustRightInd w:val="0"/>
              <w:ind w:right="-20"/>
              <w:rPr>
                <w:sz w:val="20"/>
                <w:lang w:eastAsia="de-DE"/>
              </w:rPr>
            </w:pPr>
            <w:r w:rsidRPr="0016766D">
              <w:rPr>
                <w:sz w:val="20"/>
                <w:lang w:eastAsia="de-DE"/>
              </w:rPr>
              <w:t>Depressi</w:t>
            </w:r>
            <w:r w:rsidR="00C95557">
              <w:rPr>
                <w:sz w:val="20"/>
                <w:lang w:eastAsia="de-DE"/>
              </w:rPr>
              <w:t>o</w:t>
            </w:r>
            <w:r w:rsidRPr="0016766D">
              <w:rPr>
                <w:sz w:val="20"/>
                <w:lang w:eastAsia="de-DE"/>
              </w:rPr>
              <w:t>ne respiratoria</w:t>
            </w:r>
          </w:p>
          <w:p w:rsidR="00541BCB" w:rsidRPr="0016766D" w:rsidRDefault="00195D39" w:rsidP="00541BCB">
            <w:pPr>
              <w:autoSpaceDE w:val="0"/>
              <w:autoSpaceDN w:val="0"/>
              <w:adjustRightInd w:val="0"/>
              <w:ind w:right="-20"/>
              <w:rPr>
                <w:sz w:val="20"/>
                <w:lang w:eastAsia="de-DE"/>
              </w:rPr>
            </w:pPr>
            <w:r w:rsidRPr="0016766D">
              <w:rPr>
                <w:sz w:val="20"/>
                <w:lang w:eastAsia="de-DE"/>
              </w:rPr>
              <w:t>Reazioni di ipersensibilità</w:t>
            </w:r>
          </w:p>
          <w:p w:rsidR="00541BCB" w:rsidRPr="0016766D" w:rsidRDefault="00195D39" w:rsidP="00541BCB">
            <w:pPr>
              <w:autoSpaceDE w:val="0"/>
              <w:autoSpaceDN w:val="0"/>
              <w:adjustRightInd w:val="0"/>
              <w:ind w:right="-20"/>
              <w:rPr>
                <w:sz w:val="20"/>
                <w:lang w:eastAsia="de-DE"/>
              </w:rPr>
            </w:pPr>
            <w:r w:rsidRPr="0016766D">
              <w:rPr>
                <w:sz w:val="20"/>
                <w:lang w:eastAsia="de-DE"/>
              </w:rPr>
              <w:t>Disordini cardiovascolari</w:t>
            </w:r>
            <w:r w:rsidR="00541BCB" w:rsidRPr="0016766D">
              <w:rPr>
                <w:spacing w:val="-1"/>
                <w:sz w:val="20"/>
                <w:lang w:eastAsia="de-DE"/>
              </w:rPr>
              <w:t xml:space="preserve"> </w:t>
            </w:r>
            <w:r w:rsidR="00541BCB" w:rsidRPr="0016766D">
              <w:rPr>
                <w:sz w:val="20"/>
                <w:lang w:eastAsia="de-DE"/>
              </w:rPr>
              <w:t>(</w:t>
            </w:r>
            <w:r w:rsidRPr="0016766D">
              <w:rPr>
                <w:spacing w:val="1"/>
                <w:sz w:val="20"/>
                <w:lang w:eastAsia="de-DE"/>
              </w:rPr>
              <w:t>bradicardia,</w:t>
            </w:r>
            <w:r w:rsidR="00541BCB" w:rsidRPr="0016766D">
              <w:rPr>
                <w:spacing w:val="1"/>
                <w:sz w:val="20"/>
                <w:lang w:eastAsia="de-DE"/>
              </w:rPr>
              <w:t xml:space="preserve"> </w:t>
            </w:r>
            <w:r w:rsidRPr="0016766D">
              <w:rPr>
                <w:spacing w:val="1"/>
                <w:sz w:val="20"/>
                <w:lang w:eastAsia="de-DE"/>
              </w:rPr>
              <w:t>ipotensione</w:t>
            </w:r>
            <w:r w:rsidR="00541BCB" w:rsidRPr="0016766D">
              <w:rPr>
                <w:sz w:val="20"/>
                <w:lang w:eastAsia="de-DE"/>
              </w:rPr>
              <w:t>)</w:t>
            </w:r>
          </w:p>
          <w:p w:rsidR="009404E8" w:rsidRPr="0016766D" w:rsidRDefault="00195D39" w:rsidP="00541BCB">
            <w:pPr>
              <w:pStyle w:val="Paragrafoelenco"/>
              <w:ind w:left="0"/>
              <w:jc w:val="both"/>
              <w:rPr>
                <w:sz w:val="20"/>
                <w:lang w:val="de-DE" w:eastAsia="de-DE"/>
              </w:rPr>
            </w:pPr>
            <w:proofErr w:type="spellStart"/>
            <w:r w:rsidRPr="0016766D">
              <w:rPr>
                <w:sz w:val="20"/>
                <w:lang w:val="de-DE" w:eastAsia="de-DE"/>
              </w:rPr>
              <w:t>Reazioni</w:t>
            </w:r>
            <w:proofErr w:type="spellEnd"/>
            <w:r w:rsidRPr="0016766D">
              <w:rPr>
                <w:sz w:val="20"/>
                <w:lang w:val="de-DE" w:eastAsia="de-DE"/>
              </w:rPr>
              <w:t xml:space="preserve"> (</w:t>
            </w:r>
            <w:proofErr w:type="spellStart"/>
            <w:r w:rsidRPr="0016766D">
              <w:rPr>
                <w:sz w:val="20"/>
                <w:lang w:val="de-DE" w:eastAsia="de-DE"/>
              </w:rPr>
              <w:t>mio</w:t>
            </w:r>
            <w:proofErr w:type="spellEnd"/>
            <w:r w:rsidRPr="0016766D">
              <w:rPr>
                <w:sz w:val="20"/>
                <w:lang w:val="de-DE" w:eastAsia="de-DE"/>
              </w:rPr>
              <w:t>)</w:t>
            </w:r>
            <w:proofErr w:type="spellStart"/>
            <w:r w:rsidRPr="0016766D">
              <w:rPr>
                <w:sz w:val="20"/>
                <w:lang w:val="de-DE" w:eastAsia="de-DE"/>
              </w:rPr>
              <w:t>cloniche</w:t>
            </w:r>
            <w:proofErr w:type="spellEnd"/>
          </w:p>
          <w:p w:rsidR="00541BCB" w:rsidRPr="0016766D" w:rsidRDefault="0016766D" w:rsidP="00541BCB">
            <w:pPr>
              <w:pStyle w:val="Paragrafoelenco"/>
              <w:ind w:left="0"/>
              <w:jc w:val="both"/>
              <w:rPr>
                <w:snapToGrid w:val="0"/>
                <w:sz w:val="20"/>
              </w:rPr>
            </w:pPr>
            <w:r w:rsidRPr="0016766D">
              <w:rPr>
                <w:snapToGrid w:val="0"/>
                <w:sz w:val="20"/>
              </w:rPr>
              <w:t>Dipendenza e sindrome di astinenza</w:t>
            </w:r>
          </w:p>
          <w:p w:rsidR="00541BCB" w:rsidRPr="0016766D" w:rsidRDefault="00541BCB" w:rsidP="0016766D">
            <w:pPr>
              <w:pStyle w:val="Paragrafoelenco"/>
              <w:ind w:left="0"/>
              <w:jc w:val="both"/>
              <w:rPr>
                <w:sz w:val="20"/>
                <w:szCs w:val="20"/>
                <w:highlight w:val="yellow"/>
              </w:rPr>
            </w:pPr>
            <w:r w:rsidRPr="0016766D">
              <w:rPr>
                <w:snapToGrid w:val="0"/>
                <w:sz w:val="20"/>
              </w:rPr>
              <w:t>Abus</w:t>
            </w:r>
            <w:r w:rsidR="0016766D" w:rsidRPr="0016766D">
              <w:rPr>
                <w:snapToGrid w:val="0"/>
                <w:sz w:val="20"/>
              </w:rPr>
              <w:t>o</w:t>
            </w:r>
            <w:r w:rsidRPr="0016766D">
              <w:rPr>
                <w:snapToGrid w:val="0"/>
                <w:sz w:val="20"/>
              </w:rPr>
              <w:t xml:space="preserve">, </w:t>
            </w:r>
            <w:proofErr w:type="spellStart"/>
            <w:r w:rsidR="0016766D" w:rsidRPr="0016766D">
              <w:rPr>
                <w:snapToGrid w:val="0"/>
                <w:sz w:val="20"/>
              </w:rPr>
              <w:t>misuso</w:t>
            </w:r>
            <w:proofErr w:type="spellEnd"/>
            <w:r w:rsidR="0016766D" w:rsidRPr="0016766D">
              <w:rPr>
                <w:snapToGrid w:val="0"/>
                <w:sz w:val="20"/>
              </w:rPr>
              <w:t>, uso voluttuario</w:t>
            </w:r>
          </w:p>
        </w:tc>
      </w:tr>
      <w:tr w:rsidR="00451338" w:rsidRPr="0016766D" w:rsidTr="0016766D">
        <w:trPr>
          <w:jc w:val="center"/>
        </w:trPr>
        <w:tc>
          <w:tcPr>
            <w:tcW w:w="2748" w:type="dxa"/>
            <w:tcBorders>
              <w:top w:val="single" w:sz="4" w:space="0" w:color="auto"/>
              <w:left w:val="single" w:sz="4" w:space="0" w:color="auto"/>
              <w:bottom w:val="single" w:sz="4" w:space="0" w:color="auto"/>
              <w:right w:val="single" w:sz="4" w:space="0" w:color="auto"/>
            </w:tcBorders>
          </w:tcPr>
          <w:p w:rsidR="00451338" w:rsidRPr="0016766D" w:rsidRDefault="007301DA" w:rsidP="00541BCB">
            <w:pPr>
              <w:pStyle w:val="Paragrafoelenco"/>
              <w:ind w:left="0"/>
              <w:rPr>
                <w:sz w:val="20"/>
                <w:szCs w:val="20"/>
              </w:rPr>
            </w:pPr>
            <w:r w:rsidRPr="0016766D">
              <w:rPr>
                <w:sz w:val="20"/>
                <w:szCs w:val="20"/>
              </w:rPr>
              <w:t>Rischi importanti potenziali</w:t>
            </w:r>
          </w:p>
        </w:tc>
        <w:tc>
          <w:tcPr>
            <w:tcW w:w="5836" w:type="dxa"/>
            <w:tcBorders>
              <w:top w:val="single" w:sz="4" w:space="0" w:color="auto"/>
              <w:left w:val="single" w:sz="4" w:space="0" w:color="auto"/>
              <w:bottom w:val="single" w:sz="4" w:space="0" w:color="auto"/>
              <w:right w:val="single" w:sz="4" w:space="0" w:color="auto"/>
            </w:tcBorders>
            <w:hideMark/>
          </w:tcPr>
          <w:p w:rsidR="0016766D" w:rsidRPr="0016766D" w:rsidRDefault="0016766D" w:rsidP="0016766D">
            <w:pPr>
              <w:tabs>
                <w:tab w:val="left" w:pos="5286"/>
              </w:tabs>
              <w:autoSpaceDE w:val="0"/>
              <w:autoSpaceDN w:val="0"/>
              <w:adjustRightInd w:val="0"/>
              <w:spacing w:before="4"/>
              <w:ind w:right="498"/>
              <w:rPr>
                <w:sz w:val="20"/>
                <w:lang w:eastAsia="de-DE"/>
              </w:rPr>
            </w:pPr>
            <w:r w:rsidRPr="0016766D">
              <w:rPr>
                <w:sz w:val="20"/>
                <w:lang w:eastAsia="de-DE"/>
              </w:rPr>
              <w:t xml:space="preserve">Aumentata frequenza </w:t>
            </w:r>
            <w:r w:rsidR="00C95557" w:rsidRPr="0016766D">
              <w:rPr>
                <w:sz w:val="20"/>
                <w:lang w:eastAsia="de-DE"/>
              </w:rPr>
              <w:t>respiratoria</w:t>
            </w:r>
            <w:r w:rsidRPr="0016766D">
              <w:rPr>
                <w:sz w:val="20"/>
                <w:lang w:eastAsia="de-DE"/>
              </w:rPr>
              <w:t xml:space="preserve"> e aumentata resistenza </w:t>
            </w:r>
            <w:r>
              <w:rPr>
                <w:sz w:val="20"/>
                <w:lang w:eastAsia="de-DE"/>
              </w:rPr>
              <w:t>alla respirazione</w:t>
            </w:r>
            <w:r w:rsidRPr="0016766D">
              <w:rPr>
                <w:sz w:val="20"/>
                <w:lang w:eastAsia="de-DE"/>
              </w:rPr>
              <w:t xml:space="preserve"> in pazienti con patologie polmonari croniche</w:t>
            </w:r>
          </w:p>
          <w:p w:rsidR="0016766D" w:rsidRPr="0016766D" w:rsidRDefault="0016766D" w:rsidP="00541BCB">
            <w:pPr>
              <w:autoSpaceDE w:val="0"/>
              <w:autoSpaceDN w:val="0"/>
              <w:adjustRightInd w:val="0"/>
              <w:spacing w:before="2"/>
              <w:ind w:right="105"/>
              <w:rPr>
                <w:sz w:val="20"/>
                <w:lang w:eastAsia="de-DE"/>
              </w:rPr>
            </w:pPr>
            <w:r w:rsidRPr="0016766D">
              <w:rPr>
                <w:sz w:val="20"/>
                <w:lang w:eastAsia="de-DE"/>
              </w:rPr>
              <w:t>Tossicità per uso in pazienti anziani e in pazienti con problemi epatici e renali</w:t>
            </w:r>
          </w:p>
          <w:p w:rsidR="0016766D" w:rsidRPr="0016766D" w:rsidRDefault="0016766D" w:rsidP="00541BCB">
            <w:pPr>
              <w:autoSpaceDE w:val="0"/>
              <w:autoSpaceDN w:val="0"/>
              <w:adjustRightInd w:val="0"/>
              <w:ind w:right="-20"/>
              <w:rPr>
                <w:sz w:val="20"/>
                <w:lang w:eastAsia="de-DE"/>
              </w:rPr>
            </w:pPr>
            <w:r w:rsidRPr="0016766D">
              <w:rPr>
                <w:sz w:val="20"/>
                <w:lang w:eastAsia="de-DE"/>
              </w:rPr>
              <w:t>Aumento della temperatura corporea</w:t>
            </w:r>
          </w:p>
          <w:p w:rsidR="00541BCB" w:rsidRPr="0016766D" w:rsidRDefault="0016766D" w:rsidP="00541BCB">
            <w:pPr>
              <w:autoSpaceDE w:val="0"/>
              <w:autoSpaceDN w:val="0"/>
              <w:adjustRightInd w:val="0"/>
              <w:ind w:right="-20"/>
              <w:rPr>
                <w:sz w:val="20"/>
                <w:lang w:eastAsia="de-DE"/>
              </w:rPr>
            </w:pPr>
            <w:r w:rsidRPr="0016766D">
              <w:rPr>
                <w:sz w:val="20"/>
                <w:lang w:eastAsia="de-DE"/>
              </w:rPr>
              <w:t>Interazioni con inibitori del citocromo</w:t>
            </w:r>
            <w:r w:rsidR="00541BCB" w:rsidRPr="0016766D">
              <w:rPr>
                <w:spacing w:val="4"/>
                <w:sz w:val="20"/>
                <w:lang w:eastAsia="de-DE"/>
              </w:rPr>
              <w:t xml:space="preserve"> </w:t>
            </w:r>
            <w:r w:rsidR="00541BCB" w:rsidRPr="0016766D">
              <w:rPr>
                <w:sz w:val="20"/>
                <w:lang w:eastAsia="de-DE"/>
              </w:rPr>
              <w:t>P</w:t>
            </w:r>
            <w:r w:rsidR="00541BCB" w:rsidRPr="0016766D">
              <w:rPr>
                <w:spacing w:val="-2"/>
                <w:sz w:val="20"/>
                <w:lang w:eastAsia="de-DE"/>
              </w:rPr>
              <w:t>4</w:t>
            </w:r>
            <w:r w:rsidR="00541BCB" w:rsidRPr="0016766D">
              <w:rPr>
                <w:spacing w:val="1"/>
                <w:sz w:val="20"/>
                <w:lang w:eastAsia="de-DE"/>
              </w:rPr>
              <w:t>5</w:t>
            </w:r>
            <w:r w:rsidR="00541BCB" w:rsidRPr="0016766D">
              <w:rPr>
                <w:sz w:val="20"/>
                <w:lang w:eastAsia="de-DE"/>
              </w:rPr>
              <w:t>0</w:t>
            </w:r>
            <w:r w:rsidR="00541BCB" w:rsidRPr="0016766D">
              <w:rPr>
                <w:spacing w:val="1"/>
                <w:sz w:val="20"/>
                <w:lang w:eastAsia="de-DE"/>
              </w:rPr>
              <w:t xml:space="preserve"> 3</w:t>
            </w:r>
            <w:r w:rsidR="00541BCB" w:rsidRPr="0016766D">
              <w:rPr>
                <w:sz w:val="20"/>
                <w:lang w:eastAsia="de-DE"/>
              </w:rPr>
              <w:t>A4</w:t>
            </w:r>
            <w:r w:rsidR="00541BCB" w:rsidRPr="0016766D">
              <w:rPr>
                <w:spacing w:val="1"/>
                <w:sz w:val="20"/>
                <w:lang w:eastAsia="de-DE"/>
              </w:rPr>
              <w:t xml:space="preserve"> (</w:t>
            </w:r>
            <w:r w:rsidR="00541BCB" w:rsidRPr="0016766D">
              <w:rPr>
                <w:sz w:val="20"/>
                <w:lang w:eastAsia="de-DE"/>
              </w:rPr>
              <w:t>C</w:t>
            </w:r>
            <w:r w:rsidR="00541BCB" w:rsidRPr="0016766D">
              <w:rPr>
                <w:spacing w:val="-3"/>
                <w:sz w:val="20"/>
                <w:lang w:eastAsia="de-DE"/>
              </w:rPr>
              <w:t>Y</w:t>
            </w:r>
            <w:r w:rsidR="00541BCB" w:rsidRPr="0016766D">
              <w:rPr>
                <w:sz w:val="20"/>
                <w:lang w:eastAsia="de-DE"/>
              </w:rPr>
              <w:t>P</w:t>
            </w:r>
            <w:r w:rsidR="00541BCB" w:rsidRPr="0016766D">
              <w:rPr>
                <w:spacing w:val="1"/>
                <w:sz w:val="20"/>
                <w:lang w:eastAsia="de-DE"/>
              </w:rPr>
              <w:t>3</w:t>
            </w:r>
            <w:r w:rsidR="00541BCB" w:rsidRPr="0016766D">
              <w:rPr>
                <w:sz w:val="20"/>
                <w:lang w:eastAsia="de-DE"/>
              </w:rPr>
              <w:t>A</w:t>
            </w:r>
            <w:r w:rsidR="00541BCB" w:rsidRPr="0016766D">
              <w:rPr>
                <w:spacing w:val="1"/>
                <w:sz w:val="20"/>
                <w:lang w:eastAsia="de-DE"/>
              </w:rPr>
              <w:t>4</w:t>
            </w:r>
            <w:r w:rsidRPr="0016766D">
              <w:rPr>
                <w:sz w:val="20"/>
                <w:lang w:eastAsia="de-DE"/>
              </w:rPr>
              <w:t>)</w:t>
            </w:r>
          </w:p>
          <w:p w:rsidR="0016766D" w:rsidRPr="0016766D" w:rsidRDefault="0016766D" w:rsidP="00541BCB">
            <w:pPr>
              <w:autoSpaceDE w:val="0"/>
              <w:autoSpaceDN w:val="0"/>
              <w:adjustRightInd w:val="0"/>
              <w:ind w:right="-20"/>
              <w:rPr>
                <w:sz w:val="20"/>
                <w:lang w:eastAsia="de-DE"/>
              </w:rPr>
            </w:pPr>
            <w:r w:rsidRPr="0016766D">
              <w:rPr>
                <w:sz w:val="20"/>
                <w:lang w:eastAsia="de-DE"/>
              </w:rPr>
              <w:t>Interazioni con depressivi del sistema nervoso centrale</w:t>
            </w:r>
          </w:p>
          <w:p w:rsidR="0016766D" w:rsidRPr="0016766D" w:rsidRDefault="0016766D" w:rsidP="00541BCB">
            <w:pPr>
              <w:autoSpaceDE w:val="0"/>
              <w:autoSpaceDN w:val="0"/>
              <w:adjustRightInd w:val="0"/>
              <w:ind w:right="-20"/>
              <w:rPr>
                <w:sz w:val="20"/>
                <w:lang w:eastAsia="de-DE"/>
              </w:rPr>
            </w:pPr>
            <w:r w:rsidRPr="0016766D">
              <w:rPr>
                <w:sz w:val="20"/>
                <w:lang w:eastAsia="de-DE"/>
              </w:rPr>
              <w:t xml:space="preserve">Interazioni con inibitori delle </w:t>
            </w:r>
            <w:proofErr w:type="spellStart"/>
            <w:r w:rsidRPr="0016766D">
              <w:rPr>
                <w:sz w:val="20"/>
                <w:lang w:eastAsia="de-DE"/>
              </w:rPr>
              <w:t>monoaminossidasi</w:t>
            </w:r>
            <w:proofErr w:type="spellEnd"/>
            <w:r w:rsidRPr="0016766D">
              <w:rPr>
                <w:sz w:val="20"/>
                <w:lang w:eastAsia="de-DE"/>
              </w:rPr>
              <w:t xml:space="preserve"> (IMAO)</w:t>
            </w:r>
          </w:p>
          <w:p w:rsidR="0016766D" w:rsidRPr="0016766D" w:rsidRDefault="0016766D" w:rsidP="00541BCB">
            <w:pPr>
              <w:autoSpaceDE w:val="0"/>
              <w:autoSpaceDN w:val="0"/>
              <w:adjustRightInd w:val="0"/>
              <w:ind w:right="-20"/>
              <w:rPr>
                <w:sz w:val="20"/>
                <w:lang w:eastAsia="de-DE"/>
              </w:rPr>
            </w:pPr>
            <w:r w:rsidRPr="0016766D">
              <w:rPr>
                <w:sz w:val="20"/>
                <w:lang w:eastAsia="de-DE"/>
              </w:rPr>
              <w:t xml:space="preserve">Interazioni con barbiturici, </w:t>
            </w:r>
            <w:proofErr w:type="spellStart"/>
            <w:r w:rsidRPr="0016766D">
              <w:rPr>
                <w:sz w:val="20"/>
                <w:lang w:eastAsia="de-DE"/>
              </w:rPr>
              <w:t>buprenorfina</w:t>
            </w:r>
            <w:proofErr w:type="spellEnd"/>
            <w:r w:rsidRPr="0016766D">
              <w:rPr>
                <w:sz w:val="20"/>
                <w:lang w:eastAsia="de-DE"/>
              </w:rPr>
              <w:t xml:space="preserve">, </w:t>
            </w:r>
            <w:proofErr w:type="spellStart"/>
            <w:r w:rsidRPr="0016766D">
              <w:rPr>
                <w:sz w:val="20"/>
                <w:lang w:eastAsia="de-DE"/>
              </w:rPr>
              <w:t>nalbufina</w:t>
            </w:r>
            <w:proofErr w:type="spellEnd"/>
            <w:r w:rsidRPr="0016766D">
              <w:rPr>
                <w:sz w:val="20"/>
                <w:lang w:eastAsia="de-DE"/>
              </w:rPr>
              <w:t xml:space="preserve">, </w:t>
            </w:r>
            <w:proofErr w:type="spellStart"/>
            <w:r w:rsidRPr="0016766D">
              <w:rPr>
                <w:sz w:val="20"/>
                <w:lang w:eastAsia="de-DE"/>
              </w:rPr>
              <w:t>pentazocina</w:t>
            </w:r>
            <w:proofErr w:type="spellEnd"/>
          </w:p>
          <w:p w:rsidR="0016766D" w:rsidRPr="0016766D" w:rsidRDefault="0016766D" w:rsidP="0016766D">
            <w:pPr>
              <w:autoSpaceDE w:val="0"/>
              <w:autoSpaceDN w:val="0"/>
              <w:adjustRightInd w:val="0"/>
              <w:rPr>
                <w:snapToGrid w:val="0"/>
                <w:sz w:val="20"/>
              </w:rPr>
            </w:pPr>
            <w:r w:rsidRPr="0016766D">
              <w:rPr>
                <w:snapToGrid w:val="0"/>
                <w:sz w:val="20"/>
              </w:rPr>
              <w:t>Esposizione accidentale</w:t>
            </w:r>
          </w:p>
          <w:p w:rsidR="0016766D" w:rsidRPr="0016766D" w:rsidRDefault="0016766D" w:rsidP="0016766D">
            <w:pPr>
              <w:autoSpaceDE w:val="0"/>
              <w:autoSpaceDN w:val="0"/>
              <w:adjustRightInd w:val="0"/>
              <w:rPr>
                <w:snapToGrid w:val="0"/>
                <w:sz w:val="20"/>
              </w:rPr>
            </w:pPr>
            <w:r w:rsidRPr="0016766D">
              <w:rPr>
                <w:snapToGrid w:val="0"/>
                <w:sz w:val="20"/>
              </w:rPr>
              <w:t>Errore medico</w:t>
            </w:r>
          </w:p>
          <w:p w:rsidR="00541BCB" w:rsidRPr="0016766D" w:rsidRDefault="0016766D" w:rsidP="0016766D">
            <w:pPr>
              <w:autoSpaceDE w:val="0"/>
              <w:autoSpaceDN w:val="0"/>
              <w:adjustRightInd w:val="0"/>
              <w:rPr>
                <w:snapToGrid w:val="0"/>
                <w:sz w:val="20"/>
              </w:rPr>
            </w:pPr>
            <w:r w:rsidRPr="0016766D">
              <w:rPr>
                <w:snapToGrid w:val="0"/>
                <w:sz w:val="20"/>
              </w:rPr>
              <w:t>Overdose</w:t>
            </w:r>
          </w:p>
        </w:tc>
      </w:tr>
      <w:tr w:rsidR="00451338" w:rsidRPr="0016766D" w:rsidTr="0016766D">
        <w:trPr>
          <w:jc w:val="center"/>
        </w:trPr>
        <w:tc>
          <w:tcPr>
            <w:tcW w:w="2748" w:type="dxa"/>
            <w:tcBorders>
              <w:top w:val="single" w:sz="4" w:space="0" w:color="auto"/>
              <w:left w:val="single" w:sz="4" w:space="0" w:color="auto"/>
              <w:bottom w:val="single" w:sz="4" w:space="0" w:color="auto"/>
              <w:right w:val="single" w:sz="4" w:space="0" w:color="auto"/>
            </w:tcBorders>
          </w:tcPr>
          <w:p w:rsidR="00451338" w:rsidRPr="0016766D" w:rsidRDefault="007301DA" w:rsidP="00541BCB">
            <w:pPr>
              <w:pStyle w:val="Paragrafoelenco"/>
              <w:ind w:left="0"/>
              <w:rPr>
                <w:sz w:val="20"/>
                <w:szCs w:val="20"/>
              </w:rPr>
            </w:pPr>
            <w:r w:rsidRPr="0016766D">
              <w:rPr>
                <w:sz w:val="20"/>
                <w:szCs w:val="20"/>
              </w:rPr>
              <w:t>Informazioni mancanti</w:t>
            </w:r>
          </w:p>
        </w:tc>
        <w:tc>
          <w:tcPr>
            <w:tcW w:w="5836" w:type="dxa"/>
            <w:tcBorders>
              <w:top w:val="single" w:sz="4" w:space="0" w:color="auto"/>
              <w:left w:val="single" w:sz="4" w:space="0" w:color="auto"/>
              <w:bottom w:val="single" w:sz="4" w:space="0" w:color="auto"/>
              <w:right w:val="single" w:sz="4" w:space="0" w:color="auto"/>
            </w:tcBorders>
            <w:hideMark/>
          </w:tcPr>
          <w:p w:rsidR="00541BCB" w:rsidRPr="0016766D" w:rsidRDefault="0016766D" w:rsidP="00541BCB">
            <w:pPr>
              <w:pStyle w:val="Paragrafoelenco"/>
              <w:ind w:left="0"/>
              <w:jc w:val="both"/>
              <w:rPr>
                <w:sz w:val="20"/>
                <w:lang w:eastAsia="de-DE"/>
              </w:rPr>
            </w:pPr>
            <w:r w:rsidRPr="0016766D">
              <w:rPr>
                <w:snapToGrid w:val="0"/>
                <w:sz w:val="20"/>
              </w:rPr>
              <w:t>Uso in gravidanza e durante l’allattamento</w:t>
            </w:r>
          </w:p>
          <w:p w:rsidR="009404E8" w:rsidRPr="0016766D" w:rsidRDefault="0016766D" w:rsidP="00541BCB">
            <w:pPr>
              <w:pStyle w:val="Paragrafoelenco"/>
              <w:ind w:left="0"/>
              <w:jc w:val="both"/>
              <w:rPr>
                <w:sz w:val="20"/>
                <w:szCs w:val="20"/>
                <w:highlight w:val="yellow"/>
              </w:rPr>
            </w:pPr>
            <w:r w:rsidRPr="0016766D">
              <w:rPr>
                <w:sz w:val="20"/>
                <w:lang w:eastAsia="de-DE"/>
              </w:rPr>
              <w:t>Uso in bambini di età inferiore a 2 anni</w:t>
            </w:r>
          </w:p>
        </w:tc>
      </w:tr>
    </w:tbl>
    <w:p w:rsidR="00451338" w:rsidRPr="0016766D" w:rsidRDefault="00451338" w:rsidP="00451338">
      <w:pPr>
        <w:pStyle w:val="Paragrafoelenco"/>
        <w:spacing w:after="0" w:line="240" w:lineRule="auto"/>
        <w:ind w:left="0"/>
        <w:jc w:val="both"/>
      </w:pPr>
    </w:p>
    <w:p w:rsidR="00451338" w:rsidRDefault="00451338" w:rsidP="00451338">
      <w:pPr>
        <w:pStyle w:val="Paragrafoelenco"/>
        <w:spacing w:after="0" w:line="240" w:lineRule="auto"/>
        <w:ind w:left="0"/>
        <w:jc w:val="both"/>
      </w:pPr>
      <w:r w:rsidRPr="009A2805">
        <w:t xml:space="preserve">Azioni </w:t>
      </w:r>
      <w:proofErr w:type="spellStart"/>
      <w:r w:rsidRPr="009A2805">
        <w:t>routinarie</w:t>
      </w:r>
      <w:proofErr w:type="spellEnd"/>
      <w:r w:rsidRPr="009A2805">
        <w:t xml:space="preserve"> di farmacovigilanza e di </w:t>
      </w:r>
      <w:r>
        <w:t>minimizzazione del rischio sono proposte per tutte le problematiche di sicurezza.</w:t>
      </w:r>
    </w:p>
    <w:p w:rsidR="00451338" w:rsidRDefault="00451338" w:rsidP="00451338">
      <w:pPr>
        <w:pStyle w:val="Paragrafoelenco"/>
        <w:spacing w:after="0" w:line="240" w:lineRule="auto"/>
        <w:ind w:left="0"/>
        <w:jc w:val="both"/>
      </w:pPr>
      <w:r>
        <w:t>Oltre le misure previste nel Riassunto delle caratteristiche del prodotto non sono previste attività addizionali di minimizzazione del rischio</w:t>
      </w:r>
    </w:p>
    <w:p w:rsidR="005D6E10" w:rsidRDefault="005D6E10" w:rsidP="005D6E10">
      <w:pPr>
        <w:pStyle w:val="Paragrafoelenco"/>
        <w:spacing w:after="0" w:line="240" w:lineRule="auto"/>
        <w:ind w:left="0"/>
        <w:jc w:val="both"/>
      </w:pPr>
    </w:p>
    <w:p w:rsidR="00C95557" w:rsidRDefault="00C95557" w:rsidP="005D6E10">
      <w:pPr>
        <w:pStyle w:val="Paragrafoelenco"/>
        <w:spacing w:after="0" w:line="240" w:lineRule="auto"/>
        <w:ind w:left="0"/>
        <w:jc w:val="both"/>
      </w:pPr>
    </w:p>
    <w:p w:rsidR="00C95557" w:rsidRDefault="00C95557" w:rsidP="005D6E10">
      <w:pPr>
        <w:pStyle w:val="Paragrafoelenco"/>
        <w:spacing w:after="0" w:line="240" w:lineRule="auto"/>
        <w:ind w:left="0"/>
        <w:jc w:val="both"/>
      </w:pPr>
    </w:p>
    <w:p w:rsidR="00900C91" w:rsidRPr="002E4DCB" w:rsidRDefault="00900C91" w:rsidP="00900C91">
      <w:pPr>
        <w:pStyle w:val="Paragrafoelenco"/>
        <w:spacing w:after="0" w:line="240" w:lineRule="auto"/>
        <w:ind w:left="0"/>
        <w:jc w:val="both"/>
        <w:rPr>
          <w:b/>
        </w:rPr>
      </w:pPr>
      <w:r w:rsidRPr="002E4DCB">
        <w:rPr>
          <w:b/>
        </w:rPr>
        <w:lastRenderedPageBreak/>
        <w:t>Conclusioni</w:t>
      </w:r>
    </w:p>
    <w:p w:rsidR="00900C91" w:rsidRDefault="00900C91" w:rsidP="00900C91">
      <w:pPr>
        <w:pStyle w:val="Paragrafoelenco"/>
        <w:spacing w:after="0" w:line="240" w:lineRule="auto"/>
        <w:ind w:left="0"/>
        <w:jc w:val="both"/>
      </w:pPr>
      <w:r>
        <w:t xml:space="preserve">Per la richiesta di AIC di </w:t>
      </w:r>
      <w:proofErr w:type="spellStart"/>
      <w:r w:rsidR="006951D9">
        <w:t>Fentanyl</w:t>
      </w:r>
      <w:proofErr w:type="spellEnd"/>
      <w:r w:rsidR="006951D9">
        <w:t xml:space="preserve"> </w:t>
      </w:r>
      <w:proofErr w:type="spellStart"/>
      <w:r w:rsidR="006951D9">
        <w:t>Noventia</w:t>
      </w:r>
      <w:proofErr w:type="spellEnd"/>
      <w:r w:rsidR="006951D9">
        <w:t xml:space="preserve"> </w:t>
      </w:r>
      <w:proofErr w:type="spellStart"/>
      <w:r w:rsidR="006951D9">
        <w:t>Pharma</w:t>
      </w:r>
      <w:proofErr w:type="spellEnd"/>
      <w:r>
        <w:t xml:space="preserve"> sono state presentate sufficienti informazioni cliniche.</w:t>
      </w:r>
    </w:p>
    <w:p w:rsidR="00900C91" w:rsidRDefault="00900C91" w:rsidP="00900C91">
      <w:pPr>
        <w:pStyle w:val="Paragrafoelenco"/>
        <w:spacing w:after="0" w:line="240" w:lineRule="auto"/>
        <w:ind w:left="0"/>
        <w:jc w:val="both"/>
      </w:pPr>
      <w:r>
        <w:t xml:space="preserve">Il rapporto beneficio/rischio di </w:t>
      </w:r>
      <w:proofErr w:type="spellStart"/>
      <w:r w:rsidR="006951D9">
        <w:t>Fentanyl</w:t>
      </w:r>
      <w:proofErr w:type="spellEnd"/>
      <w:r w:rsidR="006951D9">
        <w:t xml:space="preserve"> </w:t>
      </w:r>
      <w:proofErr w:type="spellStart"/>
      <w:r w:rsidR="006951D9">
        <w:t>Noventia</w:t>
      </w:r>
      <w:proofErr w:type="spellEnd"/>
      <w:r w:rsidR="006951D9">
        <w:t xml:space="preserve"> </w:t>
      </w:r>
      <w:proofErr w:type="spellStart"/>
      <w:r w:rsidR="006951D9">
        <w:t>Pharma</w:t>
      </w:r>
      <w:proofErr w:type="spellEnd"/>
      <w:r>
        <w:t xml:space="preserve"> è considerato favorevole dal punto di vista clinico.</w:t>
      </w:r>
    </w:p>
    <w:p w:rsidR="00D66637" w:rsidRDefault="00D66637" w:rsidP="00900C91">
      <w:pPr>
        <w:pStyle w:val="Paragrafoelenco"/>
        <w:spacing w:after="0" w:line="240" w:lineRule="auto"/>
        <w:ind w:left="0"/>
        <w:jc w:val="both"/>
      </w:pPr>
    </w:p>
    <w:p w:rsidR="00D66637" w:rsidRDefault="00D66637" w:rsidP="00900C91">
      <w:pPr>
        <w:pStyle w:val="Paragrafoelenco"/>
        <w:spacing w:after="0" w:line="240" w:lineRule="auto"/>
        <w:ind w:left="0"/>
        <w:jc w:val="both"/>
      </w:pPr>
    </w:p>
    <w:p w:rsidR="00900C91" w:rsidRPr="002E4DCB" w:rsidRDefault="00900C91" w:rsidP="00900C91">
      <w:pPr>
        <w:pStyle w:val="Paragrafoelenco"/>
        <w:numPr>
          <w:ilvl w:val="0"/>
          <w:numId w:val="2"/>
        </w:numPr>
        <w:spacing w:after="0" w:line="240" w:lineRule="auto"/>
        <w:jc w:val="both"/>
        <w:rPr>
          <w:b/>
        </w:rPr>
      </w:pPr>
      <w:r w:rsidRPr="002E4DCB">
        <w:rPr>
          <w:b/>
        </w:rPr>
        <w:t xml:space="preserve">CONSULTAZIONE </w:t>
      </w:r>
      <w:r>
        <w:rPr>
          <w:b/>
        </w:rPr>
        <w:t>SUL FOGLIO ILLUSTRATIVO</w:t>
      </w:r>
    </w:p>
    <w:p w:rsidR="00354339" w:rsidRDefault="00354339" w:rsidP="00354339">
      <w:pPr>
        <w:spacing w:after="0" w:line="240" w:lineRule="auto"/>
        <w:jc w:val="both"/>
      </w:pPr>
      <w:r w:rsidRPr="00291644">
        <w:t xml:space="preserve">In accordo alla normativa vigente, </w:t>
      </w:r>
      <w:r>
        <w:t>il</w:t>
      </w:r>
      <w:r w:rsidRPr="002046BC">
        <w:rPr>
          <w:rFonts w:eastAsia="Calibri" w:cs="Calibri"/>
          <w:lang w:eastAsia="it-IT"/>
        </w:rPr>
        <w:t xml:space="preserve"> titolare dell’autorizzazione all’immissione in commercio (AIC) </w:t>
      </w:r>
      <w:r w:rsidRPr="00291644">
        <w:t>si è impegnat</w:t>
      </w:r>
      <w:r>
        <w:t>o</w:t>
      </w:r>
      <w:r w:rsidRPr="00291644">
        <w:t xml:space="preserve"> a presentare il Foglio Illustrativo redatto in conformità al modello (modello QRD) redatto secondo il formato europeo leggibile per il paziente, confermato dai risultati del test di leggibilità che sarà condotto in accordo ai requisiti dell’art. 59(3) e 61(1)</w:t>
      </w:r>
      <w:r>
        <w:t xml:space="preserve"> della direttiva 2001/83/EU </w:t>
      </w:r>
      <w:proofErr w:type="spellStart"/>
      <w:r>
        <w:t>s.m.i.</w:t>
      </w:r>
      <w:proofErr w:type="spellEnd"/>
    </w:p>
    <w:p w:rsidR="00900C91" w:rsidRDefault="00900C91" w:rsidP="00900C91">
      <w:pPr>
        <w:pStyle w:val="Paragrafoelenco"/>
        <w:spacing w:after="0" w:line="240" w:lineRule="auto"/>
        <w:ind w:left="0"/>
        <w:jc w:val="both"/>
      </w:pPr>
    </w:p>
    <w:p w:rsidR="00900C91" w:rsidRDefault="00900C91" w:rsidP="00900C91">
      <w:pPr>
        <w:spacing w:after="0" w:line="240" w:lineRule="auto"/>
        <w:jc w:val="both"/>
      </w:pPr>
    </w:p>
    <w:p w:rsidR="00D66637" w:rsidRDefault="00D66637" w:rsidP="00900C91">
      <w:pPr>
        <w:spacing w:after="0" w:line="240" w:lineRule="auto"/>
        <w:jc w:val="both"/>
      </w:pPr>
    </w:p>
    <w:p w:rsidR="00900C91" w:rsidRPr="00BC23ED" w:rsidRDefault="00900C91" w:rsidP="00900C91">
      <w:pPr>
        <w:pStyle w:val="Paragrafoelenco"/>
        <w:numPr>
          <w:ilvl w:val="0"/>
          <w:numId w:val="2"/>
        </w:numPr>
        <w:spacing w:after="0" w:line="240" w:lineRule="auto"/>
        <w:jc w:val="both"/>
        <w:rPr>
          <w:b/>
        </w:rPr>
      </w:pPr>
      <w:r w:rsidRPr="00BC23ED">
        <w:rPr>
          <w:b/>
        </w:rPr>
        <w:t>CONCLUSIONI, VALUTAZIONE DEL RAPPORTO BENEFICIO/RISCHIO E RACCOMANDAZIONI</w:t>
      </w:r>
    </w:p>
    <w:p w:rsidR="00900C91" w:rsidRDefault="00900C91" w:rsidP="00900C91">
      <w:pPr>
        <w:spacing w:after="0" w:line="240" w:lineRule="auto"/>
        <w:jc w:val="both"/>
      </w:pPr>
      <w:r>
        <w:t xml:space="preserve">La qualità di </w:t>
      </w:r>
      <w:proofErr w:type="spellStart"/>
      <w:r w:rsidR="006951D9">
        <w:t>Fentanyl</w:t>
      </w:r>
      <w:proofErr w:type="spellEnd"/>
      <w:r w:rsidR="006951D9">
        <w:t xml:space="preserve"> </w:t>
      </w:r>
      <w:proofErr w:type="spellStart"/>
      <w:r w:rsidR="006951D9">
        <w:t>Noventia</w:t>
      </w:r>
      <w:proofErr w:type="spellEnd"/>
      <w:r w:rsidR="006951D9">
        <w:t xml:space="preserve"> </w:t>
      </w:r>
      <w:proofErr w:type="spellStart"/>
      <w:r w:rsidR="006951D9">
        <w:t>Pharma</w:t>
      </w:r>
      <w:proofErr w:type="spellEnd"/>
      <w:r>
        <w:t xml:space="preserve"> è accettabile e non sono state rilevate criticità da un punto di vista non clinico e clinico.</w:t>
      </w:r>
    </w:p>
    <w:p w:rsidR="00900C91" w:rsidRDefault="00900C91" w:rsidP="00900C91">
      <w:pPr>
        <w:spacing w:after="0" w:line="240" w:lineRule="auto"/>
        <w:jc w:val="both"/>
      </w:pPr>
      <w:r>
        <w:t xml:space="preserve">Lo studio di bioequivalenza e le sue conclusioni confermano che </w:t>
      </w:r>
      <w:proofErr w:type="spellStart"/>
      <w:r w:rsidR="006951D9">
        <w:t>Fentanyl</w:t>
      </w:r>
      <w:proofErr w:type="spellEnd"/>
      <w:r w:rsidR="006951D9">
        <w:t xml:space="preserve"> </w:t>
      </w:r>
      <w:proofErr w:type="spellStart"/>
      <w:r w:rsidR="006951D9">
        <w:t>Noventia</w:t>
      </w:r>
      <w:proofErr w:type="spellEnd"/>
      <w:r w:rsidR="006951D9">
        <w:t xml:space="preserve"> </w:t>
      </w:r>
      <w:proofErr w:type="spellStart"/>
      <w:r w:rsidR="006951D9">
        <w:t>Pharma</w:t>
      </w:r>
      <w:proofErr w:type="spellEnd"/>
      <w:r>
        <w:t xml:space="preserve"> e i</w:t>
      </w:r>
      <w:r w:rsidR="00072257">
        <w:t>l</w:t>
      </w:r>
      <w:r>
        <w:t xml:space="preserve"> medicinal</w:t>
      </w:r>
      <w:r w:rsidR="00072257">
        <w:t xml:space="preserve">e </w:t>
      </w:r>
      <w:r w:rsidR="00A02D62">
        <w:t xml:space="preserve">di riferimento </w:t>
      </w:r>
      <w:proofErr w:type="spellStart"/>
      <w:r w:rsidR="003F0485">
        <w:t>Durogesic</w:t>
      </w:r>
      <w:proofErr w:type="spellEnd"/>
      <w:r w:rsidR="0012738A" w:rsidRPr="00D33431">
        <w:t xml:space="preserve"> </w:t>
      </w:r>
      <w:r w:rsidR="0012738A">
        <w:t xml:space="preserve">autorizzato in Italia </w:t>
      </w:r>
      <w:r>
        <w:t xml:space="preserve">sono </w:t>
      </w:r>
      <w:proofErr w:type="spellStart"/>
      <w:r>
        <w:t>bioequivalenti</w:t>
      </w:r>
      <w:proofErr w:type="spellEnd"/>
      <w:r>
        <w:t>.</w:t>
      </w:r>
    </w:p>
    <w:p w:rsidR="00900C91" w:rsidRDefault="00900C91" w:rsidP="00900C91">
      <w:pPr>
        <w:spacing w:after="0" w:line="240" w:lineRule="auto"/>
        <w:jc w:val="both"/>
      </w:pPr>
      <w:r>
        <w:t>Il rapporto beneficio/rischio è considerato positivo.</w:t>
      </w:r>
    </w:p>
    <w:p w:rsidR="009A260F" w:rsidRDefault="00900C91" w:rsidP="00290E26">
      <w:pPr>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9" w:history="1">
        <w:r>
          <w:rPr>
            <w:rStyle w:val="Collegamentoipertestuale"/>
            <w:rFonts w:eastAsia="Calibri" w:cs="Calibri"/>
            <w:lang w:eastAsia="it-IT"/>
          </w:rPr>
          <w:t>https://farmaci.agenziafarmaco.gov.it/bancadatifarmaci</w:t>
        </w:r>
      </w:hyperlink>
      <w:r>
        <w:rPr>
          <w:rFonts w:eastAsia="Calibri" w:cs="Calibri"/>
          <w:lang w:eastAsia="it-IT"/>
        </w:rPr>
        <w:t>).</w:t>
      </w:r>
    </w:p>
    <w:sectPr w:rsidR="009A260F" w:rsidSect="005F62FE">
      <w:pgSz w:w="11906" w:h="16838"/>
      <w:pgMar w:top="1418" w:right="1134"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8279D"/>
    <w:multiLevelType w:val="multilevel"/>
    <w:tmpl w:val="B6F8F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79C4369"/>
    <w:multiLevelType w:val="hybridMultilevel"/>
    <w:tmpl w:val="899A7962"/>
    <w:lvl w:ilvl="0" w:tplc="04070001">
      <w:start w:val="1"/>
      <w:numFmt w:val="bullet"/>
      <w:lvlText w:val=""/>
      <w:lvlJc w:val="left"/>
      <w:pPr>
        <w:ind w:left="822" w:hanging="360"/>
      </w:pPr>
      <w:rPr>
        <w:rFonts w:ascii="Symbol" w:hAnsi="Symbol" w:hint="default"/>
      </w:rPr>
    </w:lvl>
    <w:lvl w:ilvl="1" w:tplc="04070003" w:tentative="1">
      <w:start w:val="1"/>
      <w:numFmt w:val="bullet"/>
      <w:lvlText w:val="o"/>
      <w:lvlJc w:val="left"/>
      <w:pPr>
        <w:ind w:left="1542" w:hanging="360"/>
      </w:pPr>
      <w:rPr>
        <w:rFonts w:ascii="Courier New" w:hAnsi="Courier New" w:cs="Courier New" w:hint="default"/>
      </w:rPr>
    </w:lvl>
    <w:lvl w:ilvl="2" w:tplc="04070005" w:tentative="1">
      <w:start w:val="1"/>
      <w:numFmt w:val="bullet"/>
      <w:lvlText w:val=""/>
      <w:lvlJc w:val="left"/>
      <w:pPr>
        <w:ind w:left="2262" w:hanging="360"/>
      </w:pPr>
      <w:rPr>
        <w:rFonts w:ascii="Wingdings" w:hAnsi="Wingdings" w:hint="default"/>
      </w:rPr>
    </w:lvl>
    <w:lvl w:ilvl="3" w:tplc="04070001" w:tentative="1">
      <w:start w:val="1"/>
      <w:numFmt w:val="bullet"/>
      <w:lvlText w:val=""/>
      <w:lvlJc w:val="left"/>
      <w:pPr>
        <w:ind w:left="2982" w:hanging="360"/>
      </w:pPr>
      <w:rPr>
        <w:rFonts w:ascii="Symbol" w:hAnsi="Symbol" w:hint="default"/>
      </w:rPr>
    </w:lvl>
    <w:lvl w:ilvl="4" w:tplc="04070003" w:tentative="1">
      <w:start w:val="1"/>
      <w:numFmt w:val="bullet"/>
      <w:lvlText w:val="o"/>
      <w:lvlJc w:val="left"/>
      <w:pPr>
        <w:ind w:left="3702" w:hanging="360"/>
      </w:pPr>
      <w:rPr>
        <w:rFonts w:ascii="Courier New" w:hAnsi="Courier New" w:cs="Courier New" w:hint="default"/>
      </w:rPr>
    </w:lvl>
    <w:lvl w:ilvl="5" w:tplc="04070005" w:tentative="1">
      <w:start w:val="1"/>
      <w:numFmt w:val="bullet"/>
      <w:lvlText w:val=""/>
      <w:lvlJc w:val="left"/>
      <w:pPr>
        <w:ind w:left="4422" w:hanging="360"/>
      </w:pPr>
      <w:rPr>
        <w:rFonts w:ascii="Wingdings" w:hAnsi="Wingdings" w:hint="default"/>
      </w:rPr>
    </w:lvl>
    <w:lvl w:ilvl="6" w:tplc="04070001" w:tentative="1">
      <w:start w:val="1"/>
      <w:numFmt w:val="bullet"/>
      <w:lvlText w:val=""/>
      <w:lvlJc w:val="left"/>
      <w:pPr>
        <w:ind w:left="5142" w:hanging="360"/>
      </w:pPr>
      <w:rPr>
        <w:rFonts w:ascii="Symbol" w:hAnsi="Symbol" w:hint="default"/>
      </w:rPr>
    </w:lvl>
    <w:lvl w:ilvl="7" w:tplc="04070003" w:tentative="1">
      <w:start w:val="1"/>
      <w:numFmt w:val="bullet"/>
      <w:lvlText w:val="o"/>
      <w:lvlJc w:val="left"/>
      <w:pPr>
        <w:ind w:left="5862" w:hanging="360"/>
      </w:pPr>
      <w:rPr>
        <w:rFonts w:ascii="Courier New" w:hAnsi="Courier New" w:cs="Courier New" w:hint="default"/>
      </w:rPr>
    </w:lvl>
    <w:lvl w:ilvl="8" w:tplc="04070005" w:tentative="1">
      <w:start w:val="1"/>
      <w:numFmt w:val="bullet"/>
      <w:lvlText w:val=""/>
      <w:lvlJc w:val="left"/>
      <w:pPr>
        <w:ind w:left="6582" w:hanging="360"/>
      </w:pPr>
      <w:rPr>
        <w:rFonts w:ascii="Wingdings" w:hAnsi="Wingdings" w:hint="default"/>
      </w:rPr>
    </w:lvl>
  </w:abstractNum>
  <w:abstractNum w:abstractNumId="3">
    <w:nsid w:val="32105111"/>
    <w:multiLevelType w:val="singleLevel"/>
    <w:tmpl w:val="04070005"/>
    <w:lvl w:ilvl="0">
      <w:start w:val="1"/>
      <w:numFmt w:val="bullet"/>
      <w:lvlText w:val=""/>
      <w:lvlJc w:val="left"/>
      <w:pPr>
        <w:tabs>
          <w:tab w:val="num" w:pos="720"/>
        </w:tabs>
        <w:ind w:left="720" w:hanging="360"/>
      </w:pPr>
      <w:rPr>
        <w:rFonts w:ascii="Wingdings" w:hAnsi="Wingdings" w:hint="default"/>
      </w:rPr>
    </w:lvl>
  </w:abstractNum>
  <w:abstractNum w:abstractNumId="4">
    <w:nsid w:val="3FA550CF"/>
    <w:multiLevelType w:val="hybridMultilevel"/>
    <w:tmpl w:val="DA3E25C4"/>
    <w:lvl w:ilvl="0" w:tplc="04070001">
      <w:start w:val="1"/>
      <w:numFmt w:val="bullet"/>
      <w:lvlText w:val=""/>
      <w:lvlJc w:val="left"/>
      <w:pPr>
        <w:ind w:left="822" w:hanging="360"/>
      </w:pPr>
      <w:rPr>
        <w:rFonts w:ascii="Symbol" w:hAnsi="Symbol" w:hint="default"/>
      </w:rPr>
    </w:lvl>
    <w:lvl w:ilvl="1" w:tplc="04070003" w:tentative="1">
      <w:start w:val="1"/>
      <w:numFmt w:val="bullet"/>
      <w:lvlText w:val="o"/>
      <w:lvlJc w:val="left"/>
      <w:pPr>
        <w:ind w:left="1542" w:hanging="360"/>
      </w:pPr>
      <w:rPr>
        <w:rFonts w:ascii="Courier New" w:hAnsi="Courier New" w:cs="Courier New" w:hint="default"/>
      </w:rPr>
    </w:lvl>
    <w:lvl w:ilvl="2" w:tplc="04070005" w:tentative="1">
      <w:start w:val="1"/>
      <w:numFmt w:val="bullet"/>
      <w:lvlText w:val=""/>
      <w:lvlJc w:val="left"/>
      <w:pPr>
        <w:ind w:left="2262" w:hanging="360"/>
      </w:pPr>
      <w:rPr>
        <w:rFonts w:ascii="Wingdings" w:hAnsi="Wingdings" w:hint="default"/>
      </w:rPr>
    </w:lvl>
    <w:lvl w:ilvl="3" w:tplc="04070001" w:tentative="1">
      <w:start w:val="1"/>
      <w:numFmt w:val="bullet"/>
      <w:lvlText w:val=""/>
      <w:lvlJc w:val="left"/>
      <w:pPr>
        <w:ind w:left="2982" w:hanging="360"/>
      </w:pPr>
      <w:rPr>
        <w:rFonts w:ascii="Symbol" w:hAnsi="Symbol" w:hint="default"/>
      </w:rPr>
    </w:lvl>
    <w:lvl w:ilvl="4" w:tplc="04070003" w:tentative="1">
      <w:start w:val="1"/>
      <w:numFmt w:val="bullet"/>
      <w:lvlText w:val="o"/>
      <w:lvlJc w:val="left"/>
      <w:pPr>
        <w:ind w:left="3702" w:hanging="360"/>
      </w:pPr>
      <w:rPr>
        <w:rFonts w:ascii="Courier New" w:hAnsi="Courier New" w:cs="Courier New" w:hint="default"/>
      </w:rPr>
    </w:lvl>
    <w:lvl w:ilvl="5" w:tplc="04070005" w:tentative="1">
      <w:start w:val="1"/>
      <w:numFmt w:val="bullet"/>
      <w:lvlText w:val=""/>
      <w:lvlJc w:val="left"/>
      <w:pPr>
        <w:ind w:left="4422" w:hanging="360"/>
      </w:pPr>
      <w:rPr>
        <w:rFonts w:ascii="Wingdings" w:hAnsi="Wingdings" w:hint="default"/>
      </w:rPr>
    </w:lvl>
    <w:lvl w:ilvl="6" w:tplc="04070001" w:tentative="1">
      <w:start w:val="1"/>
      <w:numFmt w:val="bullet"/>
      <w:lvlText w:val=""/>
      <w:lvlJc w:val="left"/>
      <w:pPr>
        <w:ind w:left="5142" w:hanging="360"/>
      </w:pPr>
      <w:rPr>
        <w:rFonts w:ascii="Symbol" w:hAnsi="Symbol" w:hint="default"/>
      </w:rPr>
    </w:lvl>
    <w:lvl w:ilvl="7" w:tplc="04070003" w:tentative="1">
      <w:start w:val="1"/>
      <w:numFmt w:val="bullet"/>
      <w:lvlText w:val="o"/>
      <w:lvlJc w:val="left"/>
      <w:pPr>
        <w:ind w:left="5862" w:hanging="360"/>
      </w:pPr>
      <w:rPr>
        <w:rFonts w:ascii="Courier New" w:hAnsi="Courier New" w:cs="Courier New" w:hint="default"/>
      </w:rPr>
    </w:lvl>
    <w:lvl w:ilvl="8" w:tplc="04070005" w:tentative="1">
      <w:start w:val="1"/>
      <w:numFmt w:val="bullet"/>
      <w:lvlText w:val=""/>
      <w:lvlJc w:val="left"/>
      <w:pPr>
        <w:ind w:left="6582" w:hanging="360"/>
      </w:pPr>
      <w:rPr>
        <w:rFonts w:ascii="Wingdings" w:hAnsi="Wingdings" w:hint="default"/>
      </w:rPr>
    </w:lvl>
  </w:abstractNum>
  <w:abstractNum w:abstractNumId="5">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62923849"/>
    <w:multiLevelType w:val="hybridMultilevel"/>
    <w:tmpl w:val="263EA3D0"/>
    <w:lvl w:ilvl="0" w:tplc="04070001">
      <w:start w:val="1"/>
      <w:numFmt w:val="bullet"/>
      <w:lvlText w:val=""/>
      <w:lvlJc w:val="left"/>
      <w:pPr>
        <w:ind w:left="822" w:hanging="360"/>
      </w:pPr>
      <w:rPr>
        <w:rFonts w:ascii="Symbol" w:hAnsi="Symbol" w:hint="default"/>
      </w:rPr>
    </w:lvl>
    <w:lvl w:ilvl="1" w:tplc="04070003" w:tentative="1">
      <w:start w:val="1"/>
      <w:numFmt w:val="bullet"/>
      <w:lvlText w:val="o"/>
      <w:lvlJc w:val="left"/>
      <w:pPr>
        <w:ind w:left="1542" w:hanging="360"/>
      </w:pPr>
      <w:rPr>
        <w:rFonts w:ascii="Courier New" w:hAnsi="Courier New" w:cs="Courier New" w:hint="default"/>
      </w:rPr>
    </w:lvl>
    <w:lvl w:ilvl="2" w:tplc="04070005" w:tentative="1">
      <w:start w:val="1"/>
      <w:numFmt w:val="bullet"/>
      <w:lvlText w:val=""/>
      <w:lvlJc w:val="left"/>
      <w:pPr>
        <w:ind w:left="2262" w:hanging="360"/>
      </w:pPr>
      <w:rPr>
        <w:rFonts w:ascii="Wingdings" w:hAnsi="Wingdings" w:hint="default"/>
      </w:rPr>
    </w:lvl>
    <w:lvl w:ilvl="3" w:tplc="04070001" w:tentative="1">
      <w:start w:val="1"/>
      <w:numFmt w:val="bullet"/>
      <w:lvlText w:val=""/>
      <w:lvlJc w:val="left"/>
      <w:pPr>
        <w:ind w:left="2982" w:hanging="360"/>
      </w:pPr>
      <w:rPr>
        <w:rFonts w:ascii="Symbol" w:hAnsi="Symbol" w:hint="default"/>
      </w:rPr>
    </w:lvl>
    <w:lvl w:ilvl="4" w:tplc="04070003" w:tentative="1">
      <w:start w:val="1"/>
      <w:numFmt w:val="bullet"/>
      <w:lvlText w:val="o"/>
      <w:lvlJc w:val="left"/>
      <w:pPr>
        <w:ind w:left="3702" w:hanging="360"/>
      </w:pPr>
      <w:rPr>
        <w:rFonts w:ascii="Courier New" w:hAnsi="Courier New" w:cs="Courier New" w:hint="default"/>
      </w:rPr>
    </w:lvl>
    <w:lvl w:ilvl="5" w:tplc="04070005" w:tentative="1">
      <w:start w:val="1"/>
      <w:numFmt w:val="bullet"/>
      <w:lvlText w:val=""/>
      <w:lvlJc w:val="left"/>
      <w:pPr>
        <w:ind w:left="4422" w:hanging="360"/>
      </w:pPr>
      <w:rPr>
        <w:rFonts w:ascii="Wingdings" w:hAnsi="Wingdings" w:hint="default"/>
      </w:rPr>
    </w:lvl>
    <w:lvl w:ilvl="6" w:tplc="04070001" w:tentative="1">
      <w:start w:val="1"/>
      <w:numFmt w:val="bullet"/>
      <w:lvlText w:val=""/>
      <w:lvlJc w:val="left"/>
      <w:pPr>
        <w:ind w:left="5142" w:hanging="360"/>
      </w:pPr>
      <w:rPr>
        <w:rFonts w:ascii="Symbol" w:hAnsi="Symbol" w:hint="default"/>
      </w:rPr>
    </w:lvl>
    <w:lvl w:ilvl="7" w:tplc="04070003" w:tentative="1">
      <w:start w:val="1"/>
      <w:numFmt w:val="bullet"/>
      <w:lvlText w:val="o"/>
      <w:lvlJc w:val="left"/>
      <w:pPr>
        <w:ind w:left="5862" w:hanging="360"/>
      </w:pPr>
      <w:rPr>
        <w:rFonts w:ascii="Courier New" w:hAnsi="Courier New" w:cs="Courier New" w:hint="default"/>
      </w:rPr>
    </w:lvl>
    <w:lvl w:ilvl="8" w:tplc="04070005" w:tentative="1">
      <w:start w:val="1"/>
      <w:numFmt w:val="bullet"/>
      <w:lvlText w:val=""/>
      <w:lvlJc w:val="left"/>
      <w:pPr>
        <w:ind w:left="6582" w:hanging="360"/>
      </w:pPr>
      <w:rPr>
        <w:rFonts w:ascii="Wingdings" w:hAnsi="Wingdings" w:hint="default"/>
      </w:rPr>
    </w:lvl>
  </w:abstractNum>
  <w:abstractNum w:abstractNumId="7">
    <w:nsid w:val="678A5AFE"/>
    <w:multiLevelType w:val="hybridMultilevel"/>
    <w:tmpl w:val="98126BDC"/>
    <w:lvl w:ilvl="0" w:tplc="5C42A668">
      <w:start w:val="1"/>
      <w:numFmt w:val="upp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8625169"/>
    <w:multiLevelType w:val="hybridMultilevel"/>
    <w:tmpl w:val="9ABCB9E6"/>
    <w:lvl w:ilvl="0" w:tplc="1CC40608">
      <w:start w:val="8"/>
      <w:numFmt w:val="bullet"/>
      <w:lvlText w:val="-"/>
      <w:lvlJc w:val="left"/>
      <w:pPr>
        <w:ind w:left="720" w:hanging="360"/>
      </w:pPr>
      <w:rPr>
        <w:rFonts w:ascii="Calibri" w:eastAsiaTheme="minorHAnsi" w:hAnsi="Calibri" w:cstheme="minorBidi" w:hint="default"/>
        <w:b w:val="0"/>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02471CD"/>
    <w:multiLevelType w:val="hybridMultilevel"/>
    <w:tmpl w:val="19342516"/>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
    <w:nsid w:val="7F290B95"/>
    <w:multiLevelType w:val="singleLevel"/>
    <w:tmpl w:val="04070005"/>
    <w:lvl w:ilvl="0">
      <w:start w:val="1"/>
      <w:numFmt w:val="bullet"/>
      <w:lvlText w:val=""/>
      <w:lvlJc w:val="left"/>
      <w:pPr>
        <w:tabs>
          <w:tab w:val="num" w:pos="360"/>
        </w:tabs>
        <w:ind w:left="360" w:hanging="360"/>
      </w:pPr>
      <w:rPr>
        <w:rFonts w:ascii="Wingdings" w:hAnsi="Wingdings" w:hint="default"/>
      </w:rPr>
    </w:lvl>
  </w:abstractNum>
  <w:num w:numId="1">
    <w:abstractNumId w:val="1"/>
  </w:num>
  <w:num w:numId="2">
    <w:abstractNumId w:val="5"/>
  </w:num>
  <w:num w:numId="3">
    <w:abstractNumId w:val="0"/>
  </w:num>
  <w:num w:numId="4">
    <w:abstractNumId w:val="8"/>
  </w:num>
  <w:num w:numId="5">
    <w:abstractNumId w:val="3"/>
  </w:num>
  <w:num w:numId="6">
    <w:abstractNumId w:val="2"/>
  </w:num>
  <w:num w:numId="7">
    <w:abstractNumId w:val="6"/>
  </w:num>
  <w:num w:numId="8">
    <w:abstractNumId w:val="4"/>
  </w:num>
  <w:num w:numId="9">
    <w:abstractNumId w:val="7"/>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241AC"/>
    <w:rsid w:val="00004B6F"/>
    <w:rsid w:val="00006FEB"/>
    <w:rsid w:val="00010B82"/>
    <w:rsid w:val="00013020"/>
    <w:rsid w:val="00020B38"/>
    <w:rsid w:val="00031BAD"/>
    <w:rsid w:val="000340BB"/>
    <w:rsid w:val="00061BF7"/>
    <w:rsid w:val="00062636"/>
    <w:rsid w:val="00065F49"/>
    <w:rsid w:val="00072257"/>
    <w:rsid w:val="00081918"/>
    <w:rsid w:val="0012738A"/>
    <w:rsid w:val="00150887"/>
    <w:rsid w:val="00161722"/>
    <w:rsid w:val="0016766D"/>
    <w:rsid w:val="00184DBA"/>
    <w:rsid w:val="00195D39"/>
    <w:rsid w:val="001A71F6"/>
    <w:rsid w:val="001B35A4"/>
    <w:rsid w:val="0021251B"/>
    <w:rsid w:val="00242171"/>
    <w:rsid w:val="0025202A"/>
    <w:rsid w:val="00275C20"/>
    <w:rsid w:val="00290E26"/>
    <w:rsid w:val="002E1D56"/>
    <w:rsid w:val="002F3D3B"/>
    <w:rsid w:val="00311EA2"/>
    <w:rsid w:val="00317178"/>
    <w:rsid w:val="00322BF5"/>
    <w:rsid w:val="00333888"/>
    <w:rsid w:val="00354339"/>
    <w:rsid w:val="00360D3C"/>
    <w:rsid w:val="00373C51"/>
    <w:rsid w:val="003F0485"/>
    <w:rsid w:val="003F1B6D"/>
    <w:rsid w:val="0040434A"/>
    <w:rsid w:val="004057B4"/>
    <w:rsid w:val="00406819"/>
    <w:rsid w:val="00411E57"/>
    <w:rsid w:val="00412C0E"/>
    <w:rsid w:val="004171F6"/>
    <w:rsid w:val="004241AC"/>
    <w:rsid w:val="00424C85"/>
    <w:rsid w:val="00425D6D"/>
    <w:rsid w:val="004349A2"/>
    <w:rsid w:val="00451338"/>
    <w:rsid w:val="0046211A"/>
    <w:rsid w:val="004B20A8"/>
    <w:rsid w:val="004F01AD"/>
    <w:rsid w:val="0050697C"/>
    <w:rsid w:val="005072B8"/>
    <w:rsid w:val="00512512"/>
    <w:rsid w:val="00541BCB"/>
    <w:rsid w:val="00571C17"/>
    <w:rsid w:val="005820A7"/>
    <w:rsid w:val="005825CE"/>
    <w:rsid w:val="005D6E10"/>
    <w:rsid w:val="005E7275"/>
    <w:rsid w:val="005F355A"/>
    <w:rsid w:val="005F62FE"/>
    <w:rsid w:val="00612382"/>
    <w:rsid w:val="006555D4"/>
    <w:rsid w:val="0066234C"/>
    <w:rsid w:val="006876E1"/>
    <w:rsid w:val="006951D9"/>
    <w:rsid w:val="006B0AD7"/>
    <w:rsid w:val="006B2954"/>
    <w:rsid w:val="006C448B"/>
    <w:rsid w:val="006E69F3"/>
    <w:rsid w:val="00716EE9"/>
    <w:rsid w:val="00726687"/>
    <w:rsid w:val="007301DA"/>
    <w:rsid w:val="007461B9"/>
    <w:rsid w:val="00762D88"/>
    <w:rsid w:val="0078172E"/>
    <w:rsid w:val="00791481"/>
    <w:rsid w:val="007A4BFE"/>
    <w:rsid w:val="007E00D8"/>
    <w:rsid w:val="008348A8"/>
    <w:rsid w:val="00835A03"/>
    <w:rsid w:val="00842BAC"/>
    <w:rsid w:val="008543F6"/>
    <w:rsid w:val="00865551"/>
    <w:rsid w:val="00897FDC"/>
    <w:rsid w:val="008A59E9"/>
    <w:rsid w:val="008B14A9"/>
    <w:rsid w:val="00900C91"/>
    <w:rsid w:val="009246CB"/>
    <w:rsid w:val="00937557"/>
    <w:rsid w:val="009404E8"/>
    <w:rsid w:val="00947EF5"/>
    <w:rsid w:val="00970CB0"/>
    <w:rsid w:val="00972CE3"/>
    <w:rsid w:val="009A260F"/>
    <w:rsid w:val="009A33E4"/>
    <w:rsid w:val="009B2047"/>
    <w:rsid w:val="00A02D62"/>
    <w:rsid w:val="00A2288E"/>
    <w:rsid w:val="00A2685C"/>
    <w:rsid w:val="00A30604"/>
    <w:rsid w:val="00A32D93"/>
    <w:rsid w:val="00A36DF7"/>
    <w:rsid w:val="00A41EA1"/>
    <w:rsid w:val="00A442A3"/>
    <w:rsid w:val="00A6285A"/>
    <w:rsid w:val="00A72D8A"/>
    <w:rsid w:val="00A751F8"/>
    <w:rsid w:val="00A838FE"/>
    <w:rsid w:val="00A97CE3"/>
    <w:rsid w:val="00AA44EA"/>
    <w:rsid w:val="00B27283"/>
    <w:rsid w:val="00B34E18"/>
    <w:rsid w:val="00B8237B"/>
    <w:rsid w:val="00BC5021"/>
    <w:rsid w:val="00BC6EC6"/>
    <w:rsid w:val="00BE6799"/>
    <w:rsid w:val="00C24649"/>
    <w:rsid w:val="00C26420"/>
    <w:rsid w:val="00C26606"/>
    <w:rsid w:val="00C305BF"/>
    <w:rsid w:val="00C8171A"/>
    <w:rsid w:val="00C85D26"/>
    <w:rsid w:val="00C95557"/>
    <w:rsid w:val="00CC7AFF"/>
    <w:rsid w:val="00D20170"/>
    <w:rsid w:val="00D2154A"/>
    <w:rsid w:val="00D33431"/>
    <w:rsid w:val="00D37CD1"/>
    <w:rsid w:val="00D66637"/>
    <w:rsid w:val="00D83543"/>
    <w:rsid w:val="00DC5920"/>
    <w:rsid w:val="00DC63A4"/>
    <w:rsid w:val="00DD285F"/>
    <w:rsid w:val="00DD45D7"/>
    <w:rsid w:val="00DF6B92"/>
    <w:rsid w:val="00E159A3"/>
    <w:rsid w:val="00E16337"/>
    <w:rsid w:val="00E35FFF"/>
    <w:rsid w:val="00E43089"/>
    <w:rsid w:val="00E62CF4"/>
    <w:rsid w:val="00E7486A"/>
    <w:rsid w:val="00E9199F"/>
    <w:rsid w:val="00E92263"/>
    <w:rsid w:val="00E95CA3"/>
    <w:rsid w:val="00EA483A"/>
    <w:rsid w:val="00ED287E"/>
    <w:rsid w:val="00EF5C38"/>
    <w:rsid w:val="00F02633"/>
    <w:rsid w:val="00F147C1"/>
    <w:rsid w:val="00F1554A"/>
    <w:rsid w:val="00F347A1"/>
    <w:rsid w:val="00F64D6F"/>
    <w:rsid w:val="00FA2702"/>
    <w:rsid w:val="00FA55B0"/>
    <w:rsid w:val="00FD0C63"/>
    <w:rsid w:val="00FE73D6"/>
    <w:rsid w:val="00FF677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2">
    <w:name w:val="heading 2"/>
    <w:basedOn w:val="Normale"/>
    <w:next w:val="Normale"/>
    <w:link w:val="Titolo2Carattere"/>
    <w:qFormat/>
    <w:rsid w:val="00020B38"/>
    <w:pPr>
      <w:keepNext/>
      <w:tabs>
        <w:tab w:val="left" w:pos="1700"/>
      </w:tabs>
      <w:spacing w:after="0" w:line="240" w:lineRule="auto"/>
      <w:jc w:val="center"/>
      <w:outlineLvl w:val="1"/>
    </w:pPr>
    <w:rPr>
      <w:rFonts w:ascii="Times New Roman" w:eastAsia="Times New Roman" w:hAnsi="Times New Roman" w:cs="Times New Roman"/>
      <w:b/>
      <w:bCs/>
      <w:sz w:val="24"/>
      <w:szCs w:val="24"/>
      <w:lang w:val="en-US"/>
    </w:rPr>
  </w:style>
  <w:style w:type="paragraph" w:styleId="Titolo4">
    <w:name w:val="heading 4"/>
    <w:basedOn w:val="Normale"/>
    <w:next w:val="Normale"/>
    <w:link w:val="Titolo4Carattere"/>
    <w:uiPriority w:val="9"/>
    <w:semiHidden/>
    <w:unhideWhenUsed/>
    <w:qFormat/>
    <w:rsid w:val="00541BC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BE6799"/>
    <w:rPr>
      <w:color w:val="0000FF" w:themeColor="hyperlink"/>
      <w:u w:val="single"/>
    </w:rPr>
  </w:style>
  <w:style w:type="paragraph" w:styleId="Paragrafoelenco">
    <w:name w:val="List Paragraph"/>
    <w:basedOn w:val="Normale"/>
    <w:uiPriority w:val="34"/>
    <w:qFormat/>
    <w:rsid w:val="00900C91"/>
    <w:pPr>
      <w:ind w:left="720"/>
      <w:contextualSpacing/>
    </w:pPr>
  </w:style>
  <w:style w:type="character" w:customStyle="1" w:styleId="s1">
    <w:name w:val="s1"/>
    <w:basedOn w:val="Carpredefinitoparagrafo"/>
    <w:rsid w:val="00900C91"/>
    <w:rPr>
      <w:rFonts w:ascii="Arial" w:hAnsi="Arial" w:cs="Arial" w:hint="default"/>
    </w:rPr>
  </w:style>
  <w:style w:type="paragraph" w:styleId="Didascalia">
    <w:name w:val="caption"/>
    <w:basedOn w:val="Normale"/>
    <w:next w:val="Normale"/>
    <w:qFormat/>
    <w:rsid w:val="00900C91"/>
    <w:pPr>
      <w:spacing w:before="120" w:after="120" w:line="240" w:lineRule="auto"/>
    </w:pPr>
    <w:rPr>
      <w:rFonts w:ascii="Times New Roman" w:eastAsia="Times New Roman" w:hAnsi="Times New Roman" w:cs="Times New Roman"/>
      <w:b/>
      <w:sz w:val="24"/>
      <w:szCs w:val="20"/>
      <w:lang w:val="en-US"/>
    </w:rPr>
  </w:style>
  <w:style w:type="table" w:styleId="Grigliatabella">
    <w:name w:val="Table Grid"/>
    <w:basedOn w:val="Tabellanormale"/>
    <w:uiPriority w:val="59"/>
    <w:rsid w:val="005D6E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2Carattere">
    <w:name w:val="Titolo 2 Carattere"/>
    <w:basedOn w:val="Carpredefinitoparagrafo"/>
    <w:link w:val="Titolo2"/>
    <w:rsid w:val="00020B38"/>
    <w:rPr>
      <w:rFonts w:ascii="Times New Roman" w:eastAsia="Times New Roman" w:hAnsi="Times New Roman" w:cs="Times New Roman"/>
      <w:b/>
      <w:bCs/>
      <w:sz w:val="24"/>
      <w:szCs w:val="24"/>
      <w:lang w:val="en-US"/>
    </w:rPr>
  </w:style>
  <w:style w:type="paragraph" w:styleId="NormaleWeb">
    <w:name w:val="Normal (Web)"/>
    <w:basedOn w:val="Normale"/>
    <w:rsid w:val="00020B38"/>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styleId="Corpodeltesto3">
    <w:name w:val="Body Text 3"/>
    <w:basedOn w:val="Normale"/>
    <w:link w:val="Corpodeltesto3Carattere"/>
    <w:rsid w:val="00020B38"/>
    <w:pPr>
      <w:autoSpaceDE w:val="0"/>
      <w:autoSpaceDN w:val="0"/>
      <w:adjustRightInd w:val="0"/>
      <w:spacing w:after="0" w:line="240" w:lineRule="auto"/>
    </w:pPr>
    <w:rPr>
      <w:rFonts w:ascii="Times New Roman" w:eastAsia="Times New Roman" w:hAnsi="Times New Roman" w:cs="Times New Roman"/>
      <w:color w:val="FF0000"/>
      <w:sz w:val="24"/>
      <w:szCs w:val="24"/>
      <w:lang w:val="en-US"/>
    </w:rPr>
  </w:style>
  <w:style w:type="character" w:customStyle="1" w:styleId="Corpodeltesto3Carattere">
    <w:name w:val="Corpo del testo 3 Carattere"/>
    <w:basedOn w:val="Carpredefinitoparagrafo"/>
    <w:link w:val="Corpodeltesto3"/>
    <w:rsid w:val="00020B38"/>
    <w:rPr>
      <w:rFonts w:ascii="Times New Roman" w:eastAsia="Times New Roman" w:hAnsi="Times New Roman" w:cs="Times New Roman"/>
      <w:color w:val="FF0000"/>
      <w:sz w:val="24"/>
      <w:szCs w:val="24"/>
      <w:lang w:val="en-US"/>
    </w:rPr>
  </w:style>
  <w:style w:type="paragraph" w:customStyle="1" w:styleId="Text">
    <w:name w:val="Text"/>
    <w:rsid w:val="00D37CD1"/>
    <w:pPr>
      <w:spacing w:after="0" w:line="240" w:lineRule="atLeast"/>
      <w:ind w:left="568"/>
    </w:pPr>
    <w:rPr>
      <w:rFonts w:ascii="Arial" w:eastAsia="Times New Roman" w:hAnsi="Arial" w:cs="Arial"/>
      <w:sz w:val="20"/>
      <w:szCs w:val="20"/>
      <w:lang w:val="de-DE" w:eastAsia="de-DE"/>
    </w:rPr>
  </w:style>
  <w:style w:type="paragraph" w:customStyle="1" w:styleId="Para0s">
    <w:name w:val="Para:0:s"/>
    <w:basedOn w:val="Normale"/>
    <w:rsid w:val="00D37CD1"/>
    <w:pPr>
      <w:tabs>
        <w:tab w:val="left" w:pos="0"/>
        <w:tab w:val="left" w:pos="720"/>
        <w:tab w:val="left" w:pos="1440"/>
        <w:tab w:val="left" w:pos="2160"/>
        <w:tab w:val="left" w:pos="2880"/>
        <w:tab w:val="right" w:pos="8640"/>
      </w:tabs>
      <w:autoSpaceDE w:val="0"/>
      <w:autoSpaceDN w:val="0"/>
      <w:spacing w:after="120" w:line="240" w:lineRule="auto"/>
    </w:pPr>
    <w:rPr>
      <w:rFonts w:ascii="Arial" w:eastAsia="Times New Roman" w:hAnsi="Arial" w:cs="Arial"/>
      <w:lang w:val="en-US" w:eastAsia="de-DE"/>
    </w:rPr>
  </w:style>
  <w:style w:type="paragraph" w:styleId="Rientrocorpodeltesto">
    <w:name w:val="Body Text Indent"/>
    <w:basedOn w:val="Normale"/>
    <w:link w:val="RientrocorpodeltestoCarattere"/>
    <w:rsid w:val="00D37CD1"/>
    <w:pPr>
      <w:spacing w:after="120" w:line="240" w:lineRule="auto"/>
      <w:ind w:left="283"/>
    </w:pPr>
    <w:rPr>
      <w:rFonts w:ascii="Times New Roman" w:eastAsia="Times New Roman" w:hAnsi="Times New Roman" w:cs="Times New Roman"/>
      <w:sz w:val="20"/>
      <w:szCs w:val="20"/>
      <w:lang w:val="nl-NL" w:eastAsia="nl-NL"/>
    </w:rPr>
  </w:style>
  <w:style w:type="character" w:customStyle="1" w:styleId="RientrocorpodeltestoCarattere">
    <w:name w:val="Rientro corpo del testo Carattere"/>
    <w:basedOn w:val="Carpredefinitoparagrafo"/>
    <w:link w:val="Rientrocorpodeltesto"/>
    <w:rsid w:val="00D37CD1"/>
    <w:rPr>
      <w:rFonts w:ascii="Times New Roman" w:eastAsia="Times New Roman" w:hAnsi="Times New Roman" w:cs="Times New Roman"/>
      <w:sz w:val="20"/>
      <w:szCs w:val="20"/>
      <w:lang w:val="nl-NL" w:eastAsia="nl-NL"/>
    </w:rPr>
  </w:style>
  <w:style w:type="character" w:customStyle="1" w:styleId="Titolo4Carattere">
    <w:name w:val="Titolo 4 Carattere"/>
    <w:basedOn w:val="Carpredefinitoparagrafo"/>
    <w:link w:val="Titolo4"/>
    <w:uiPriority w:val="99"/>
    <w:rsid w:val="00541BCB"/>
    <w:rPr>
      <w:rFonts w:asciiTheme="majorHAnsi" w:eastAsiaTheme="majorEastAsia" w:hAnsiTheme="majorHAnsi" w:cstheme="majorBidi"/>
      <w:b/>
      <w:bCs/>
      <w:i/>
      <w:iCs/>
      <w:color w:val="4F81BD" w:themeColor="accent1"/>
    </w:rPr>
  </w:style>
  <w:style w:type="paragraph" w:styleId="Rientronormale">
    <w:name w:val="Normal Indent"/>
    <w:basedOn w:val="Normale"/>
    <w:rsid w:val="00373C51"/>
    <w:pPr>
      <w:spacing w:after="0" w:line="240" w:lineRule="auto"/>
      <w:ind w:left="1304"/>
    </w:pPr>
    <w:rPr>
      <w:rFonts w:ascii="Times New Roman" w:eastAsia="Times New Roman" w:hAnsi="Times New Roman" w:cs="Times New Roman"/>
      <w:sz w:val="24"/>
      <w:szCs w:val="20"/>
      <w:lang w:val="fi-FI" w:eastAsia="fi-FI"/>
    </w:rPr>
  </w:style>
  <w:style w:type="character" w:styleId="Rimandocommento">
    <w:name w:val="annotation reference"/>
    <w:basedOn w:val="Carpredefinitoparagrafo"/>
    <w:uiPriority w:val="99"/>
    <w:semiHidden/>
    <w:unhideWhenUsed/>
    <w:rsid w:val="00317178"/>
    <w:rPr>
      <w:sz w:val="16"/>
      <w:szCs w:val="16"/>
    </w:rPr>
  </w:style>
  <w:style w:type="paragraph" w:styleId="Testocommento">
    <w:name w:val="annotation text"/>
    <w:basedOn w:val="Normale"/>
    <w:link w:val="TestocommentoCarattere"/>
    <w:uiPriority w:val="99"/>
    <w:semiHidden/>
    <w:unhideWhenUsed/>
    <w:rsid w:val="0031717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17178"/>
    <w:rPr>
      <w:sz w:val="20"/>
      <w:szCs w:val="20"/>
    </w:rPr>
  </w:style>
</w:styles>
</file>

<file path=word/webSettings.xml><?xml version="1.0" encoding="utf-8"?>
<w:webSettings xmlns:r="http://schemas.openxmlformats.org/officeDocument/2006/relationships" xmlns:w="http://schemas.openxmlformats.org/wordprocessingml/2006/main">
  <w:divs>
    <w:div w:id="831332447">
      <w:bodyDiv w:val="1"/>
      <w:marLeft w:val="0"/>
      <w:marRight w:val="0"/>
      <w:marTop w:val="0"/>
      <w:marBottom w:val="0"/>
      <w:divBdr>
        <w:top w:val="none" w:sz="0" w:space="0" w:color="auto"/>
        <w:left w:val="none" w:sz="0" w:space="0" w:color="auto"/>
        <w:bottom w:val="none" w:sz="0" w:space="0" w:color="auto"/>
        <w:right w:val="none" w:sz="0" w:space="0" w:color="auto"/>
      </w:divBdr>
    </w:div>
    <w:div w:id="920023919">
      <w:bodyDiv w:val="1"/>
      <w:marLeft w:val="0"/>
      <w:marRight w:val="0"/>
      <w:marTop w:val="0"/>
      <w:marBottom w:val="0"/>
      <w:divBdr>
        <w:top w:val="none" w:sz="0" w:space="0" w:color="auto"/>
        <w:left w:val="none" w:sz="0" w:space="0" w:color="auto"/>
        <w:bottom w:val="none" w:sz="0" w:space="0" w:color="auto"/>
        <w:right w:val="none" w:sz="0" w:space="0" w:color="auto"/>
      </w:divBdr>
    </w:div>
    <w:div w:id="1247692975">
      <w:bodyDiv w:val="1"/>
      <w:marLeft w:val="0"/>
      <w:marRight w:val="0"/>
      <w:marTop w:val="0"/>
      <w:marBottom w:val="0"/>
      <w:divBdr>
        <w:top w:val="none" w:sz="0" w:space="0" w:color="auto"/>
        <w:left w:val="none" w:sz="0" w:space="0" w:color="auto"/>
        <w:bottom w:val="none" w:sz="0" w:space="0" w:color="auto"/>
        <w:right w:val="none" w:sz="0" w:space="0" w:color="auto"/>
      </w:divBdr>
      <w:divsChild>
        <w:div w:id="740755712">
          <w:marLeft w:val="0"/>
          <w:marRight w:val="0"/>
          <w:marTop w:val="0"/>
          <w:marBottom w:val="0"/>
          <w:divBdr>
            <w:top w:val="none" w:sz="0" w:space="0" w:color="auto"/>
            <w:left w:val="none" w:sz="0" w:space="0" w:color="auto"/>
            <w:bottom w:val="none" w:sz="0" w:space="0" w:color="auto"/>
            <w:right w:val="none" w:sz="0" w:space="0" w:color="auto"/>
          </w:divBdr>
          <w:divsChild>
            <w:div w:id="67974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888993">
      <w:bodyDiv w:val="1"/>
      <w:marLeft w:val="0"/>
      <w:marRight w:val="0"/>
      <w:marTop w:val="0"/>
      <w:marBottom w:val="0"/>
      <w:divBdr>
        <w:top w:val="none" w:sz="0" w:space="0" w:color="auto"/>
        <w:left w:val="none" w:sz="0" w:space="0" w:color="auto"/>
        <w:bottom w:val="none" w:sz="0" w:space="0" w:color="auto"/>
        <w:right w:val="none" w:sz="0" w:space="0" w:color="auto"/>
      </w:divBdr>
    </w:div>
    <w:div w:id="2122992604">
      <w:bodyDiv w:val="1"/>
      <w:marLeft w:val="0"/>
      <w:marRight w:val="0"/>
      <w:marTop w:val="0"/>
      <w:marBottom w:val="0"/>
      <w:divBdr>
        <w:top w:val="none" w:sz="0" w:space="0" w:color="auto"/>
        <w:left w:val="none" w:sz="0" w:space="0" w:color="auto"/>
        <w:bottom w:val="none" w:sz="0" w:space="0" w:color="auto"/>
        <w:right w:val="none" w:sz="0" w:space="0" w:color="auto"/>
      </w:divBdr>
      <w:divsChild>
        <w:div w:id="630289526">
          <w:marLeft w:val="0"/>
          <w:marRight w:val="0"/>
          <w:marTop w:val="0"/>
          <w:marBottom w:val="0"/>
          <w:divBdr>
            <w:top w:val="none" w:sz="0" w:space="0" w:color="auto"/>
            <w:left w:val="none" w:sz="0" w:space="0" w:color="auto"/>
            <w:bottom w:val="none" w:sz="0" w:space="0" w:color="auto"/>
            <w:right w:val="none" w:sz="0" w:space="0" w:color="auto"/>
          </w:divBdr>
          <w:divsChild>
            <w:div w:id="201680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255</TotalTime>
  <Pages>11</Pages>
  <Words>4097</Words>
  <Characters>23358</Characters>
  <Application>Microsoft Office Word</Application>
  <DocSecurity>0</DocSecurity>
  <Lines>194</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10</cp:revision>
  <dcterms:created xsi:type="dcterms:W3CDTF">2015-07-16T15:10:00Z</dcterms:created>
  <dcterms:modified xsi:type="dcterms:W3CDTF">2015-08-05T12:29:00Z</dcterms:modified>
</cp:coreProperties>
</file>