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94064" w:rsidRDefault="008940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D2324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FLURBIPROFENE EPIFARMA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64D10">
        <w:rPr>
          <w:snapToGrid w:val="0"/>
        </w:rPr>
        <w:t>Flurbiprofene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D2324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Epifarma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380099">
        <w:rPr>
          <w:rFonts w:cs="Helvetica"/>
          <w:b/>
        </w:rPr>
        <w:t>28</w:t>
      </w:r>
      <w:r w:rsidR="00A64D10">
        <w:rPr>
          <w:rFonts w:cs="Helvetica"/>
          <w:b/>
        </w:rPr>
        <w:t>1</w:t>
      </w:r>
      <w:r w:rsidR="00D2324A">
        <w:rPr>
          <w:rFonts w:cs="Helvetica"/>
          <w:b/>
        </w:rPr>
        <w:t>0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D2324A">
        <w:rPr>
          <w:rFonts w:eastAsia="Calibri" w:cs="Calibri"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color w:val="000000"/>
          <w:lang w:eastAsia="it-IT"/>
        </w:rPr>
        <w:t>Epifarma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2324A">
        <w:rPr>
          <w:rFonts w:eastAsia="Calibri" w:cs="Calibri"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color w:val="000000"/>
          <w:lang w:eastAsia="it-IT"/>
        </w:rPr>
        <w:t>Epifarma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D2324A">
        <w:rPr>
          <w:rFonts w:eastAsia="Calibri" w:cs="Calibri"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color w:val="000000"/>
          <w:lang w:eastAsia="it-IT"/>
        </w:rPr>
        <w:t>Epifarma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color w:val="000000"/>
          <w:lang w:eastAsia="it-IT"/>
        </w:rPr>
        <w:t>Epifarma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D2324A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color w:val="000000"/>
          <w:lang w:eastAsia="it-IT"/>
        </w:rPr>
        <w:t>Epifarma</w:t>
      </w:r>
      <w:proofErr w:type="spellEnd"/>
      <w:r w:rsidR="00B9671B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A64D10">
        <w:rPr>
          <w:rFonts w:eastAsia="Calibri" w:cs="Calibri"/>
          <w:b/>
          <w:bCs/>
          <w:color w:val="000000"/>
          <w:lang w:eastAsia="it-IT"/>
        </w:rPr>
        <w:t>E A COSA SERVE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A64D10" w:rsidRDefault="00D2324A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Flurbiprofene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Epifarma</w:t>
      </w:r>
      <w:proofErr w:type="spellEnd"/>
      <w:r w:rsidR="00B9671B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64D1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64D10">
        <w:rPr>
          <w:rFonts w:eastAsia="Calibri" w:cs="Calibri"/>
          <w:color w:val="000000"/>
          <w:lang w:eastAsia="it-IT"/>
        </w:rPr>
        <w:t>i</w:t>
      </w:r>
      <w:r w:rsidR="00E83F8D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A64D10">
        <w:rPr>
          <w:rFonts w:eastAsia="Calibri" w:cs="Calibri"/>
          <w:color w:val="000000"/>
          <w:lang w:eastAsia="it-IT"/>
        </w:rPr>
        <w:t xml:space="preserve"> ed è </w:t>
      </w:r>
      <w:r w:rsidR="004241AC" w:rsidRPr="00A64D10">
        <w:rPr>
          <w:rFonts w:eastAsia="Calibri" w:cs="Calibri"/>
          <w:color w:val="000000"/>
          <w:lang w:eastAsia="it-IT"/>
        </w:rPr>
        <w:t xml:space="preserve">disponibile </w:t>
      </w:r>
      <w:r w:rsidR="000425E0" w:rsidRPr="00A64D10">
        <w:rPr>
          <w:rFonts w:eastAsia="Calibri" w:cs="Calibri"/>
          <w:lang w:eastAsia="it-IT"/>
        </w:rPr>
        <w:t xml:space="preserve">come </w:t>
      </w:r>
      <w:r w:rsidR="00A64D10" w:rsidRPr="00A64D10">
        <w:rPr>
          <w:rFonts w:eastAsia="Calibri" w:cs="Calibri"/>
          <w:lang w:eastAsia="it-IT"/>
        </w:rPr>
        <w:t>pastiglie</w:t>
      </w:r>
      <w:r w:rsidR="00380099" w:rsidRPr="00A64D10">
        <w:rPr>
          <w:rFonts w:eastAsia="Calibri" w:cs="Calibri"/>
          <w:lang w:eastAsia="it-IT"/>
        </w:rPr>
        <w:t xml:space="preserve"> </w:t>
      </w:r>
      <w:r w:rsidR="000425E0" w:rsidRPr="00A64D10">
        <w:rPr>
          <w:rFonts w:eastAsia="Calibri" w:cs="Calibri"/>
          <w:lang w:eastAsia="it-IT"/>
        </w:rPr>
        <w:t xml:space="preserve">contenenti </w:t>
      </w:r>
      <w:r w:rsidR="00A64D10" w:rsidRPr="00A64D10">
        <w:rPr>
          <w:rFonts w:eastAsia="Calibri" w:cs="Calibri"/>
          <w:lang w:eastAsia="it-IT"/>
        </w:rPr>
        <w:t>8,75</w:t>
      </w:r>
      <w:r w:rsidR="00380099" w:rsidRPr="00A64D10">
        <w:rPr>
          <w:rFonts w:eastAsia="Calibri" w:cs="Calibri"/>
          <w:lang w:eastAsia="it-IT"/>
        </w:rPr>
        <w:t xml:space="preserve"> mg di</w:t>
      </w:r>
      <w:r w:rsidR="000425E0" w:rsidRPr="00A64D10">
        <w:rPr>
          <w:rFonts w:eastAsia="Calibri" w:cs="Calibri"/>
          <w:lang w:eastAsia="it-IT"/>
        </w:rPr>
        <w:t xml:space="preserve"> principio attivo</w:t>
      </w:r>
      <w:r w:rsidR="000425E0" w:rsidRPr="00A64D10">
        <w:rPr>
          <w:rFonts w:eastAsia="Calibri" w:cs="Calibri"/>
          <w:color w:val="000000"/>
          <w:lang w:eastAsia="it-IT"/>
        </w:rPr>
        <w:t>.</w:t>
      </w:r>
    </w:p>
    <w:p w:rsidR="00013020" w:rsidRPr="00A64D10" w:rsidRDefault="00D2324A" w:rsidP="00A64D1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Flurbiprofene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Epifarma</w:t>
      </w:r>
      <w:proofErr w:type="spellEnd"/>
      <w:r w:rsidR="00B9671B" w:rsidRPr="00A64D10">
        <w:rPr>
          <w:rFonts w:eastAsia="Calibri" w:cs="Calibri"/>
          <w:lang w:eastAsia="it-IT"/>
        </w:rPr>
        <w:t xml:space="preserve"> </w:t>
      </w:r>
      <w:r w:rsidR="00013020" w:rsidRPr="00A64D10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A64D10">
        <w:rPr>
          <w:rFonts w:eastAsia="Calibri" w:cs="Calibri"/>
          <w:lang w:eastAsia="it-IT"/>
        </w:rPr>
        <w:t>Italia</w:t>
      </w:r>
      <w:r w:rsidR="00013020" w:rsidRPr="00A64D10">
        <w:rPr>
          <w:rFonts w:eastAsia="Calibri" w:cs="Calibri"/>
          <w:lang w:eastAsia="it-IT"/>
        </w:rPr>
        <w:t xml:space="preserve">, </w:t>
      </w:r>
      <w:proofErr w:type="spellStart"/>
      <w:r w:rsidR="00A64D10" w:rsidRPr="00A64D10">
        <w:rPr>
          <w:rFonts w:eastAsia="Calibri" w:cs="Calibri"/>
          <w:lang w:eastAsia="it-IT"/>
        </w:rPr>
        <w:t>Benactiv</w:t>
      </w:r>
      <w:proofErr w:type="spellEnd"/>
      <w:r w:rsidR="00A64D10" w:rsidRPr="00A64D10">
        <w:rPr>
          <w:rFonts w:eastAsia="Calibri" w:cs="Calibri"/>
          <w:lang w:eastAsia="it-IT"/>
        </w:rPr>
        <w:t xml:space="preserve"> </w:t>
      </w:r>
      <w:r w:rsidR="000234A4">
        <w:rPr>
          <w:rFonts w:eastAsia="Calibri" w:cs="Calibri"/>
          <w:lang w:eastAsia="it-IT"/>
        </w:rPr>
        <w:t>Gola</w:t>
      </w:r>
      <w:r w:rsidR="00013020" w:rsidRPr="00A64D10">
        <w:rPr>
          <w:rFonts w:eastAsia="Calibri" w:cs="Calibri"/>
          <w:lang w:eastAsia="it-IT"/>
        </w:rPr>
        <w:t>.</w:t>
      </w:r>
    </w:p>
    <w:p w:rsidR="004241AC" w:rsidRPr="00A64D10" w:rsidRDefault="00D2324A" w:rsidP="00A64D10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Flurbiprofene</w:t>
      </w:r>
      <w:proofErr w:type="spellEnd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proofErr w:type="spellStart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Epifarma</w:t>
      </w:r>
      <w:proofErr w:type="spellEnd"/>
      <w:r w:rsidR="00B9671B"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si usa nel trattamento sintomatico di stati </w:t>
      </w:r>
      <w:proofErr w:type="spellStart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>irritativo-infiammatori</w:t>
      </w:r>
      <w:proofErr w:type="spellEnd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associati a dolore del cavo orofaringeo (ad es</w:t>
      </w:r>
      <w:r w:rsidR="005F5DB5">
        <w:rPr>
          <w:rFonts w:asciiTheme="minorHAnsi" w:hAnsiTheme="minorHAnsi"/>
          <w:b w:val="0"/>
          <w:color w:val="auto"/>
          <w:sz w:val="22"/>
          <w:szCs w:val="22"/>
        </w:rPr>
        <w:t>empio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</w:t>
      </w:r>
      <w:r w:rsidR="005F5DB5">
        <w:rPr>
          <w:rFonts w:asciiTheme="minorHAnsi" w:hAnsiTheme="minorHAnsi"/>
          <w:b w:val="0"/>
          <w:color w:val="auto"/>
          <w:sz w:val="22"/>
          <w:szCs w:val="22"/>
        </w:rPr>
        <w:t>)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>.</w:t>
      </w:r>
    </w:p>
    <w:p w:rsidR="002937E3" w:rsidRPr="00A64D10" w:rsidRDefault="002937E3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A64D10" w:rsidRDefault="00A64D1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4D10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D2324A">
        <w:rPr>
          <w:rFonts w:eastAsia="Calibri" w:cs="Calibri"/>
          <w:b/>
          <w:bCs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lang w:eastAsia="it-IT"/>
        </w:rPr>
        <w:t>Epifarma</w:t>
      </w:r>
      <w:proofErr w:type="spellEnd"/>
      <w:r w:rsidRPr="00A64D10">
        <w:rPr>
          <w:rFonts w:eastAsia="Calibri" w:cs="Calibri"/>
          <w:b/>
          <w:bCs/>
          <w:lang w:eastAsia="it-IT"/>
        </w:rPr>
        <w:t>?</w:t>
      </w:r>
    </w:p>
    <w:p w:rsidR="00A64D10" w:rsidRPr="00A64D10" w:rsidRDefault="00D2324A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cs="Calibri"/>
        </w:rPr>
        <w:t>Flurbiprofene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Epifarma</w:t>
      </w:r>
      <w:proofErr w:type="spellEnd"/>
      <w:r w:rsidR="00B5001E" w:rsidRPr="00A64D10">
        <w:rPr>
          <w:rFonts w:cs="Calibri"/>
        </w:rPr>
        <w:t xml:space="preserve"> </w:t>
      </w:r>
      <w:r w:rsidR="00A64D10" w:rsidRPr="00A64D10">
        <w:rPr>
          <w:rFonts w:eastAsia="Calibri" w:cs="Calibri"/>
        </w:rPr>
        <w:t xml:space="preserve">è </w:t>
      </w:r>
      <w:r w:rsidR="00A64D10" w:rsidRPr="00A64D10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A64D10" w:rsidRPr="00A64D10" w:rsidRDefault="00E83CAE" w:rsidP="00A64D10">
      <w:pPr>
        <w:autoSpaceDE w:val="0"/>
        <w:autoSpaceDN w:val="0"/>
        <w:adjustRightInd w:val="0"/>
        <w:spacing w:after="0" w:line="240" w:lineRule="auto"/>
        <w:jc w:val="both"/>
      </w:pPr>
      <w:r w:rsidRPr="00A64D10">
        <w:t>La dose giornaliera raccomandata</w:t>
      </w:r>
      <w:r w:rsidR="00A64D10" w:rsidRPr="00A64D10">
        <w:t xml:space="preserve"> per adulti e adolescenti (età compresa tra 12 e 18 anni)</w:t>
      </w:r>
      <w:r w:rsidRPr="00A64D10">
        <w:t xml:space="preserve"> è di una </w:t>
      </w:r>
      <w:r w:rsidR="00A64D10" w:rsidRPr="00A64D10">
        <w:t>pastiglia ogni 3-6 ore.</w:t>
      </w:r>
      <w:r w:rsidR="008D6A28">
        <w:t xml:space="preserve"> </w:t>
      </w:r>
      <w:r w:rsidR="00A64D10" w:rsidRPr="00A64D10">
        <w:t xml:space="preserve">Non </w:t>
      </w:r>
      <w:r w:rsidR="008D6A28">
        <w:t xml:space="preserve">si deve </w:t>
      </w:r>
      <w:r w:rsidR="00A64D10" w:rsidRPr="00A64D10">
        <w:t>superare la dose di 8 pastiglie nelle 24 ore.</w:t>
      </w:r>
    </w:p>
    <w:p w:rsidR="00A64D10" w:rsidRPr="00A64D10" w:rsidRDefault="00A64D10" w:rsidP="00A64D10">
      <w:pPr>
        <w:pStyle w:val="Corpodeltesto"/>
        <w:rPr>
          <w:rFonts w:asciiTheme="minorHAnsi" w:hAnsiTheme="minorHAnsi"/>
          <w:sz w:val="22"/>
          <w:szCs w:val="22"/>
        </w:rPr>
      </w:pPr>
      <w:r w:rsidRPr="00A64D10">
        <w:rPr>
          <w:rFonts w:asciiTheme="minorHAnsi" w:hAnsiTheme="minorHAnsi"/>
          <w:sz w:val="22"/>
          <w:szCs w:val="22"/>
        </w:rPr>
        <w:t>Questo medicinale non deve essere assunto dai bambini (età inferiore a 12 anni).</w:t>
      </w:r>
    </w:p>
    <w:p w:rsidR="00A64D10" w:rsidRPr="00A64D10" w:rsidRDefault="00A64D10" w:rsidP="00A64D1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A64D10">
        <w:t>La pastiglia deve essere sciolta lentamente in bocca.</w:t>
      </w: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Pr="00A64D10" w:rsidRDefault="00181F56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Epifarma</w:t>
      </w:r>
      <w:proofErr w:type="spellEnd"/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181F56" w:rsidRDefault="00D2324A" w:rsidP="00D51818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Flurbiprofene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Epifarma</w:t>
      </w:r>
      <w:proofErr w:type="spellEnd"/>
      <w:r w:rsidR="00B27F42" w:rsidRPr="00A64D1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8D6A28">
        <w:t>A01AD11</w:t>
      </w:r>
      <w:r w:rsidR="00B27F42" w:rsidRPr="008D6A28">
        <w:rPr>
          <w:lang w:eastAsia="it-IT"/>
        </w:rPr>
        <w:t>,</w:t>
      </w:r>
      <w:r w:rsidR="00E43089" w:rsidRPr="00A64D10">
        <w:rPr>
          <w:rFonts w:eastAsia="DejaVuSans" w:cs="DejaVuSans"/>
        </w:rPr>
        <w:t xml:space="preserve"> </w:t>
      </w:r>
      <w:r w:rsidR="004241AC" w:rsidRPr="00A64D10">
        <w:rPr>
          <w:rFonts w:eastAsia="Calibri" w:cs="Calibri"/>
          <w:color w:val="000000"/>
          <w:lang w:eastAsia="it-IT"/>
        </w:rPr>
        <w:t>contiene i</w:t>
      </w:r>
      <w:r w:rsidR="00EF062E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A64D10">
        <w:rPr>
          <w:rFonts w:eastAsia="Calibri" w:cs="Calibri"/>
          <w:color w:val="000000"/>
          <w:lang w:eastAsia="it-IT"/>
        </w:rPr>
        <w:t xml:space="preserve"> </w:t>
      </w:r>
      <w:r w:rsidR="00D51818">
        <w:rPr>
          <w:rFonts w:eastAsia="Calibri" w:cs="Calibri"/>
          <w:color w:val="000000"/>
          <w:lang w:eastAsia="it-IT"/>
        </w:rPr>
        <w:t xml:space="preserve">che </w:t>
      </w:r>
      <w:r w:rsidR="00D51818" w:rsidRPr="00BA7D67">
        <w:rPr>
          <w:rFonts w:eastAsia="DejaVuSans" w:cs="DejaVuSans"/>
        </w:rPr>
        <w:t xml:space="preserve">appartiene alla classe dei </w:t>
      </w:r>
      <w:r w:rsidR="00D51818">
        <w:rPr>
          <w:rFonts w:eastAsia="DejaVuSans" w:cs="DejaVuSans"/>
        </w:rPr>
        <w:t>medicinali analgesico-antiinfiammatori</w:t>
      </w:r>
      <w:r w:rsidR="00D51818" w:rsidRPr="00BA7D67">
        <w:rPr>
          <w:rFonts w:eastAsia="DejaVuSans" w:cs="DejaVuSans"/>
        </w:rPr>
        <w:t xml:space="preserve"> </w:t>
      </w:r>
      <w:r w:rsidR="00D51818">
        <w:rPr>
          <w:rFonts w:eastAsia="DejaVuSans" w:cs="DejaVuSans"/>
        </w:rPr>
        <w:t xml:space="preserve">non steroidei </w:t>
      </w:r>
      <w:r w:rsidR="00D51818" w:rsidRPr="00BA7D67">
        <w:rPr>
          <w:rFonts w:eastAsia="DejaVuSans" w:cs="DejaVuSans"/>
        </w:rPr>
        <w:t xml:space="preserve">che </w:t>
      </w:r>
      <w:r w:rsidR="00D51818">
        <w:rPr>
          <w:rFonts w:eastAsia="DejaVuSans" w:cs="DejaVuSans"/>
        </w:rPr>
        <w:t>inibiscono, in modo reversibile, la sintesi a livello periferico delle prostaglandine, sostanze prodotte dall’organismo e che sono responsabili dei sintomi dell’infiammazione e del dolore che ne consegue</w:t>
      </w:r>
      <w:r w:rsidR="00D51818" w:rsidRPr="00BA7D67">
        <w:rPr>
          <w:rFonts w:eastAsia="DejaVuSans" w:cs="DejaVuSans"/>
        </w:rPr>
        <w:t>.</w:t>
      </w:r>
    </w:p>
    <w:p w:rsidR="00BA7D67" w:rsidRDefault="00BA7D67" w:rsidP="00D51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D2324A" w:rsidRPr="00D51818" w:rsidRDefault="00D2324A" w:rsidP="00D51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Epifarma</w:t>
      </w:r>
      <w:proofErr w:type="spellEnd"/>
      <w:r w:rsidRPr="00D51818">
        <w:rPr>
          <w:rFonts w:eastAsia="Calibri" w:cs="Calibri"/>
          <w:b/>
          <w:bCs/>
          <w:lang w:eastAsia="it-IT"/>
        </w:rPr>
        <w:t xml:space="preserve">? </w:t>
      </w:r>
    </w:p>
    <w:p w:rsidR="004241AC" w:rsidRPr="005F5DB5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5F5DB5">
        <w:rPr>
          <w:rFonts w:cs="Arial"/>
        </w:rPr>
        <w:t xml:space="preserve">Poiché </w:t>
      </w:r>
      <w:proofErr w:type="spellStart"/>
      <w:r w:rsidR="00D2324A" w:rsidRPr="005F5DB5">
        <w:rPr>
          <w:rFonts w:cs="Arial"/>
        </w:rPr>
        <w:t>Flurbiprofene</w:t>
      </w:r>
      <w:proofErr w:type="spellEnd"/>
      <w:r w:rsidR="00D2324A" w:rsidRPr="005F5DB5">
        <w:rPr>
          <w:rFonts w:cs="Arial"/>
        </w:rPr>
        <w:t xml:space="preserve"> </w:t>
      </w:r>
      <w:proofErr w:type="spellStart"/>
      <w:r w:rsidR="00D2324A" w:rsidRPr="005F5DB5">
        <w:rPr>
          <w:rFonts w:cs="Arial"/>
        </w:rPr>
        <w:t>Epifarma</w:t>
      </w:r>
      <w:proofErr w:type="spellEnd"/>
      <w:r w:rsidR="00B9671B" w:rsidRPr="005F5DB5">
        <w:rPr>
          <w:rFonts w:cs="Arial"/>
        </w:rPr>
        <w:t xml:space="preserve"> </w:t>
      </w:r>
      <w:r w:rsidR="00013020" w:rsidRPr="005F5DB5">
        <w:rPr>
          <w:rFonts w:cs="Arial"/>
        </w:rPr>
        <w:t>è un medicinale generico</w:t>
      </w:r>
      <w:r w:rsidR="00014BDC" w:rsidRPr="005F5DB5">
        <w:rPr>
          <w:rFonts w:cs="Arial"/>
        </w:rPr>
        <w:t xml:space="preserve"> ed agisce a livello locale (sulla mucosa orale</w:t>
      </w:r>
      <w:r w:rsidR="005F5DB5" w:rsidRPr="005F5DB5">
        <w:rPr>
          <w:rFonts w:cs="Arial"/>
        </w:rPr>
        <w:t xml:space="preserve"> e faringea</w:t>
      </w:r>
      <w:r w:rsidR="00014BDC" w:rsidRPr="005F5DB5">
        <w:rPr>
          <w:rFonts w:cs="Arial"/>
        </w:rPr>
        <w:t xml:space="preserve">), </w:t>
      </w:r>
      <w:r w:rsidRPr="005F5DB5">
        <w:rPr>
          <w:rFonts w:cs="Arial"/>
        </w:rPr>
        <w:t>è stato sufficiente effettuare prove cliniche per determinare</w:t>
      </w:r>
      <w:r w:rsidRPr="005F5DB5">
        <w:rPr>
          <w:rFonts w:cs="Arial"/>
          <w:b/>
        </w:rPr>
        <w:t xml:space="preserve"> </w:t>
      </w:r>
      <w:r w:rsidR="00D51818" w:rsidRPr="005F5DB5">
        <w:rPr>
          <w:rFonts w:cs="Arial"/>
        </w:rPr>
        <w:t xml:space="preserve">la </w:t>
      </w:r>
      <w:r w:rsidR="00014BDC" w:rsidRPr="005F5DB5">
        <w:rPr>
          <w:rFonts w:cs="Arial"/>
        </w:rPr>
        <w:t xml:space="preserve">sua </w:t>
      </w:r>
      <w:r w:rsidR="00D51818" w:rsidRPr="005F5DB5">
        <w:rPr>
          <w:rFonts w:cs="Arial"/>
        </w:rPr>
        <w:t xml:space="preserve">tollerabilità locale </w:t>
      </w:r>
      <w:r w:rsidRPr="005F5DB5">
        <w:rPr>
          <w:rFonts w:cs="Arial"/>
        </w:rPr>
        <w:t xml:space="preserve">rispetto </w:t>
      </w:r>
      <w:r w:rsidR="00013020" w:rsidRPr="005F5DB5">
        <w:rPr>
          <w:rFonts w:cs="Arial"/>
        </w:rPr>
        <w:t>al</w:t>
      </w:r>
      <w:r w:rsidRPr="005F5DB5">
        <w:rPr>
          <w:rFonts w:cs="Arial"/>
        </w:rPr>
        <w:t xml:space="preserve"> medicinal</w:t>
      </w:r>
      <w:r w:rsidR="00013020" w:rsidRPr="005F5DB5">
        <w:rPr>
          <w:rFonts w:cs="Arial"/>
        </w:rPr>
        <w:t xml:space="preserve">e </w:t>
      </w:r>
      <w:r w:rsidRPr="005F5DB5">
        <w:rPr>
          <w:rFonts w:cs="Arial"/>
        </w:rPr>
        <w:t xml:space="preserve">di riferimento </w:t>
      </w:r>
      <w:proofErr w:type="spellStart"/>
      <w:r w:rsidR="00A64D10" w:rsidRPr="005F5DB5">
        <w:rPr>
          <w:rFonts w:cs="Arial"/>
        </w:rPr>
        <w:t>Benactiv</w:t>
      </w:r>
      <w:proofErr w:type="spellEnd"/>
      <w:r w:rsidR="00A64D10" w:rsidRPr="005F5DB5">
        <w:rPr>
          <w:rFonts w:cs="Arial"/>
        </w:rPr>
        <w:t xml:space="preserve"> </w:t>
      </w:r>
      <w:r w:rsidR="000234A4">
        <w:rPr>
          <w:rFonts w:cs="Arial"/>
        </w:rPr>
        <w:t>Gola</w:t>
      </w:r>
      <w:r w:rsidR="00013020" w:rsidRPr="005F5DB5">
        <w:rPr>
          <w:rFonts w:cs="Arial"/>
        </w:rPr>
        <w:t xml:space="preserve">. </w:t>
      </w:r>
      <w:r w:rsidR="00014BDC" w:rsidRPr="005F5DB5">
        <w:rPr>
          <w:rFonts w:cs="Arial"/>
        </w:rPr>
        <w:t xml:space="preserve">Inoltre, </w:t>
      </w:r>
      <w:r w:rsidR="00014BDC" w:rsidRPr="005F5DB5">
        <w:rPr>
          <w:rFonts w:cs="Helvetica"/>
        </w:rPr>
        <w:t>è stato eseguito uno studio di biodisponibilità con lo</w:t>
      </w:r>
      <w:r w:rsidR="00D51818" w:rsidRPr="005F5DB5">
        <w:rPr>
          <w:rFonts w:cs="Helvetica"/>
        </w:rPr>
        <w:t xml:space="preserve"> scopo </w:t>
      </w:r>
      <w:r w:rsidR="00014BDC" w:rsidRPr="005F5DB5">
        <w:rPr>
          <w:rFonts w:cs="Helvetica"/>
        </w:rPr>
        <w:t>di</w:t>
      </w:r>
      <w:r w:rsidR="00D51818" w:rsidRPr="005F5DB5">
        <w:rPr>
          <w:rFonts w:cs="Helvetica"/>
        </w:rPr>
        <w:t xml:space="preserve"> dimostrare che il </w:t>
      </w:r>
      <w:proofErr w:type="spellStart"/>
      <w:r w:rsidR="00014BDC" w:rsidRPr="005F5DB5">
        <w:rPr>
          <w:rFonts w:cs="Helvetica"/>
        </w:rPr>
        <w:t>flurbiprofene</w:t>
      </w:r>
      <w:proofErr w:type="spellEnd"/>
      <w:r w:rsidR="00014BDC" w:rsidRPr="005F5DB5">
        <w:rPr>
          <w:rFonts w:cs="Helvetica"/>
        </w:rPr>
        <w:t xml:space="preserve"> si assorb</w:t>
      </w:r>
      <w:r w:rsidR="005F5DB5" w:rsidRPr="005F5DB5">
        <w:rPr>
          <w:rFonts w:cs="Helvetica"/>
        </w:rPr>
        <w:t>e</w:t>
      </w:r>
      <w:r w:rsidR="008D0792" w:rsidRPr="005F5DB5">
        <w:rPr>
          <w:rFonts w:cs="Helvetica"/>
        </w:rPr>
        <w:t xml:space="preserve"> a livello sistemico</w:t>
      </w:r>
      <w:r w:rsidR="00014BDC" w:rsidRPr="005F5DB5">
        <w:rPr>
          <w:rFonts w:cs="Helvetica"/>
        </w:rPr>
        <w:t xml:space="preserve"> in modo limitato e comparabile con </w:t>
      </w:r>
      <w:r w:rsidR="00D51818" w:rsidRPr="005F5DB5">
        <w:rPr>
          <w:rFonts w:cs="Helvetica"/>
        </w:rPr>
        <w:t>quello del medicinale di riferimento</w:t>
      </w:r>
      <w:r w:rsidR="00014BDC" w:rsidRPr="005F5DB5">
        <w:rPr>
          <w:rFonts w:cs="Helvetica"/>
        </w:rPr>
        <w:t>: un assorbimento sistemico limitato</w:t>
      </w:r>
      <w:r w:rsidR="00D51818" w:rsidRPr="005F5DB5">
        <w:rPr>
          <w:rFonts w:cs="Helvetica"/>
        </w:rPr>
        <w:t xml:space="preserve"> </w:t>
      </w:r>
      <w:r w:rsidR="008D0792" w:rsidRPr="005F5DB5">
        <w:rPr>
          <w:rFonts w:cs="Helvetica"/>
        </w:rPr>
        <w:t>riduce il rischio di effetti indesiderati</w:t>
      </w:r>
      <w:r w:rsidR="005F5DB5" w:rsidRPr="005F5DB5">
        <w:rPr>
          <w:rFonts w:cs="Helvetica"/>
        </w:rPr>
        <w:t>, confermando l</w:t>
      </w:r>
      <w:r w:rsidR="005F5DB5">
        <w:rPr>
          <w:rFonts w:cs="Helvetica"/>
        </w:rPr>
        <w:t>a</w:t>
      </w:r>
      <w:r w:rsidR="00D51818" w:rsidRPr="005F5DB5">
        <w:rPr>
          <w:rFonts w:cs="Helvetica"/>
        </w:rPr>
        <w:t xml:space="preserve"> sicurezza d’uso</w:t>
      </w:r>
      <w:r w:rsidR="005F5DB5" w:rsidRPr="005F5DB5">
        <w:rPr>
          <w:rFonts w:cs="Helvetica"/>
        </w:rPr>
        <w:t xml:space="preserve"> del medicinale</w:t>
      </w:r>
      <w:r w:rsidR="00D51818" w:rsidRPr="005F5DB5">
        <w:rPr>
          <w:rFonts w:cs="Helvetica"/>
        </w:rPr>
        <w:t>.</w:t>
      </w:r>
    </w:p>
    <w:p w:rsidR="00014BDC" w:rsidRDefault="00014BDC" w:rsidP="00D5181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14BDC" w:rsidRPr="00D51818" w:rsidRDefault="00014BD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Epifarma</w:t>
      </w:r>
      <w:proofErr w:type="spellEnd"/>
      <w:r w:rsidRPr="00D51818">
        <w:rPr>
          <w:rFonts w:eastAsia="Calibri" w:cs="Calibri"/>
          <w:b/>
          <w:lang w:eastAsia="it-IT"/>
        </w:rPr>
        <w:t>?</w:t>
      </w:r>
      <w:r w:rsidRPr="00D51818">
        <w:rPr>
          <w:rFonts w:eastAsia="Calibri" w:cs="Calibri"/>
          <w:lang w:eastAsia="it-IT"/>
        </w:rPr>
        <w:t xml:space="preserve"> </w:t>
      </w:r>
    </w:p>
    <w:p w:rsidR="004241AC" w:rsidRPr="00D51818" w:rsidRDefault="00D2324A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Flurbiprofene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Epifarma</w:t>
      </w:r>
      <w:proofErr w:type="spellEnd"/>
      <w:r w:rsidR="00B9671B" w:rsidRPr="00D5181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51818">
        <w:rPr>
          <w:rFonts w:eastAsia="Calibri" w:cs="Calibri"/>
          <w:lang w:eastAsia="it-IT"/>
        </w:rPr>
        <w:t xml:space="preserve">è un medicinale </w:t>
      </w:r>
      <w:r w:rsidR="00013020" w:rsidRPr="00D51818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D51818">
        <w:rPr>
          <w:rFonts w:eastAsia="Calibri" w:cs="Calibri"/>
          <w:lang w:eastAsia="it-IT"/>
        </w:rPr>
        <w:t>bioequivale</w:t>
      </w:r>
      <w:r w:rsidR="009B03DB" w:rsidRPr="00D51818">
        <w:rPr>
          <w:rFonts w:eastAsia="Calibri" w:cs="Calibri"/>
          <w:lang w:eastAsia="it-IT"/>
        </w:rPr>
        <w:t>n</w:t>
      </w:r>
      <w:r w:rsidR="00013020" w:rsidRPr="00D51818">
        <w:rPr>
          <w:rFonts w:eastAsia="Calibri" w:cs="Calibri"/>
          <w:lang w:eastAsia="it-IT"/>
        </w:rPr>
        <w:t>te</w:t>
      </w:r>
      <w:proofErr w:type="spellEnd"/>
      <w:r w:rsidR="00013020" w:rsidRPr="00D51818">
        <w:rPr>
          <w:rFonts w:eastAsia="Calibri" w:cs="Calibri"/>
          <w:lang w:eastAsia="it-IT"/>
        </w:rPr>
        <w:t xml:space="preserve"> al medicinale di riferimento</w:t>
      </w:r>
      <w:r w:rsidR="00BA7D67" w:rsidRPr="00D51818">
        <w:rPr>
          <w:rFonts w:eastAsia="Calibri" w:cs="Calibri"/>
          <w:lang w:eastAsia="it-IT"/>
        </w:rPr>
        <w:t xml:space="preserve">; pertanto, </w:t>
      </w:r>
      <w:r w:rsidR="00013020" w:rsidRPr="00D51818">
        <w:rPr>
          <w:rFonts w:eastAsia="Calibri" w:cs="Calibri"/>
          <w:lang w:eastAsia="it-IT"/>
        </w:rPr>
        <w:t>i suoi</w:t>
      </w:r>
      <w:r w:rsidR="004241AC" w:rsidRPr="00D51818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D51818">
        <w:rPr>
          <w:rFonts w:eastAsia="Calibri" w:cs="Calibri"/>
          <w:lang w:eastAsia="it-IT"/>
        </w:rPr>
        <w:t>l</w:t>
      </w:r>
      <w:r w:rsidR="004241AC" w:rsidRPr="00D51818">
        <w:rPr>
          <w:rFonts w:eastAsia="Calibri" w:cs="Calibri"/>
          <w:lang w:eastAsia="it-IT"/>
        </w:rPr>
        <w:t xml:space="preserve"> medicinal</w:t>
      </w:r>
      <w:r w:rsidR="00013020" w:rsidRPr="00D51818">
        <w:rPr>
          <w:rFonts w:eastAsia="Calibri" w:cs="Calibri"/>
          <w:lang w:eastAsia="it-IT"/>
        </w:rPr>
        <w:t>e</w:t>
      </w:r>
      <w:r w:rsidR="004241AC" w:rsidRPr="00D51818">
        <w:rPr>
          <w:rFonts w:eastAsia="Calibri" w:cs="Calibri"/>
          <w:lang w:eastAsia="it-IT"/>
        </w:rPr>
        <w:t xml:space="preserve"> di riferimento.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Epifarma</w:t>
      </w:r>
      <w:proofErr w:type="spellEnd"/>
      <w:r w:rsidR="00B9671B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5181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lang w:eastAsia="it-IT"/>
        </w:rPr>
        <w:t xml:space="preserve">La Commissione Tecnico Scientifica (CTS), nella seduta del </w:t>
      </w:r>
      <w:r w:rsidR="00D51818">
        <w:rPr>
          <w:rFonts w:eastAsia="Calibri" w:cs="Calibri"/>
          <w:lang w:eastAsia="it-IT"/>
        </w:rPr>
        <w:t>15-17 settembre 2014</w:t>
      </w:r>
      <w:r w:rsidRPr="00D51818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D51818">
        <w:rPr>
          <w:rFonts w:eastAsia="Calibri" w:cs="Calibri"/>
          <w:lang w:eastAsia="it-IT"/>
        </w:rPr>
        <w:t>del</w:t>
      </w:r>
      <w:r w:rsidRPr="00D51818">
        <w:rPr>
          <w:rFonts w:eastAsia="Calibri" w:cs="Calibri"/>
          <w:lang w:eastAsia="it-IT"/>
        </w:rPr>
        <w:t xml:space="preserve"> medicinal</w:t>
      </w:r>
      <w:r w:rsidR="00D20170" w:rsidRPr="00D51818">
        <w:rPr>
          <w:rFonts w:eastAsia="Calibri" w:cs="Calibri"/>
          <w:lang w:eastAsia="it-IT"/>
        </w:rPr>
        <w:t>e</w:t>
      </w:r>
      <w:r w:rsidRPr="00D51818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D51818">
        <w:rPr>
          <w:rFonts w:eastAsia="Calibri" w:cs="Calibri"/>
          <w:lang w:eastAsia="it-IT"/>
        </w:rPr>
        <w:t>Benactiv</w:t>
      </w:r>
      <w:proofErr w:type="spellEnd"/>
      <w:r w:rsidR="00A64D10" w:rsidRPr="00D51818">
        <w:rPr>
          <w:rFonts w:eastAsia="Calibri" w:cs="Calibri"/>
          <w:lang w:eastAsia="it-IT"/>
        </w:rPr>
        <w:t xml:space="preserve"> </w:t>
      </w:r>
      <w:r w:rsidR="000234A4">
        <w:rPr>
          <w:rFonts w:eastAsia="Calibri" w:cs="Calibri"/>
          <w:lang w:eastAsia="it-IT"/>
        </w:rPr>
        <w:t>Gola</w:t>
      </w:r>
      <w:r w:rsidRPr="00D51818">
        <w:rPr>
          <w:rFonts w:eastAsia="Calibri" w:cs="Calibri"/>
          <w:lang w:eastAsia="it-IT"/>
        </w:rPr>
        <w:t xml:space="preserve">, i benefici di </w:t>
      </w:r>
      <w:proofErr w:type="spellStart"/>
      <w:r w:rsidR="00D2324A">
        <w:rPr>
          <w:rFonts w:eastAsia="Calibri" w:cs="Calibri"/>
          <w:lang w:eastAsia="it-IT"/>
        </w:rPr>
        <w:t>Flurbiprofene</w:t>
      </w:r>
      <w:proofErr w:type="spellEnd"/>
      <w:r w:rsidR="00D2324A">
        <w:rPr>
          <w:rFonts w:eastAsia="Calibri" w:cs="Calibri"/>
          <w:lang w:eastAsia="it-IT"/>
        </w:rPr>
        <w:t xml:space="preserve"> </w:t>
      </w:r>
      <w:proofErr w:type="spellStart"/>
      <w:r w:rsidR="00D2324A">
        <w:rPr>
          <w:rFonts w:eastAsia="Calibri" w:cs="Calibri"/>
          <w:lang w:eastAsia="it-IT"/>
        </w:rPr>
        <w:t>Epifarma</w:t>
      </w:r>
      <w:proofErr w:type="spellEnd"/>
      <w:r w:rsidR="00B9671B" w:rsidRPr="00D51818">
        <w:rPr>
          <w:rFonts w:eastAsia="Calibri" w:cs="Calibri"/>
          <w:lang w:eastAsia="it-IT"/>
        </w:rPr>
        <w:t xml:space="preserve"> </w:t>
      </w:r>
      <w:r w:rsidR="001C1A8E" w:rsidRPr="00D51818">
        <w:rPr>
          <w:rFonts w:eastAsia="Calibri" w:cs="Calibri"/>
          <w:lang w:eastAsia="it-IT"/>
        </w:rPr>
        <w:t>sono</w:t>
      </w:r>
      <w:r w:rsidRPr="00D51818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D51818">
        <w:rPr>
          <w:rFonts w:eastAsia="Calibri" w:cs="Calibri"/>
          <w:lang w:eastAsia="it-IT"/>
        </w:rPr>
        <w:t xml:space="preserve">i prescrizione di cui al punto </w:t>
      </w:r>
      <w:r w:rsidRPr="00D51818">
        <w:rPr>
          <w:rFonts w:eastAsia="Calibri" w:cs="Calibri"/>
          <w:lang w:eastAsia="it-IT"/>
        </w:rPr>
        <w:t>2) di questo Riassunto e la classe di rimborsabilità del medicinale</w:t>
      </w:r>
      <w:r w:rsidR="00D20170" w:rsidRPr="00D51818">
        <w:rPr>
          <w:rFonts w:eastAsia="Calibri" w:cs="Calibri"/>
          <w:lang w:eastAsia="it-IT"/>
        </w:rPr>
        <w:t xml:space="preserve"> </w:t>
      </w:r>
      <w:r w:rsidRPr="00D51818">
        <w:rPr>
          <w:rFonts w:eastAsia="Calibri" w:cs="Calibri"/>
          <w:lang w:eastAsia="it-IT"/>
        </w:rPr>
        <w:t>(</w:t>
      </w:r>
      <w:proofErr w:type="spellStart"/>
      <w:r w:rsidR="00E65C8A" w:rsidRPr="00D51818">
        <w:rPr>
          <w:rFonts w:eastAsia="Calibri" w:cs="Calibri"/>
          <w:lang w:eastAsia="it-IT"/>
        </w:rPr>
        <w:t>C</w:t>
      </w:r>
      <w:r w:rsidR="00D51818">
        <w:rPr>
          <w:rFonts w:eastAsia="Calibri" w:cs="Calibri"/>
          <w:lang w:eastAsia="it-IT"/>
        </w:rPr>
        <w:t>bis</w:t>
      </w:r>
      <w:proofErr w:type="spellEnd"/>
      <w:r w:rsidRPr="00D51818">
        <w:rPr>
          <w:rFonts w:eastAsia="Calibri" w:cs="Calibri"/>
          <w:lang w:eastAsia="it-IT"/>
        </w:rPr>
        <w:t xml:space="preserve">).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Epifarma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D2324A">
        <w:rPr>
          <w:rFonts w:eastAsia="Calibri" w:cs="Calibri"/>
          <w:lang w:eastAsia="it-IT"/>
        </w:rPr>
        <w:t>Flurbiprofene</w:t>
      </w:r>
      <w:proofErr w:type="spellEnd"/>
      <w:r w:rsidR="00D2324A">
        <w:rPr>
          <w:rFonts w:eastAsia="Calibri" w:cs="Calibri"/>
          <w:lang w:eastAsia="it-IT"/>
        </w:rPr>
        <w:t xml:space="preserve"> </w:t>
      </w:r>
      <w:proofErr w:type="spellStart"/>
      <w:r w:rsidR="00D2324A">
        <w:rPr>
          <w:rFonts w:eastAsia="Calibri" w:cs="Calibri"/>
          <w:lang w:eastAsia="it-IT"/>
        </w:rPr>
        <w:t>Epifarma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/>
          <w:bCs/>
          <w:color w:val="000000"/>
          <w:lang w:eastAsia="it-IT"/>
        </w:rPr>
        <w:t>Epifarma</w:t>
      </w:r>
      <w:proofErr w:type="spellEnd"/>
    </w:p>
    <w:p w:rsidR="004241AC" w:rsidRPr="00CA3A1E" w:rsidRDefault="003F6CB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D51818">
        <w:rPr>
          <w:rFonts w:eastAsia="Calibri" w:cs="Calibri"/>
          <w:bCs/>
          <w:iCs/>
          <w:lang w:eastAsia="it-IT"/>
        </w:rPr>
        <w:t>14 ottobre</w:t>
      </w:r>
      <w:r w:rsidR="00E65C8A">
        <w:rPr>
          <w:rFonts w:eastAsia="Calibri" w:cs="Calibri"/>
          <w:bCs/>
          <w:iCs/>
          <w:lang w:eastAsia="it-IT"/>
        </w:rPr>
        <w:t xml:space="preserve">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D2324A">
        <w:rPr>
          <w:rFonts w:eastAsia="Calibri" w:cs="Calibri"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Cs/>
          <w:color w:val="000000"/>
          <w:lang w:eastAsia="it-IT"/>
        </w:rPr>
        <w:t>Epifarma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D2324A">
        <w:rPr>
          <w:rFonts w:eastAsia="Calibri" w:cs="Calibri"/>
          <w:bCs/>
          <w:color w:val="000000"/>
          <w:lang w:eastAsia="it-IT"/>
        </w:rPr>
        <w:t>Flurbiprofene</w:t>
      </w:r>
      <w:proofErr w:type="spellEnd"/>
      <w:r w:rsidR="00D2324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2324A">
        <w:rPr>
          <w:rFonts w:eastAsia="Calibri" w:cs="Calibri"/>
          <w:bCs/>
          <w:color w:val="000000"/>
          <w:lang w:eastAsia="it-IT"/>
        </w:rPr>
        <w:t>Epifarma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94064">
        <w:rPr>
          <w:rFonts w:eastAsia="Calibri" w:cs="Calibri"/>
          <w:lang w:eastAsia="it-IT"/>
        </w:rPr>
        <w:t>27.10.2015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DAB" w:rsidRDefault="00663DAB" w:rsidP="00371932">
      <w:pPr>
        <w:spacing w:after="0" w:line="240" w:lineRule="auto"/>
      </w:pPr>
      <w:r>
        <w:separator/>
      </w:r>
    </w:p>
  </w:endnote>
  <w:endnote w:type="continuationSeparator" w:id="0">
    <w:p w:rsidR="00663DAB" w:rsidRDefault="00663DAB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DAB" w:rsidRDefault="00663DAB" w:rsidP="00371932">
      <w:pPr>
        <w:spacing w:after="0" w:line="240" w:lineRule="auto"/>
      </w:pPr>
      <w:r>
        <w:separator/>
      </w:r>
    </w:p>
  </w:footnote>
  <w:footnote w:type="continuationSeparator" w:id="0">
    <w:p w:rsidR="00663DAB" w:rsidRDefault="00663DAB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4BDC"/>
    <w:rsid w:val="0001762A"/>
    <w:rsid w:val="000234A4"/>
    <w:rsid w:val="00037F9B"/>
    <w:rsid w:val="000425E0"/>
    <w:rsid w:val="00062636"/>
    <w:rsid w:val="00071B00"/>
    <w:rsid w:val="00077016"/>
    <w:rsid w:val="0008763F"/>
    <w:rsid w:val="00093726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81F56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2E5B88"/>
    <w:rsid w:val="00306DD8"/>
    <w:rsid w:val="0032175C"/>
    <w:rsid w:val="00323E49"/>
    <w:rsid w:val="00341F89"/>
    <w:rsid w:val="003440B2"/>
    <w:rsid w:val="00371932"/>
    <w:rsid w:val="003762D3"/>
    <w:rsid w:val="00380099"/>
    <w:rsid w:val="003B1B77"/>
    <w:rsid w:val="003C47A6"/>
    <w:rsid w:val="003D479A"/>
    <w:rsid w:val="003F6CB4"/>
    <w:rsid w:val="00406421"/>
    <w:rsid w:val="004241AC"/>
    <w:rsid w:val="00424A5A"/>
    <w:rsid w:val="00452364"/>
    <w:rsid w:val="00467593"/>
    <w:rsid w:val="00473C47"/>
    <w:rsid w:val="00480D26"/>
    <w:rsid w:val="00491C6F"/>
    <w:rsid w:val="004A1685"/>
    <w:rsid w:val="004A45DC"/>
    <w:rsid w:val="004B20A8"/>
    <w:rsid w:val="004B7E5B"/>
    <w:rsid w:val="004C32A6"/>
    <w:rsid w:val="004C54EE"/>
    <w:rsid w:val="005079E7"/>
    <w:rsid w:val="00507E9B"/>
    <w:rsid w:val="00535D7D"/>
    <w:rsid w:val="00566B07"/>
    <w:rsid w:val="00570E38"/>
    <w:rsid w:val="00571F56"/>
    <w:rsid w:val="005928E6"/>
    <w:rsid w:val="00596F9D"/>
    <w:rsid w:val="005A64F7"/>
    <w:rsid w:val="005B50AD"/>
    <w:rsid w:val="005E18C6"/>
    <w:rsid w:val="005F3FD7"/>
    <w:rsid w:val="005F5DB5"/>
    <w:rsid w:val="0063028A"/>
    <w:rsid w:val="00634D0F"/>
    <w:rsid w:val="00663DAB"/>
    <w:rsid w:val="006C122D"/>
    <w:rsid w:val="006C7E98"/>
    <w:rsid w:val="0070652E"/>
    <w:rsid w:val="00730C29"/>
    <w:rsid w:val="00794421"/>
    <w:rsid w:val="00795691"/>
    <w:rsid w:val="007B6C6B"/>
    <w:rsid w:val="007D0622"/>
    <w:rsid w:val="007E6F4B"/>
    <w:rsid w:val="00826C22"/>
    <w:rsid w:val="00862596"/>
    <w:rsid w:val="008722B6"/>
    <w:rsid w:val="00874733"/>
    <w:rsid w:val="008826B0"/>
    <w:rsid w:val="00885522"/>
    <w:rsid w:val="008927A4"/>
    <w:rsid w:val="00894064"/>
    <w:rsid w:val="008B4A2D"/>
    <w:rsid w:val="008D0792"/>
    <w:rsid w:val="008D6A28"/>
    <w:rsid w:val="008E4EE7"/>
    <w:rsid w:val="00901E3F"/>
    <w:rsid w:val="00913603"/>
    <w:rsid w:val="00922AF6"/>
    <w:rsid w:val="00923643"/>
    <w:rsid w:val="0092515E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1065A"/>
    <w:rsid w:val="00A40FF3"/>
    <w:rsid w:val="00A64D10"/>
    <w:rsid w:val="00A715C0"/>
    <w:rsid w:val="00A71B45"/>
    <w:rsid w:val="00AB54C2"/>
    <w:rsid w:val="00AB71B8"/>
    <w:rsid w:val="00AE0652"/>
    <w:rsid w:val="00AF448E"/>
    <w:rsid w:val="00B27F42"/>
    <w:rsid w:val="00B46BB6"/>
    <w:rsid w:val="00B5001E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D765E"/>
    <w:rsid w:val="00BE2C92"/>
    <w:rsid w:val="00C03F9F"/>
    <w:rsid w:val="00C639EA"/>
    <w:rsid w:val="00C72386"/>
    <w:rsid w:val="00CA03F0"/>
    <w:rsid w:val="00CC7AFF"/>
    <w:rsid w:val="00D05DEB"/>
    <w:rsid w:val="00D172D6"/>
    <w:rsid w:val="00D20170"/>
    <w:rsid w:val="00D2324A"/>
    <w:rsid w:val="00D51818"/>
    <w:rsid w:val="00D85C3C"/>
    <w:rsid w:val="00DD27A5"/>
    <w:rsid w:val="00DF5A8A"/>
    <w:rsid w:val="00E211C7"/>
    <w:rsid w:val="00E417E7"/>
    <w:rsid w:val="00E43089"/>
    <w:rsid w:val="00E465F5"/>
    <w:rsid w:val="00E65C8A"/>
    <w:rsid w:val="00E83CAE"/>
    <w:rsid w:val="00E83F8D"/>
    <w:rsid w:val="00EA02C4"/>
    <w:rsid w:val="00EB17FA"/>
    <w:rsid w:val="00EC7D2C"/>
    <w:rsid w:val="00ED3C61"/>
    <w:rsid w:val="00EE29EF"/>
    <w:rsid w:val="00EE436F"/>
    <w:rsid w:val="00EF062E"/>
    <w:rsid w:val="00EF5475"/>
    <w:rsid w:val="00F22C10"/>
    <w:rsid w:val="00F55419"/>
    <w:rsid w:val="00F55AF4"/>
    <w:rsid w:val="00F66767"/>
    <w:rsid w:val="00F73A26"/>
    <w:rsid w:val="00FA2702"/>
    <w:rsid w:val="00FA31A2"/>
    <w:rsid w:val="00FB455A"/>
    <w:rsid w:val="00FB5AAD"/>
    <w:rsid w:val="00FD680E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11</cp:revision>
  <dcterms:created xsi:type="dcterms:W3CDTF">2015-10-21T15:51:00Z</dcterms:created>
  <dcterms:modified xsi:type="dcterms:W3CDTF">2015-10-28T14:33:00Z</dcterms:modified>
</cp:coreProperties>
</file>