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33209" w:rsidRDefault="000710C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INFORCE</w:t>
      </w:r>
    </w:p>
    <w:p w:rsidR="004241AC" w:rsidRPr="00334876" w:rsidRDefault="004241AC" w:rsidP="004241AC">
      <w:pPr>
        <w:widowControl w:val="0"/>
        <w:spacing w:after="0" w:line="240" w:lineRule="auto"/>
        <w:jc w:val="center"/>
        <w:rPr>
          <w:b/>
          <w:snapToGrid w:val="0"/>
        </w:rPr>
      </w:pPr>
      <w:r w:rsidRPr="00334876">
        <w:rPr>
          <w:b/>
          <w:snapToGrid w:val="0"/>
        </w:rPr>
        <w:t xml:space="preserve"> (</w:t>
      </w:r>
      <w:proofErr w:type="spellStart"/>
      <w:r w:rsidR="00334876" w:rsidRPr="00334876">
        <w:rPr>
          <w:b/>
          <w:snapToGrid w:val="0"/>
        </w:rPr>
        <w:t>Diclofenac</w:t>
      </w:r>
      <w:proofErr w:type="spellEnd"/>
      <w:r w:rsidRPr="00334876">
        <w:rPr>
          <w:b/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0710C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Altergon</w:t>
      </w:r>
      <w:proofErr w:type="spellEnd"/>
      <w:r>
        <w:rPr>
          <w:b/>
        </w:rPr>
        <w:t xml:space="preserve"> Italia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0710C1">
        <w:rPr>
          <w:rFonts w:cs="Helvetica"/>
          <w:b/>
        </w:rPr>
        <w:t>036973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710C1" w:rsidRDefault="004241A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 xml:space="preserve">Questa è la sintesi del </w:t>
      </w:r>
      <w:r w:rsidRPr="000A132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0A132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0A1325">
        <w:rPr>
          <w:rFonts w:eastAsia="Calibri" w:cs="Calibri"/>
          <w:i/>
          <w:color w:val="000000"/>
          <w:lang w:eastAsia="it-IT"/>
        </w:rPr>
        <w:t xml:space="preserve"> Report</w:t>
      </w:r>
      <w:r w:rsidRPr="000A132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710C1">
        <w:rPr>
          <w:rFonts w:eastAsia="Calibri" w:cs="Calibri"/>
          <w:color w:val="000000"/>
          <w:lang w:eastAsia="it-IT"/>
        </w:rPr>
        <w:t>Inforce</w:t>
      </w:r>
      <w:proofErr w:type="spellEnd"/>
      <w:r w:rsidRPr="000A1325">
        <w:rPr>
          <w:rFonts w:eastAsia="Calibri" w:cs="Calibri"/>
          <w:color w:val="000000"/>
          <w:lang w:eastAsia="it-IT"/>
        </w:rPr>
        <w:t>.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710C1">
        <w:rPr>
          <w:rFonts w:eastAsia="Calibri" w:cs="Calibri"/>
          <w:color w:val="000000"/>
          <w:lang w:eastAsia="it-IT"/>
        </w:rPr>
        <w:t>Inforce</w:t>
      </w:r>
      <w:proofErr w:type="spellEnd"/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è stato </w:t>
      </w:r>
      <w:r w:rsidRPr="000710C1">
        <w:rPr>
          <w:rFonts w:eastAsia="Calibri" w:cs="Calibri"/>
          <w:color w:val="000000"/>
          <w:lang w:eastAsia="it-IT"/>
        </w:rPr>
        <w:t xml:space="preserve">valutato </w:t>
      </w:r>
      <w:r w:rsidR="00897CAF" w:rsidRPr="000710C1">
        <w:rPr>
          <w:rFonts w:eastAsia="Calibri" w:cs="Calibri"/>
          <w:color w:val="000000"/>
          <w:lang w:eastAsia="it-IT"/>
        </w:rPr>
        <w:t>dalla Commissione Tecnico-Scientifica (CTS)</w:t>
      </w:r>
      <w:r w:rsidRPr="000710C1">
        <w:rPr>
          <w:rFonts w:eastAsia="Calibri" w:cs="Calibri"/>
          <w:color w:val="000000"/>
          <w:lang w:eastAsia="it-IT"/>
        </w:rPr>
        <w:t xml:space="preserve"> </w:t>
      </w:r>
      <w:r w:rsidR="00FB1334" w:rsidRPr="000710C1">
        <w:rPr>
          <w:rFonts w:eastAsia="Calibri" w:cs="Calibri"/>
          <w:color w:val="000000"/>
          <w:lang w:eastAsia="it-IT"/>
        </w:rPr>
        <w:t>e le sue condizioni di impiego</w:t>
      </w:r>
      <w:r w:rsidRPr="000710C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0710C1" w:rsidRPr="000710C1">
        <w:rPr>
          <w:rFonts w:eastAsia="Calibri" w:cs="Calibri"/>
          <w:color w:val="000000"/>
          <w:lang w:eastAsia="it-IT"/>
        </w:rPr>
        <w:t>Inforce</w:t>
      </w:r>
      <w:proofErr w:type="spellEnd"/>
      <w:r w:rsidRPr="000710C1">
        <w:rPr>
          <w:rFonts w:eastAsia="Calibri" w:cs="Calibri"/>
          <w:bCs/>
          <w:color w:val="000000"/>
          <w:lang w:eastAsia="it-IT"/>
        </w:rPr>
        <w:t>.</w:t>
      </w:r>
    </w:p>
    <w:p w:rsidR="004241AC" w:rsidRPr="000710C1" w:rsidRDefault="004241A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10C1">
        <w:rPr>
          <w:rFonts w:eastAsia="Calibri" w:cs="Calibri"/>
          <w:color w:val="000000"/>
          <w:lang w:eastAsia="it-IT"/>
        </w:rPr>
        <w:t>Per informazioni pratiche sull'utilizzo di</w:t>
      </w:r>
      <w:r w:rsidRPr="000710C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710C1" w:rsidRPr="000710C1">
        <w:rPr>
          <w:rFonts w:eastAsia="Calibri" w:cs="Calibri"/>
          <w:color w:val="000000"/>
          <w:lang w:eastAsia="it-IT"/>
        </w:rPr>
        <w:t>Inforce</w:t>
      </w:r>
      <w:proofErr w:type="spellEnd"/>
      <w:r w:rsidR="00062636" w:rsidRPr="000710C1">
        <w:rPr>
          <w:rFonts w:eastAsia="Calibri" w:cs="Calibri"/>
          <w:color w:val="000000"/>
          <w:lang w:eastAsia="it-IT"/>
        </w:rPr>
        <w:t xml:space="preserve"> </w:t>
      </w:r>
      <w:r w:rsidRPr="000710C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0710C1">
        <w:rPr>
          <w:rFonts w:eastAsia="Calibri" w:cs="Calibri"/>
          <w:color w:val="000000"/>
          <w:lang w:eastAsia="it-IT"/>
        </w:rPr>
        <w:t xml:space="preserve"> o il farmacista</w:t>
      </w:r>
      <w:r w:rsidRPr="000710C1">
        <w:rPr>
          <w:rFonts w:eastAsia="Calibri" w:cs="Calibri"/>
          <w:color w:val="000000"/>
          <w:lang w:eastAsia="it-IT"/>
        </w:rPr>
        <w:t xml:space="preserve">. </w:t>
      </w:r>
    </w:p>
    <w:p w:rsidR="004241AC" w:rsidRPr="000710C1" w:rsidRDefault="004241A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710C1" w:rsidRDefault="004241A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710C1" w:rsidRDefault="004241A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10C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710C1" w:rsidRPr="000710C1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  <w:r w:rsidR="00E83F8D" w:rsidRPr="000710C1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34876" w:rsidRPr="000710C1">
        <w:rPr>
          <w:rFonts w:eastAsia="Calibri" w:cs="Calibri"/>
          <w:b/>
          <w:bCs/>
          <w:color w:val="000000"/>
          <w:lang w:eastAsia="it-IT"/>
        </w:rPr>
        <w:t>E A COSA SERVE</w:t>
      </w:r>
      <w:r w:rsidRPr="000710C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03F36" w:rsidRPr="000710C1" w:rsidRDefault="000710C1" w:rsidP="000710C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710C1">
        <w:rPr>
          <w:rFonts w:eastAsia="Calibri" w:cs="Calibri"/>
          <w:bCs/>
          <w:color w:val="000000"/>
          <w:lang w:eastAsia="it-IT"/>
        </w:rPr>
        <w:t>Inforce</w:t>
      </w:r>
      <w:proofErr w:type="spellEnd"/>
      <w:r w:rsidR="00E83F8D" w:rsidRPr="000710C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710C1">
        <w:rPr>
          <w:rFonts w:eastAsia="Calibri" w:cs="Calibri"/>
          <w:color w:val="000000"/>
          <w:lang w:eastAsia="it-IT"/>
        </w:rPr>
        <w:t xml:space="preserve">è un medicinale </w:t>
      </w:r>
      <w:r w:rsidR="00334876" w:rsidRPr="000710C1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334876" w:rsidRPr="000710C1">
        <w:rPr>
          <w:rFonts w:eastAsia="Calibri" w:cs="Calibri"/>
          <w:color w:val="000000"/>
          <w:lang w:eastAsia="it-IT"/>
        </w:rPr>
        <w:t>Diclofenac</w:t>
      </w:r>
      <w:proofErr w:type="spellEnd"/>
      <w:r w:rsidR="00334876" w:rsidRPr="000710C1">
        <w:rPr>
          <w:rFonts w:eastAsia="Calibri" w:cs="Calibri"/>
          <w:color w:val="000000"/>
          <w:lang w:eastAsia="it-IT"/>
        </w:rPr>
        <w:t xml:space="preserve"> </w:t>
      </w:r>
      <w:r w:rsidR="000E0632" w:rsidRPr="000710C1">
        <w:rPr>
          <w:rFonts w:eastAsia="Calibri" w:cs="Calibri"/>
          <w:color w:val="000000"/>
          <w:lang w:eastAsia="it-IT"/>
        </w:rPr>
        <w:t xml:space="preserve">ed </w:t>
      </w:r>
      <w:r w:rsidR="004241AC" w:rsidRPr="000710C1">
        <w:rPr>
          <w:rFonts w:eastAsia="Calibri" w:cs="Calibri"/>
          <w:color w:val="000000"/>
          <w:lang w:eastAsia="it-IT"/>
        </w:rPr>
        <w:t xml:space="preserve">è </w:t>
      </w:r>
      <w:r w:rsidR="00603F36" w:rsidRPr="000710C1">
        <w:rPr>
          <w:rFonts w:eastAsia="Calibri" w:cs="Calibri"/>
          <w:color w:val="000000"/>
          <w:lang w:eastAsia="it-IT"/>
        </w:rPr>
        <w:t xml:space="preserve">autorizzato </w:t>
      </w:r>
      <w:r w:rsidR="00333FB9" w:rsidRPr="000710C1">
        <w:rPr>
          <w:rFonts w:eastAsia="Calibri" w:cs="Calibri"/>
          <w:color w:val="000000"/>
          <w:lang w:eastAsia="it-IT"/>
        </w:rPr>
        <w:t>come</w:t>
      </w:r>
      <w:r w:rsidR="006524BA" w:rsidRPr="000710C1">
        <w:rPr>
          <w:rFonts w:eastAsia="Calibri" w:cs="Calibri"/>
          <w:color w:val="000000"/>
          <w:lang w:eastAsia="it-IT"/>
        </w:rPr>
        <w:t xml:space="preserve"> </w:t>
      </w:r>
      <w:r w:rsidRPr="000710C1">
        <w:rPr>
          <w:rFonts w:eastAsia="Calibri" w:cs="Calibri"/>
          <w:color w:val="000000"/>
          <w:lang w:eastAsia="it-IT"/>
        </w:rPr>
        <w:t xml:space="preserve">soluzione iniettabile in fiale </w:t>
      </w:r>
      <w:r w:rsidR="00603F36" w:rsidRPr="000710C1">
        <w:rPr>
          <w:rFonts w:eastAsia="Calibri" w:cs="Calibri"/>
          <w:color w:val="000000"/>
          <w:lang w:eastAsia="it-IT"/>
        </w:rPr>
        <w:t>contenent</w:t>
      </w:r>
      <w:r w:rsidRPr="000710C1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0D52E8">
        <w:rPr>
          <w:rFonts w:eastAsia="Calibri" w:cs="Calibri"/>
          <w:color w:val="000000"/>
          <w:lang w:eastAsia="it-IT"/>
        </w:rPr>
        <w:t>diclofenac</w:t>
      </w:r>
      <w:proofErr w:type="spellEnd"/>
      <w:r w:rsidR="000D52E8">
        <w:rPr>
          <w:rFonts w:eastAsia="Calibri" w:cs="Calibri"/>
          <w:color w:val="000000"/>
          <w:lang w:eastAsia="it-IT"/>
        </w:rPr>
        <w:t xml:space="preserve"> sodico</w:t>
      </w:r>
      <w:r w:rsidR="006524BA" w:rsidRPr="000710C1">
        <w:rPr>
          <w:rFonts w:eastAsia="Calibri" w:cs="Calibri"/>
          <w:color w:val="000000"/>
          <w:lang w:eastAsia="it-IT"/>
        </w:rPr>
        <w:t xml:space="preserve"> </w:t>
      </w:r>
      <w:r w:rsidR="00603F36" w:rsidRPr="000710C1">
        <w:rPr>
          <w:rFonts w:eastAsia="Calibri" w:cs="Calibri"/>
          <w:color w:val="000000"/>
          <w:lang w:eastAsia="it-IT"/>
        </w:rPr>
        <w:t xml:space="preserve">ad una concentrazione </w:t>
      </w:r>
      <w:r w:rsidR="00334876" w:rsidRPr="000710C1">
        <w:rPr>
          <w:rFonts w:eastAsia="Calibri" w:cs="Calibri"/>
          <w:color w:val="000000"/>
          <w:lang w:eastAsia="it-IT"/>
        </w:rPr>
        <w:t>d</w:t>
      </w:r>
      <w:r w:rsidRPr="000710C1">
        <w:rPr>
          <w:rFonts w:eastAsia="Calibri" w:cs="Calibri"/>
          <w:color w:val="000000"/>
          <w:lang w:eastAsia="it-IT"/>
        </w:rPr>
        <w:t>i</w:t>
      </w:r>
      <w:r w:rsidR="00334876" w:rsidRPr="000710C1">
        <w:rPr>
          <w:rFonts w:eastAsia="Calibri" w:cs="Calibri"/>
          <w:color w:val="000000"/>
          <w:lang w:eastAsia="it-IT"/>
        </w:rPr>
        <w:t xml:space="preserve"> </w:t>
      </w:r>
      <w:r w:rsidRPr="000710C1">
        <w:rPr>
          <w:rFonts w:eastAsia="Calibri" w:cs="Calibri"/>
          <w:color w:val="000000"/>
          <w:lang w:eastAsia="it-IT"/>
        </w:rPr>
        <w:t>25 mg/ml, 50 mg/ml, 75 mg/ml.</w:t>
      </w:r>
    </w:p>
    <w:p w:rsidR="000710C1" w:rsidRPr="000710C1" w:rsidRDefault="000710C1" w:rsidP="000710C1">
      <w:pPr>
        <w:spacing w:after="0" w:line="240" w:lineRule="auto"/>
        <w:ind w:right="-1"/>
        <w:jc w:val="both"/>
        <w:rPr>
          <w:rFonts w:ascii="Calibri" w:hAnsi="Calibri"/>
          <w:b/>
          <w:noProof/>
        </w:rPr>
      </w:pPr>
      <w:proofErr w:type="spellStart"/>
      <w:r w:rsidRPr="000710C1">
        <w:rPr>
          <w:rFonts w:eastAsia="Calibri" w:cs="Calibri"/>
          <w:bCs/>
          <w:color w:val="000000"/>
          <w:lang w:eastAsia="it-IT"/>
        </w:rPr>
        <w:t>Inforce</w:t>
      </w:r>
      <w:proofErr w:type="spellEnd"/>
      <w:r w:rsidR="00603F0D" w:rsidRPr="000710C1">
        <w:rPr>
          <w:rFonts w:ascii="Calibri" w:hAnsi="Calibri"/>
        </w:rPr>
        <w:t xml:space="preserve"> </w:t>
      </w:r>
      <w:r w:rsidRPr="000710C1">
        <w:rPr>
          <w:rFonts w:ascii="Calibri" w:hAnsi="Calibri"/>
          <w:noProof/>
        </w:rPr>
        <w:t xml:space="preserve">è usato negli adulti e negli adolescenti di età superiore a 14 anni per il trattamento sintomatico del dolore, in caso di: </w:t>
      </w:r>
    </w:p>
    <w:p w:rsidR="000710C1" w:rsidRPr="000710C1" w:rsidRDefault="000710C1" w:rsidP="000710C1">
      <w:pPr>
        <w:numPr>
          <w:ilvl w:val="0"/>
          <w:numId w:val="12"/>
        </w:numPr>
        <w:tabs>
          <w:tab w:val="num" w:pos="851"/>
        </w:tabs>
        <w:spacing w:after="0" w:line="240" w:lineRule="auto"/>
        <w:ind w:right="-2" w:hanging="180"/>
        <w:jc w:val="both"/>
        <w:rPr>
          <w:rFonts w:ascii="Calibri" w:hAnsi="Calibri"/>
          <w:noProof/>
        </w:rPr>
      </w:pPr>
      <w:r w:rsidRPr="000710C1">
        <w:rPr>
          <w:rFonts w:ascii="Calibri" w:hAnsi="Calibri"/>
          <w:noProof/>
        </w:rPr>
        <w:t>infiammazioni dei muscoli e delle ossa (apparato muscolo-scheletrico);</w:t>
      </w:r>
    </w:p>
    <w:p w:rsidR="000710C1" w:rsidRPr="000710C1" w:rsidRDefault="000710C1" w:rsidP="000710C1">
      <w:pPr>
        <w:numPr>
          <w:ilvl w:val="0"/>
          <w:numId w:val="12"/>
        </w:numPr>
        <w:tabs>
          <w:tab w:val="num" w:pos="851"/>
        </w:tabs>
        <w:spacing w:after="0" w:line="240" w:lineRule="auto"/>
        <w:ind w:right="-2" w:hanging="180"/>
        <w:jc w:val="both"/>
        <w:rPr>
          <w:rFonts w:ascii="Calibri" w:hAnsi="Calibri"/>
          <w:noProof/>
        </w:rPr>
      </w:pPr>
      <w:r w:rsidRPr="000710C1">
        <w:rPr>
          <w:rFonts w:ascii="Calibri" w:hAnsi="Calibri"/>
          <w:noProof/>
        </w:rPr>
        <w:t>contrazioni della muscolatura (spasmi della muscolatura liscia).</w:t>
      </w:r>
    </w:p>
    <w:p w:rsidR="00107A21" w:rsidRPr="000710C1" w:rsidRDefault="00107A21" w:rsidP="000710C1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107A21" w:rsidRPr="000710C1" w:rsidRDefault="00107A21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710C1" w:rsidRDefault="004241A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10C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0710C1" w:rsidRPr="000710C1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  <w:r w:rsidRPr="000710C1">
        <w:rPr>
          <w:rFonts w:eastAsia="Calibri" w:cs="Calibri"/>
          <w:b/>
          <w:bCs/>
          <w:color w:val="000000"/>
          <w:lang w:eastAsia="it-IT"/>
        </w:rPr>
        <w:t>?</w:t>
      </w:r>
    </w:p>
    <w:p w:rsidR="002541E4" w:rsidRPr="000710C1" w:rsidRDefault="000710C1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710C1">
        <w:rPr>
          <w:rFonts w:eastAsia="Calibri" w:cs="Calibri"/>
          <w:color w:val="000000"/>
          <w:lang w:eastAsia="it-IT"/>
        </w:rPr>
        <w:t>Inforce</w:t>
      </w:r>
      <w:proofErr w:type="spellEnd"/>
      <w:r w:rsidR="00666CCE" w:rsidRPr="000710C1">
        <w:rPr>
          <w:rFonts w:eastAsia="Calibri" w:cs="Calibri"/>
          <w:color w:val="000000"/>
          <w:lang w:eastAsia="it-IT"/>
        </w:rPr>
        <w:t xml:space="preserve"> </w:t>
      </w:r>
      <w:r w:rsidRPr="000710C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0710C1" w:rsidRPr="000710C1" w:rsidRDefault="000710C1" w:rsidP="000710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0710C1">
        <w:t>L</w:t>
      </w:r>
      <w:r w:rsidR="00107A21" w:rsidRPr="000710C1">
        <w:t xml:space="preserve">a dose giornaliera raccomandata </w:t>
      </w:r>
      <w:r w:rsidRPr="000710C1">
        <w:t xml:space="preserve">varia in relazione all’intensità del dolore; </w:t>
      </w:r>
      <w:r w:rsidRPr="000710C1">
        <w:rPr>
          <w:rFonts w:ascii="Calibri" w:hAnsi="Calibri"/>
        </w:rPr>
        <w:t xml:space="preserve">può essere somministrato per via intramuscolare o sottocutanea per non più di due giorni consecutivi. Il dosaggio massimo giornaliero non deve superare 150 mg. </w:t>
      </w:r>
    </w:p>
    <w:p w:rsidR="000710C1" w:rsidRPr="000710C1" w:rsidRDefault="000710C1" w:rsidP="000710C1">
      <w:pPr>
        <w:spacing w:after="0" w:line="240" w:lineRule="auto"/>
        <w:ind w:right="-1"/>
        <w:jc w:val="both"/>
        <w:rPr>
          <w:rFonts w:ascii="Calibri" w:hAnsi="Calibri"/>
        </w:rPr>
      </w:pPr>
      <w:r w:rsidRPr="000710C1">
        <w:rPr>
          <w:rFonts w:ascii="Calibri" w:hAnsi="Calibri"/>
        </w:rPr>
        <w:t>Nei pazienti anziani queste dosi possono essere ridotte.</w:t>
      </w:r>
    </w:p>
    <w:p w:rsidR="000710C1" w:rsidRPr="000710C1" w:rsidRDefault="000710C1" w:rsidP="000710C1">
      <w:pPr>
        <w:spacing w:after="0" w:line="240" w:lineRule="auto"/>
        <w:ind w:right="-1"/>
        <w:jc w:val="both"/>
        <w:rPr>
          <w:rFonts w:ascii="Calibri" w:hAnsi="Calibri"/>
        </w:rPr>
      </w:pPr>
      <w:r w:rsidRPr="000710C1">
        <w:rPr>
          <w:rFonts w:ascii="Calibri" w:hAnsi="Calibri"/>
        </w:rPr>
        <w:t xml:space="preserve">I pazienti con gravi problemi al fegato, ai reni e al cuore e i bambini e gli adolescenti di età inferiore a 14 anni </w:t>
      </w:r>
      <w:r>
        <w:rPr>
          <w:rFonts w:ascii="Calibri" w:hAnsi="Calibri"/>
        </w:rPr>
        <w:t>n</w:t>
      </w:r>
      <w:r w:rsidRPr="000710C1">
        <w:rPr>
          <w:rFonts w:ascii="Calibri" w:hAnsi="Calibri"/>
        </w:rPr>
        <w:t>on devono assumere questo medicinale.</w:t>
      </w:r>
    </w:p>
    <w:p w:rsidR="002541E4" w:rsidRPr="000710C1" w:rsidRDefault="002541E4" w:rsidP="000710C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124F5C" w:rsidRPr="000710C1" w:rsidRDefault="00124F5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710C1" w:rsidRDefault="004241AC" w:rsidP="000710C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10C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0710C1" w:rsidRPr="000710C1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  <w:r w:rsidRPr="000710C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8419F" w:rsidRPr="000710C1" w:rsidRDefault="000710C1" w:rsidP="000710C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0710C1">
        <w:rPr>
          <w:rFonts w:eastAsia="Calibri" w:cs="Calibri"/>
          <w:bCs/>
          <w:color w:val="000000"/>
          <w:lang w:eastAsia="it-IT"/>
        </w:rPr>
        <w:t>Inforce</w:t>
      </w:r>
      <w:proofErr w:type="spellEnd"/>
      <w:r w:rsidR="00F90AA1" w:rsidRPr="000710C1">
        <w:rPr>
          <w:rFonts w:eastAsia="Calibri" w:cs="Calibri"/>
          <w:bCs/>
          <w:color w:val="000000"/>
          <w:lang w:eastAsia="it-IT"/>
        </w:rPr>
        <w:t xml:space="preserve">, </w:t>
      </w:r>
      <w:r w:rsidR="006524BA" w:rsidRPr="000710C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0710C1">
        <w:rPr>
          <w:rFonts w:ascii="Calibri" w:hAnsi="Calibri"/>
        </w:rPr>
        <w:t>M01AB05</w:t>
      </w:r>
      <w:r w:rsidR="006524BA" w:rsidRPr="000710C1">
        <w:rPr>
          <w:lang w:eastAsia="it-IT"/>
        </w:rPr>
        <w:t>,</w:t>
      </w:r>
      <w:r w:rsidR="006524BA" w:rsidRPr="000710C1">
        <w:rPr>
          <w:rFonts w:eastAsia="DejaVuSans" w:cs="DejaVuSans"/>
        </w:rPr>
        <w:t xml:space="preserve"> </w:t>
      </w:r>
      <w:r w:rsidR="006524BA" w:rsidRPr="000710C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6524BA" w:rsidRPr="000710C1">
        <w:rPr>
          <w:rFonts w:eastAsia="Calibri" w:cs="Calibri"/>
          <w:color w:val="000000"/>
          <w:lang w:eastAsia="it-IT"/>
        </w:rPr>
        <w:t>diclofenac</w:t>
      </w:r>
      <w:proofErr w:type="spellEnd"/>
      <w:r w:rsidR="006524BA" w:rsidRPr="000710C1">
        <w:rPr>
          <w:rFonts w:eastAsia="Calibri" w:cs="Calibri"/>
          <w:color w:val="000000"/>
          <w:lang w:eastAsia="it-IT"/>
        </w:rPr>
        <w:t xml:space="preserve"> che </w:t>
      </w:r>
      <w:r w:rsidR="006524BA" w:rsidRPr="000710C1">
        <w:rPr>
          <w:rFonts w:eastAsia="DejaVuSans" w:cs="DejaVuSans"/>
        </w:rPr>
        <w:t>appartiene alla classe dei medicinali analgesico-antiinfiammatori non steroidei</w:t>
      </w:r>
      <w:r w:rsidR="00C8419F" w:rsidRPr="000710C1">
        <w:rPr>
          <w:rFonts w:eastAsia="DejaVuSans" w:cs="DejaVuSans"/>
        </w:rPr>
        <w:t xml:space="preserve">: </w:t>
      </w:r>
      <w:r w:rsidR="006524BA" w:rsidRPr="000710C1">
        <w:rPr>
          <w:rFonts w:eastAsia="DejaVuSans" w:cs="DejaVuSans"/>
        </w:rPr>
        <w:t xml:space="preserve"> </w:t>
      </w:r>
      <w:r w:rsidR="00C8419F" w:rsidRPr="000710C1">
        <w:t xml:space="preserve">l'azione del </w:t>
      </w:r>
      <w:proofErr w:type="spellStart"/>
      <w:r w:rsidR="00C8419F" w:rsidRPr="000710C1">
        <w:t>diclofenac</w:t>
      </w:r>
      <w:proofErr w:type="spellEnd"/>
      <w:r w:rsidR="00C8419F" w:rsidRPr="000710C1">
        <w:t xml:space="preserve"> si esplica </w:t>
      </w:r>
      <w:r w:rsidR="00DD5527" w:rsidRPr="000710C1">
        <w:t>soprattutto</w:t>
      </w:r>
      <w:r w:rsidR="00C8419F" w:rsidRPr="000710C1">
        <w:t xml:space="preserve"> attraverso l'inibizione competitiva ed irreversibile della sintesi delle prostaglandine, </w:t>
      </w:r>
      <w:r w:rsidR="00C8419F" w:rsidRPr="000710C1">
        <w:rPr>
          <w:rFonts w:eastAsia="DejaVuSans" w:cs="DejaVuSans"/>
        </w:rPr>
        <w:t>sostanze prodotte dall’organismo e che sono responsabili dei sintomi dell’infiammazione e del dolore che ne consegue</w:t>
      </w:r>
      <w:r w:rsidR="00C8419F" w:rsidRPr="000710C1">
        <w:t xml:space="preserve">. </w:t>
      </w:r>
    </w:p>
    <w:p w:rsidR="00465C95" w:rsidRPr="000710C1" w:rsidRDefault="00465C95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C8419F" w:rsidRPr="000710C1" w:rsidRDefault="00C8419F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710C1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  <w:r w:rsidRPr="00D97C7F">
        <w:rPr>
          <w:rFonts w:eastAsia="Calibri" w:cs="Calibri"/>
          <w:b/>
          <w:bCs/>
          <w:lang w:eastAsia="it-IT"/>
        </w:rPr>
        <w:t xml:space="preserve">? </w:t>
      </w:r>
    </w:p>
    <w:p w:rsidR="006524BA" w:rsidRPr="005814DF" w:rsidRDefault="005717FD" w:rsidP="005814DF">
      <w:pPr>
        <w:widowControl w:val="0"/>
        <w:tabs>
          <w:tab w:val="left" w:pos="567"/>
          <w:tab w:val="left" w:pos="1134"/>
        </w:tabs>
        <w:spacing w:after="0" w:line="240" w:lineRule="auto"/>
        <w:jc w:val="both"/>
      </w:pPr>
      <w:r w:rsidRPr="005814DF">
        <w:rPr>
          <w:rFonts w:ascii="Calibri" w:hAnsi="Calibri"/>
          <w:iCs/>
        </w:rPr>
        <w:t xml:space="preserve">Diversi studi hanno dimostrato come il principio attivo </w:t>
      </w:r>
      <w:proofErr w:type="spellStart"/>
      <w:r w:rsidR="006524BA" w:rsidRPr="005814DF">
        <w:rPr>
          <w:rFonts w:ascii="Calibri" w:hAnsi="Calibri"/>
          <w:iCs/>
        </w:rPr>
        <w:t>diclofenac</w:t>
      </w:r>
      <w:proofErr w:type="spellEnd"/>
      <w:r w:rsidR="00897CAF" w:rsidRPr="005814DF">
        <w:rPr>
          <w:rFonts w:ascii="Calibri" w:hAnsi="Calibri"/>
        </w:rPr>
        <w:t xml:space="preserve"> </w:t>
      </w:r>
      <w:r w:rsidR="006524BA" w:rsidRPr="005814DF">
        <w:rPr>
          <w:rFonts w:ascii="Calibri" w:hAnsi="Calibri"/>
        </w:rPr>
        <w:t xml:space="preserve">è attivo contro il dolore e </w:t>
      </w:r>
      <w:r w:rsidR="000D52E8">
        <w:rPr>
          <w:rFonts w:ascii="Calibri" w:hAnsi="Calibri"/>
        </w:rPr>
        <w:t>altri</w:t>
      </w:r>
      <w:r w:rsidR="006524BA" w:rsidRPr="005814DF">
        <w:rPr>
          <w:rFonts w:ascii="Calibri" w:hAnsi="Calibri"/>
        </w:rPr>
        <w:t xml:space="preserve"> sintomi </w:t>
      </w:r>
      <w:r w:rsidR="000D52E8">
        <w:rPr>
          <w:rFonts w:ascii="Calibri" w:hAnsi="Calibri"/>
        </w:rPr>
        <w:t xml:space="preserve">e segni </w:t>
      </w:r>
      <w:r w:rsidR="006524BA" w:rsidRPr="005814DF">
        <w:rPr>
          <w:rFonts w:ascii="Calibri" w:hAnsi="Calibri"/>
        </w:rPr>
        <w:t>dell’infiammazione</w:t>
      </w:r>
      <w:r w:rsidR="000710C1" w:rsidRPr="005814DF">
        <w:rPr>
          <w:rFonts w:ascii="Calibri" w:hAnsi="Calibri"/>
        </w:rPr>
        <w:t>,</w:t>
      </w:r>
      <w:r w:rsidR="006524BA" w:rsidRPr="005814DF">
        <w:t xml:space="preserve"> increment</w:t>
      </w:r>
      <w:r w:rsidR="000710C1" w:rsidRPr="005814DF">
        <w:t>ando</w:t>
      </w:r>
      <w:r w:rsidR="006524BA" w:rsidRPr="005814DF">
        <w:t xml:space="preserve"> la soglia di reazione al dolore ed una riduzione dell'edema provocato dall’infiammazione. </w:t>
      </w:r>
    </w:p>
    <w:p w:rsidR="006524BA" w:rsidRPr="005814DF" w:rsidRDefault="006524BA" w:rsidP="005814DF">
      <w:pPr>
        <w:widowControl w:val="0"/>
        <w:tabs>
          <w:tab w:val="left" w:pos="567"/>
          <w:tab w:val="left" w:pos="1134"/>
        </w:tabs>
        <w:spacing w:after="0" w:line="240" w:lineRule="auto"/>
        <w:jc w:val="both"/>
      </w:pPr>
    </w:p>
    <w:p w:rsidR="00897CAF" w:rsidRPr="005814DF" w:rsidRDefault="00897CAF" w:rsidP="005814D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814DF" w:rsidRDefault="004241AC" w:rsidP="005814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814DF">
        <w:rPr>
          <w:rFonts w:eastAsia="Calibri" w:cs="Calibri"/>
          <w:b/>
          <w:bCs/>
          <w:lang w:eastAsia="it-IT"/>
        </w:rPr>
        <w:t>5) QUAL</w:t>
      </w:r>
      <w:r w:rsidR="00601567" w:rsidRPr="005814DF">
        <w:rPr>
          <w:rFonts w:eastAsia="Calibri" w:cs="Calibri"/>
          <w:b/>
          <w:bCs/>
          <w:lang w:eastAsia="it-IT"/>
        </w:rPr>
        <w:t>I SONO I</w:t>
      </w:r>
      <w:r w:rsidRPr="005814DF">
        <w:rPr>
          <w:rFonts w:eastAsia="Calibri" w:cs="Calibri"/>
          <w:b/>
          <w:bCs/>
          <w:lang w:eastAsia="it-IT"/>
        </w:rPr>
        <w:t xml:space="preserve"> RISCHI</w:t>
      </w:r>
      <w:r w:rsidR="00601567" w:rsidRPr="005814DF">
        <w:rPr>
          <w:rFonts w:eastAsia="Calibri" w:cs="Calibri"/>
          <w:b/>
          <w:bCs/>
          <w:lang w:eastAsia="it-IT"/>
        </w:rPr>
        <w:t xml:space="preserve"> ASSOCIATI A</w:t>
      </w:r>
      <w:r w:rsidRPr="005814D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710C1" w:rsidRPr="005814DF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  <w:r w:rsidRPr="005814DF">
        <w:rPr>
          <w:rFonts w:eastAsia="Calibri" w:cs="Calibri"/>
          <w:b/>
          <w:lang w:eastAsia="it-IT"/>
        </w:rPr>
        <w:t>?</w:t>
      </w:r>
      <w:r w:rsidRPr="005814DF">
        <w:rPr>
          <w:rFonts w:eastAsia="Calibri" w:cs="Calibri"/>
          <w:lang w:eastAsia="it-IT"/>
        </w:rPr>
        <w:t xml:space="preserve"> </w:t>
      </w:r>
    </w:p>
    <w:p w:rsidR="00B95791" w:rsidRPr="005814DF" w:rsidRDefault="00BD5925" w:rsidP="005814D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5814DF">
        <w:t xml:space="preserve">Gli effetti indesiderati più comunemente associati all’uso di </w:t>
      </w:r>
      <w:proofErr w:type="spellStart"/>
      <w:r w:rsidR="000710C1" w:rsidRPr="005814DF">
        <w:t>Inforce</w:t>
      </w:r>
      <w:proofErr w:type="spellEnd"/>
      <w:r w:rsidR="00916321" w:rsidRPr="005814DF">
        <w:t xml:space="preserve"> sono </w:t>
      </w:r>
      <w:r w:rsidR="005814DF" w:rsidRPr="005814DF">
        <w:rPr>
          <w:rFonts w:ascii="Calibri" w:hAnsi="Calibri"/>
        </w:rPr>
        <w:t>c</w:t>
      </w:r>
      <w:r w:rsidR="00B95791" w:rsidRPr="005814DF">
        <w:rPr>
          <w:rFonts w:ascii="Calibri" w:hAnsi="Calibri"/>
        </w:rPr>
        <w:t xml:space="preserve">efalea, </w:t>
      </w:r>
      <w:r w:rsidR="005814DF" w:rsidRPr="005814DF">
        <w:rPr>
          <w:rFonts w:ascii="Calibri" w:hAnsi="Calibri"/>
        </w:rPr>
        <w:t>v</w:t>
      </w:r>
      <w:r w:rsidR="00B95791" w:rsidRPr="005814DF">
        <w:rPr>
          <w:rFonts w:ascii="Calibri" w:hAnsi="Calibri"/>
        </w:rPr>
        <w:t>ertigini</w:t>
      </w:r>
      <w:r w:rsidR="005814DF" w:rsidRPr="005814DF">
        <w:rPr>
          <w:rFonts w:ascii="Calibri" w:hAnsi="Calibri"/>
        </w:rPr>
        <w:t>, n</w:t>
      </w:r>
      <w:r w:rsidR="00B95791" w:rsidRPr="005814DF">
        <w:rPr>
          <w:rFonts w:ascii="Calibri" w:hAnsi="Calibri"/>
        </w:rPr>
        <w:t xml:space="preserve">ausea, vomito diarrea, </w:t>
      </w:r>
      <w:r w:rsidR="005814DF" w:rsidRPr="005814DF">
        <w:rPr>
          <w:rFonts w:ascii="Calibri" w:hAnsi="Calibri"/>
        </w:rPr>
        <w:t>difficoltà digestive</w:t>
      </w:r>
      <w:r w:rsidR="00B95791" w:rsidRPr="005814DF">
        <w:rPr>
          <w:rFonts w:ascii="Calibri" w:hAnsi="Calibri"/>
        </w:rPr>
        <w:t>, dolore addominale</w:t>
      </w:r>
      <w:r w:rsidR="005814DF" w:rsidRPr="005814DF">
        <w:rPr>
          <w:rFonts w:ascii="Calibri" w:hAnsi="Calibri"/>
        </w:rPr>
        <w:t>,</w:t>
      </w:r>
      <w:r w:rsidR="00B95791" w:rsidRPr="005814DF">
        <w:rPr>
          <w:rFonts w:ascii="Calibri" w:hAnsi="Calibri"/>
        </w:rPr>
        <w:t xml:space="preserve"> flatulenza, anoressia</w:t>
      </w:r>
      <w:r w:rsidR="005814DF" w:rsidRPr="005814DF">
        <w:rPr>
          <w:rFonts w:ascii="Calibri" w:hAnsi="Calibri"/>
        </w:rPr>
        <w:t>,</w:t>
      </w:r>
      <w:r w:rsidR="00B95791" w:rsidRPr="005814DF">
        <w:rPr>
          <w:rFonts w:ascii="Calibri" w:hAnsi="Calibri"/>
        </w:rPr>
        <w:t xml:space="preserve"> </w:t>
      </w:r>
      <w:r w:rsidR="005814DF" w:rsidRPr="005814DF">
        <w:rPr>
          <w:rFonts w:ascii="Calibri" w:hAnsi="Calibri"/>
        </w:rPr>
        <w:t xml:space="preserve">arrossamento cutaneo, </w:t>
      </w:r>
      <w:r w:rsidR="000D52E8">
        <w:rPr>
          <w:rFonts w:ascii="Calibri" w:hAnsi="Calibri"/>
        </w:rPr>
        <w:t xml:space="preserve">aumento delle transaminasi, </w:t>
      </w:r>
      <w:r w:rsidR="005814DF" w:rsidRPr="005814DF">
        <w:rPr>
          <w:rFonts w:ascii="Calibri" w:hAnsi="Calibri"/>
        </w:rPr>
        <w:t>infiammazione, dolore, gonfiore</w:t>
      </w:r>
      <w:r w:rsidR="00B95791" w:rsidRPr="005814DF">
        <w:rPr>
          <w:rFonts w:ascii="Calibri" w:hAnsi="Calibri"/>
        </w:rPr>
        <w:t xml:space="preserve"> al sito di iniezione</w:t>
      </w:r>
      <w:r w:rsidR="005814DF" w:rsidRPr="005814DF">
        <w:rPr>
          <w:rFonts w:ascii="Calibri" w:hAnsi="Calibri"/>
        </w:rPr>
        <w:t>.</w:t>
      </w:r>
    </w:p>
    <w:p w:rsidR="004241AC" w:rsidRPr="005814DF" w:rsidRDefault="00601567" w:rsidP="005814D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814DF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0710C1" w:rsidRPr="005814DF">
        <w:rPr>
          <w:rFonts w:eastAsia="Calibri" w:cs="Calibri"/>
          <w:lang w:eastAsia="it-IT"/>
        </w:rPr>
        <w:t>Inforce</w:t>
      </w:r>
      <w:proofErr w:type="spellEnd"/>
      <w:r w:rsidRPr="005814DF">
        <w:rPr>
          <w:rFonts w:eastAsia="Calibri" w:cs="Calibri"/>
          <w:lang w:eastAsia="it-IT"/>
        </w:rPr>
        <w:t xml:space="preserve"> si rimanda al foglio illustrativo.</w:t>
      </w:r>
    </w:p>
    <w:p w:rsidR="00B95791" w:rsidRDefault="00B95791" w:rsidP="005814D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5814DF" w:rsidRPr="005814DF" w:rsidRDefault="005814DF" w:rsidP="005814D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4241AC" w:rsidRPr="005814DF" w:rsidRDefault="004241AC" w:rsidP="005814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814D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0710C1" w:rsidRPr="005814DF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  <w:r w:rsidR="009B03DB" w:rsidRPr="005814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C310D" w:rsidRPr="005814DF">
        <w:rPr>
          <w:rFonts w:eastAsia="Calibri" w:cs="Calibri"/>
          <w:b/>
          <w:bCs/>
          <w:lang w:eastAsia="it-IT"/>
        </w:rPr>
        <w:t>È</w:t>
      </w:r>
      <w:r w:rsidRPr="005814DF">
        <w:rPr>
          <w:rFonts w:eastAsia="Calibri" w:cs="Calibri"/>
          <w:b/>
          <w:bCs/>
          <w:lang w:eastAsia="it-IT"/>
        </w:rPr>
        <w:t xml:space="preserve"> STATO APPROVATO? </w:t>
      </w:r>
    </w:p>
    <w:p w:rsidR="004241AC" w:rsidRPr="005814DF" w:rsidRDefault="00916321" w:rsidP="005814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814DF">
        <w:rPr>
          <w:rFonts w:eastAsia="Calibri" w:cs="Calibri"/>
          <w:lang w:eastAsia="it-IT"/>
        </w:rPr>
        <w:t xml:space="preserve">La </w:t>
      </w:r>
      <w:r w:rsidR="00897CAF" w:rsidRPr="005814DF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4241AC" w:rsidRPr="005814DF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0710C1" w:rsidRPr="005814DF">
        <w:rPr>
          <w:rFonts w:eastAsia="Calibri" w:cs="Calibri"/>
          <w:lang w:eastAsia="it-IT"/>
        </w:rPr>
        <w:t>Inforce</w:t>
      </w:r>
      <w:proofErr w:type="spellEnd"/>
      <w:r w:rsidR="009B03DB" w:rsidRPr="005814DF">
        <w:rPr>
          <w:rFonts w:eastAsia="Calibri" w:cs="Calibri"/>
          <w:lang w:eastAsia="it-IT"/>
        </w:rPr>
        <w:t xml:space="preserve"> </w:t>
      </w:r>
      <w:r w:rsidR="004241AC" w:rsidRPr="005814DF">
        <w:rPr>
          <w:rFonts w:eastAsia="Calibri" w:cs="Calibri"/>
          <w:lang w:eastAsia="it-IT"/>
        </w:rPr>
        <w:t>s</w:t>
      </w:r>
      <w:r w:rsidR="007E4CC5" w:rsidRPr="005814DF">
        <w:rPr>
          <w:rFonts w:eastAsia="Calibri" w:cs="Calibri"/>
          <w:lang w:eastAsia="it-IT"/>
        </w:rPr>
        <w:t>o</w:t>
      </w:r>
      <w:r w:rsidR="004241AC" w:rsidRPr="005814DF">
        <w:rPr>
          <w:rFonts w:eastAsia="Calibri" w:cs="Calibri"/>
          <w:lang w:eastAsia="it-IT"/>
        </w:rPr>
        <w:t xml:space="preserve">no superiori ai rischi individuati. </w:t>
      </w:r>
      <w:r w:rsidR="00897CAF" w:rsidRPr="005814DF">
        <w:rPr>
          <w:rFonts w:eastAsia="Calibri" w:cs="Calibri"/>
          <w:lang w:eastAsia="it-IT"/>
        </w:rPr>
        <w:t>L</w:t>
      </w:r>
      <w:r w:rsidR="006524BA" w:rsidRPr="005814DF">
        <w:rPr>
          <w:rFonts w:eastAsia="Calibri" w:cs="Calibri"/>
          <w:lang w:eastAsia="it-IT"/>
        </w:rPr>
        <w:t>a</w:t>
      </w:r>
      <w:r w:rsidR="00897CAF" w:rsidRPr="005814DF">
        <w:rPr>
          <w:rFonts w:eastAsia="Calibri" w:cs="Calibri"/>
          <w:lang w:eastAsia="it-IT"/>
        </w:rPr>
        <w:t xml:space="preserve"> Commission</w:t>
      </w:r>
      <w:r w:rsidR="006524BA" w:rsidRPr="005814DF">
        <w:rPr>
          <w:rFonts w:eastAsia="Calibri" w:cs="Calibri"/>
          <w:lang w:eastAsia="it-IT"/>
        </w:rPr>
        <w:t>e</w:t>
      </w:r>
      <w:r w:rsidR="004241AC" w:rsidRPr="005814DF">
        <w:rPr>
          <w:rFonts w:eastAsia="Calibri" w:cs="Calibri"/>
          <w:lang w:eastAsia="it-IT"/>
        </w:rPr>
        <w:t xml:space="preserve"> ha, inoltre, definito le modalità d</w:t>
      </w:r>
      <w:r w:rsidR="00465C95" w:rsidRPr="005814DF">
        <w:rPr>
          <w:rFonts w:eastAsia="Calibri" w:cs="Calibri"/>
          <w:lang w:eastAsia="it-IT"/>
        </w:rPr>
        <w:t xml:space="preserve">i prescrizione di cui al punto </w:t>
      </w:r>
      <w:r w:rsidR="004241AC" w:rsidRPr="005814DF">
        <w:rPr>
          <w:rFonts w:eastAsia="Calibri" w:cs="Calibri"/>
          <w:lang w:eastAsia="it-IT"/>
        </w:rPr>
        <w:t>2) di questo Riassunto e la classe di rimborsabilità del medicinale</w:t>
      </w:r>
      <w:r w:rsidR="00D20170" w:rsidRPr="005814DF">
        <w:rPr>
          <w:rFonts w:eastAsia="Calibri" w:cs="Calibri"/>
          <w:lang w:eastAsia="it-IT"/>
        </w:rPr>
        <w:t xml:space="preserve"> </w:t>
      </w:r>
      <w:r w:rsidR="004241AC" w:rsidRPr="005814DF">
        <w:rPr>
          <w:rFonts w:eastAsia="Calibri" w:cs="Calibri"/>
          <w:lang w:eastAsia="it-IT"/>
        </w:rPr>
        <w:t>(</w:t>
      </w:r>
      <w:r w:rsidR="006524BA" w:rsidRPr="005814DF">
        <w:rPr>
          <w:rFonts w:eastAsia="Calibri" w:cs="Calibri"/>
          <w:lang w:eastAsia="it-IT"/>
        </w:rPr>
        <w:t>C</w:t>
      </w:r>
      <w:r w:rsidR="004241AC" w:rsidRPr="005814DF">
        <w:rPr>
          <w:rFonts w:eastAsia="Calibri" w:cs="Calibri"/>
          <w:lang w:eastAsia="it-IT"/>
        </w:rPr>
        <w:t xml:space="preserve">). </w:t>
      </w:r>
    </w:p>
    <w:p w:rsidR="004241AC" w:rsidRPr="005814DF" w:rsidRDefault="004241AC" w:rsidP="005814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814DF" w:rsidRDefault="004241AC" w:rsidP="005814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814DF" w:rsidRDefault="004241AC" w:rsidP="005814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814DF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5814DF">
        <w:rPr>
          <w:rFonts w:eastAsia="Calibri" w:cs="Calibri"/>
          <w:b/>
          <w:bCs/>
          <w:lang w:eastAsia="it-IT"/>
        </w:rPr>
        <w:t>DI</w:t>
      </w:r>
      <w:proofErr w:type="spellEnd"/>
      <w:r w:rsidRPr="005814D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710C1" w:rsidRPr="005814DF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  <w:r w:rsidRPr="005814DF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14DF" w:rsidRDefault="006524BA" w:rsidP="005814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814DF">
        <w:rPr>
          <w:rFonts w:eastAsia="Calibri" w:cs="Calibri"/>
        </w:rPr>
        <w:t>In accordo alla normativa vigente, tramite la gestione delle attività (</w:t>
      </w:r>
      <w:proofErr w:type="spellStart"/>
      <w:r w:rsidRPr="005814DF">
        <w:rPr>
          <w:rFonts w:eastAsia="Calibri" w:cs="Calibri"/>
        </w:rPr>
        <w:t>routinarie</w:t>
      </w:r>
      <w:proofErr w:type="spellEnd"/>
      <w:r w:rsidRPr="005814DF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0710C1" w:rsidRPr="005814DF">
        <w:rPr>
          <w:rFonts w:eastAsia="Calibri" w:cs="Calibri"/>
          <w:lang w:eastAsia="it-IT"/>
        </w:rPr>
        <w:t>Inforce</w:t>
      </w:r>
      <w:proofErr w:type="spellEnd"/>
      <w:r w:rsidR="004241AC" w:rsidRPr="005814DF">
        <w:rPr>
          <w:rFonts w:eastAsia="Calibri" w:cs="Calibri"/>
          <w:lang w:eastAsia="it-IT"/>
        </w:rPr>
        <w:t>.</w:t>
      </w:r>
    </w:p>
    <w:p w:rsidR="004241AC" w:rsidRPr="00D97C7F" w:rsidRDefault="004241AC" w:rsidP="006524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710C1">
        <w:rPr>
          <w:rFonts w:eastAsia="Calibri" w:cs="Calibri"/>
          <w:b/>
          <w:bCs/>
          <w:color w:val="000000"/>
          <w:lang w:eastAsia="it-IT"/>
        </w:rPr>
        <w:t>Inforce</w:t>
      </w:r>
      <w:proofErr w:type="spellEnd"/>
    </w:p>
    <w:p w:rsidR="004241AC" w:rsidRPr="00D97C7F" w:rsidRDefault="00B95791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2009 e il 201</w:t>
      </w:r>
      <w:r w:rsidR="000D52E8">
        <w:rPr>
          <w:rFonts w:eastAsia="Calibri" w:cs="Calibri"/>
          <w:bCs/>
          <w:iCs/>
          <w:lang w:eastAsia="it-IT"/>
        </w:rPr>
        <w:t>4</w:t>
      </w:r>
      <w:r w:rsidR="00897CAF">
        <w:rPr>
          <w:rFonts w:eastAsia="Calibri" w:cs="Calibri"/>
          <w:bCs/>
          <w:iCs/>
          <w:lang w:eastAsia="it-IT"/>
        </w:rPr>
        <w:t xml:space="preserve"> l’AIFA</w:t>
      </w:r>
      <w:r w:rsidR="004241AC" w:rsidRPr="00D97C7F">
        <w:rPr>
          <w:rFonts w:eastAsia="Calibri" w:cs="Calibri"/>
          <w:bCs/>
          <w:iCs/>
          <w:lang w:eastAsia="it-IT"/>
        </w:rPr>
        <w:t xml:space="preserve"> ha rilasciato l’autorizzazione all’immissione in commercio</w:t>
      </w:r>
      <w:r w:rsidR="0075230D">
        <w:rPr>
          <w:rFonts w:eastAsia="Calibri" w:cs="Calibri"/>
          <w:bCs/>
          <w:iCs/>
          <w:lang w:eastAsia="it-IT"/>
        </w:rPr>
        <w:t xml:space="preserve"> delle diverse confezioni</w:t>
      </w:r>
      <w:r w:rsidR="004241AC" w:rsidRPr="00D97C7F">
        <w:rPr>
          <w:rFonts w:eastAsia="Calibri" w:cs="Calibri"/>
          <w:bCs/>
          <w:iCs/>
          <w:lang w:eastAsia="it-IT"/>
        </w:rPr>
        <w:t xml:space="preserve"> di </w:t>
      </w:r>
      <w:proofErr w:type="spellStart"/>
      <w:r w:rsidR="000710C1">
        <w:rPr>
          <w:rFonts w:eastAsia="Calibri" w:cs="Calibri"/>
          <w:bCs/>
          <w:color w:val="000000"/>
          <w:lang w:eastAsia="it-IT"/>
        </w:rPr>
        <w:t>Inforce</w:t>
      </w:r>
      <w:proofErr w:type="spellEnd"/>
      <w:r w:rsidR="004241AC" w:rsidRPr="00D97C7F">
        <w:rPr>
          <w:rFonts w:eastAsia="Calibri" w:cs="Calibri"/>
          <w:bCs/>
          <w:lang w:eastAsia="it-IT"/>
        </w:rPr>
        <w:t xml:space="preserve">. 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0710C1">
        <w:rPr>
          <w:rFonts w:eastAsia="Calibri" w:cs="Calibri"/>
          <w:bCs/>
          <w:color w:val="000000"/>
          <w:lang w:eastAsia="it-IT"/>
        </w:rPr>
        <w:t>Inforce</w:t>
      </w:r>
      <w:proofErr w:type="spellEnd"/>
      <w:r w:rsidRPr="00D97C7F">
        <w:rPr>
          <w:rFonts w:eastAsia="Calibri" w:cs="Calibri"/>
          <w:bCs/>
          <w:color w:val="000000"/>
          <w:lang w:eastAsia="it-IT"/>
        </w:rPr>
        <w:t xml:space="preserve">, </w:t>
      </w:r>
      <w:r w:rsidRPr="00D97C7F">
        <w:rPr>
          <w:rFonts w:eastAsia="Calibri" w:cs="Calibri"/>
          <w:lang w:eastAsia="it-IT"/>
        </w:rPr>
        <w:t>si può leggere il foglio illustrativo</w:t>
      </w:r>
      <w:r w:rsidR="00D20170" w:rsidRPr="00D97C7F">
        <w:rPr>
          <w:rFonts w:eastAsia="Calibri" w:cs="Calibri"/>
          <w:lang w:eastAsia="it-IT"/>
        </w:rPr>
        <w:t xml:space="preserve"> </w:t>
      </w:r>
      <w:r w:rsidR="00B51E65" w:rsidRPr="00D97C7F">
        <w:rPr>
          <w:rFonts w:eastAsia="Calibri" w:cs="Calibri"/>
          <w:lang w:eastAsia="it-IT"/>
        </w:rPr>
        <w:t>(</w:t>
      </w:r>
      <w:hyperlink r:id="rId6" w:history="1">
        <w:r w:rsidR="00B51E65" w:rsidRPr="00D97C7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D97C7F">
        <w:rPr>
          <w:rFonts w:eastAsia="Calibri" w:cs="Calibri"/>
          <w:lang w:eastAsia="it-IT"/>
        </w:rPr>
        <w:t>)</w:t>
      </w:r>
      <w:r w:rsidR="00D20170" w:rsidRPr="00D97C7F">
        <w:rPr>
          <w:rFonts w:eastAsia="Calibri" w:cs="Calibri"/>
          <w:lang w:eastAsia="it-IT"/>
        </w:rPr>
        <w:t xml:space="preserve"> </w:t>
      </w:r>
      <w:r w:rsidRPr="00D97C7F">
        <w:rPr>
          <w:rFonts w:eastAsia="Calibri" w:cs="Calibri"/>
          <w:lang w:eastAsia="it-IT"/>
        </w:rPr>
        <w:t xml:space="preserve"> o contattare il medico</w:t>
      </w:r>
      <w:r w:rsidR="00FB1334" w:rsidRPr="00D97C7F">
        <w:rPr>
          <w:rFonts w:eastAsia="Calibri" w:cs="Calibri"/>
          <w:lang w:eastAsia="it-IT"/>
        </w:rPr>
        <w:t xml:space="preserve"> o il farmacista</w:t>
      </w:r>
      <w:r w:rsidRPr="00D97C7F">
        <w:rPr>
          <w:rFonts w:eastAsia="Calibri" w:cs="Calibri"/>
          <w:lang w:eastAsia="it-IT"/>
        </w:rPr>
        <w:t xml:space="preserve">. </w:t>
      </w:r>
    </w:p>
    <w:p w:rsidR="004241AC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814DF" w:rsidRPr="00D97C7F" w:rsidRDefault="005814DF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D059F9">
      <w:pPr>
        <w:spacing w:after="0" w:line="240" w:lineRule="auto"/>
        <w:jc w:val="both"/>
      </w:pPr>
      <w:r w:rsidRPr="005717FD">
        <w:rPr>
          <w:rFonts w:eastAsia="Calibri" w:cs="Calibri"/>
          <w:lang w:eastAsia="it-IT"/>
        </w:rPr>
        <w:t xml:space="preserve">Questo riassunto è stato redatto in data </w:t>
      </w:r>
      <w:r w:rsidR="005814DF">
        <w:rPr>
          <w:rFonts w:eastAsia="Calibri" w:cs="Calibri"/>
          <w:lang w:eastAsia="it-IT"/>
        </w:rPr>
        <w:t>21.09.2015</w:t>
      </w:r>
      <w:r w:rsidRPr="005717FD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sectPr w:rsidR="009A260F" w:rsidSect="00DD5527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059AF"/>
    <w:multiLevelType w:val="hybridMultilevel"/>
    <w:tmpl w:val="36023BA6"/>
    <w:lvl w:ilvl="0" w:tplc="A0FEA1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9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8"/>
  </w:num>
  <w:num w:numId="8">
    <w:abstractNumId w:val="11"/>
  </w:num>
  <w:num w:numId="9">
    <w:abstractNumId w:val="0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710C1"/>
    <w:rsid w:val="0007671F"/>
    <w:rsid w:val="00077016"/>
    <w:rsid w:val="000A1325"/>
    <w:rsid w:val="000D52E8"/>
    <w:rsid w:val="000D6232"/>
    <w:rsid w:val="000E0632"/>
    <w:rsid w:val="00107A21"/>
    <w:rsid w:val="00111E9E"/>
    <w:rsid w:val="0011250C"/>
    <w:rsid w:val="0012416F"/>
    <w:rsid w:val="00124F5C"/>
    <w:rsid w:val="00180C71"/>
    <w:rsid w:val="00185307"/>
    <w:rsid w:val="001C310D"/>
    <w:rsid w:val="001F5F03"/>
    <w:rsid w:val="002461BF"/>
    <w:rsid w:val="00246D26"/>
    <w:rsid w:val="002541E4"/>
    <w:rsid w:val="00294C54"/>
    <w:rsid w:val="002B1B90"/>
    <w:rsid w:val="002D6744"/>
    <w:rsid w:val="002F223F"/>
    <w:rsid w:val="00330172"/>
    <w:rsid w:val="00332B3C"/>
    <w:rsid w:val="00333FB9"/>
    <w:rsid w:val="00334876"/>
    <w:rsid w:val="00387484"/>
    <w:rsid w:val="003A2DD8"/>
    <w:rsid w:val="003A7B67"/>
    <w:rsid w:val="004241AC"/>
    <w:rsid w:val="00452364"/>
    <w:rsid w:val="00465C95"/>
    <w:rsid w:val="004968DE"/>
    <w:rsid w:val="004A1685"/>
    <w:rsid w:val="004B20A8"/>
    <w:rsid w:val="004C002F"/>
    <w:rsid w:val="004C3EC8"/>
    <w:rsid w:val="004E4927"/>
    <w:rsid w:val="005333AC"/>
    <w:rsid w:val="00554400"/>
    <w:rsid w:val="005656F8"/>
    <w:rsid w:val="005717FD"/>
    <w:rsid w:val="005814DF"/>
    <w:rsid w:val="005B32D9"/>
    <w:rsid w:val="005C0508"/>
    <w:rsid w:val="005E762D"/>
    <w:rsid w:val="00601567"/>
    <w:rsid w:val="00603F0D"/>
    <w:rsid w:val="00603F36"/>
    <w:rsid w:val="00644F5E"/>
    <w:rsid w:val="006524BA"/>
    <w:rsid w:val="00657E62"/>
    <w:rsid w:val="00666CCE"/>
    <w:rsid w:val="006A22A9"/>
    <w:rsid w:val="006C7F9F"/>
    <w:rsid w:val="006F3638"/>
    <w:rsid w:val="0074402F"/>
    <w:rsid w:val="0075230D"/>
    <w:rsid w:val="00795801"/>
    <w:rsid w:val="007A04C8"/>
    <w:rsid w:val="007E4CC5"/>
    <w:rsid w:val="00804763"/>
    <w:rsid w:val="00833209"/>
    <w:rsid w:val="00834AD2"/>
    <w:rsid w:val="00851AF6"/>
    <w:rsid w:val="00874733"/>
    <w:rsid w:val="00881924"/>
    <w:rsid w:val="00897CAF"/>
    <w:rsid w:val="008C0FF2"/>
    <w:rsid w:val="008D0706"/>
    <w:rsid w:val="008D741B"/>
    <w:rsid w:val="00900991"/>
    <w:rsid w:val="0090552E"/>
    <w:rsid w:val="00916321"/>
    <w:rsid w:val="00922A82"/>
    <w:rsid w:val="00936261"/>
    <w:rsid w:val="00993AF9"/>
    <w:rsid w:val="009A260F"/>
    <w:rsid w:val="009A4251"/>
    <w:rsid w:val="009B03DB"/>
    <w:rsid w:val="009C05A8"/>
    <w:rsid w:val="009D7E18"/>
    <w:rsid w:val="009F145E"/>
    <w:rsid w:val="00A05212"/>
    <w:rsid w:val="00A1005E"/>
    <w:rsid w:val="00A26B8C"/>
    <w:rsid w:val="00A40FF3"/>
    <w:rsid w:val="00A55B6F"/>
    <w:rsid w:val="00A642C3"/>
    <w:rsid w:val="00AD360B"/>
    <w:rsid w:val="00B23EAE"/>
    <w:rsid w:val="00B51E65"/>
    <w:rsid w:val="00B57031"/>
    <w:rsid w:val="00B85E13"/>
    <w:rsid w:val="00B95791"/>
    <w:rsid w:val="00BA7D67"/>
    <w:rsid w:val="00BC74C2"/>
    <w:rsid w:val="00BD3508"/>
    <w:rsid w:val="00BD5925"/>
    <w:rsid w:val="00BF1041"/>
    <w:rsid w:val="00BF4465"/>
    <w:rsid w:val="00C16190"/>
    <w:rsid w:val="00C2722D"/>
    <w:rsid w:val="00C8397C"/>
    <w:rsid w:val="00C8419F"/>
    <w:rsid w:val="00CB3303"/>
    <w:rsid w:val="00CC50EE"/>
    <w:rsid w:val="00CC7AFF"/>
    <w:rsid w:val="00CE7F36"/>
    <w:rsid w:val="00D04A53"/>
    <w:rsid w:val="00D059F9"/>
    <w:rsid w:val="00D17F4E"/>
    <w:rsid w:val="00D20170"/>
    <w:rsid w:val="00D9127D"/>
    <w:rsid w:val="00D97C7F"/>
    <w:rsid w:val="00DB10B2"/>
    <w:rsid w:val="00DD5527"/>
    <w:rsid w:val="00DF06EA"/>
    <w:rsid w:val="00E07466"/>
    <w:rsid w:val="00E30FCF"/>
    <w:rsid w:val="00E339A1"/>
    <w:rsid w:val="00E43089"/>
    <w:rsid w:val="00E50EE8"/>
    <w:rsid w:val="00E83F8D"/>
    <w:rsid w:val="00EF062E"/>
    <w:rsid w:val="00F25A08"/>
    <w:rsid w:val="00F66767"/>
    <w:rsid w:val="00F72353"/>
    <w:rsid w:val="00F735B2"/>
    <w:rsid w:val="00F90AA1"/>
    <w:rsid w:val="00FA2702"/>
    <w:rsid w:val="00FB053D"/>
    <w:rsid w:val="00FB1334"/>
    <w:rsid w:val="00FC2E36"/>
    <w:rsid w:val="00FC46DD"/>
    <w:rsid w:val="00FE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541E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541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9</cp:revision>
  <dcterms:created xsi:type="dcterms:W3CDTF">2015-09-11T10:32:00Z</dcterms:created>
  <dcterms:modified xsi:type="dcterms:W3CDTF">2015-09-21T14:41:00Z</dcterms:modified>
</cp:coreProperties>
</file>