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BC6F1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39255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OMEPRAZOLO ABC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539E9">
        <w:rPr>
          <w:snapToGrid w:val="0"/>
        </w:rPr>
        <w:t>Ome</w:t>
      </w:r>
      <w:r w:rsidR="00452364">
        <w:rPr>
          <w:snapToGrid w:val="0"/>
        </w:rPr>
        <w:t>prazolo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539E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Pharmacare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539E9">
        <w:rPr>
          <w:rFonts w:cs="Helvetica"/>
          <w:b/>
        </w:rPr>
        <w:t>04349</w:t>
      </w:r>
      <w:r w:rsidR="00392554">
        <w:rPr>
          <w:rFonts w:cs="Helvetica"/>
          <w:b/>
        </w:rPr>
        <w:t>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33523E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Default="005D40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92554">
        <w:rPr>
          <w:rFonts w:eastAsia="Calibri" w:cs="Calibri"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color w:val="000000"/>
          <w:lang w:eastAsia="it-IT"/>
        </w:rPr>
        <w:t xml:space="preserve"> ABC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92554">
        <w:rPr>
          <w:rFonts w:eastAsia="Calibri" w:cs="Calibri"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color w:val="000000"/>
          <w:lang w:eastAsia="it-IT"/>
        </w:rPr>
        <w:t xml:space="preserve"> ABC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92554">
        <w:rPr>
          <w:rFonts w:eastAsia="Calibri" w:cs="Calibri"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color w:val="000000"/>
          <w:lang w:eastAsia="it-IT"/>
        </w:rPr>
        <w:t xml:space="preserve"> ABC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92554">
        <w:rPr>
          <w:rFonts w:eastAsia="Calibri" w:cs="Calibri"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color w:val="000000"/>
          <w:lang w:eastAsia="it-IT"/>
        </w:rPr>
        <w:t xml:space="preserve"> ABC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634EC6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364" w:rsidRDefault="00392554" w:rsidP="000C159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Omeprazolo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ABC</w:t>
      </w:r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539E9">
        <w:rPr>
          <w:rFonts w:eastAsia="Calibri" w:cs="Calibri"/>
          <w:color w:val="000000"/>
          <w:lang w:eastAsia="it-IT"/>
        </w:rPr>
        <w:t>omeprazolo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A539E9">
        <w:rPr>
          <w:rFonts w:eastAsia="Calibri" w:cs="Calibri"/>
          <w:color w:val="000000"/>
          <w:lang w:eastAsia="it-IT"/>
        </w:rPr>
        <w:t>capsule rigide</w:t>
      </w:r>
      <w:r w:rsidR="004241AC"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>
        <w:rPr>
          <w:rFonts w:eastAsia="Calibri" w:cs="Calibri"/>
          <w:color w:val="000000"/>
          <w:lang w:eastAsia="it-IT"/>
        </w:rPr>
        <w:t xml:space="preserve"> </w:t>
      </w:r>
      <w:r w:rsidR="004241AC" w:rsidRPr="00452364">
        <w:rPr>
          <w:rFonts w:eastAsia="Calibri" w:cs="Calibri"/>
          <w:color w:val="000000"/>
          <w:lang w:eastAsia="it-IT"/>
        </w:rPr>
        <w:t>contenenti diversi dosaggi de</w:t>
      </w:r>
      <w:r w:rsidR="00E83F8D" w:rsidRPr="00452364">
        <w:rPr>
          <w:rFonts w:eastAsia="Calibri" w:cs="Calibri"/>
          <w:color w:val="000000"/>
          <w:lang w:eastAsia="it-IT"/>
        </w:rPr>
        <w:t>l</w:t>
      </w:r>
      <w:r w:rsidR="004241AC" w:rsidRPr="00452364">
        <w:rPr>
          <w:rFonts w:eastAsia="Calibri" w:cs="Calibri"/>
          <w:color w:val="000000"/>
          <w:lang w:eastAsia="it-IT"/>
        </w:rPr>
        <w:t xml:space="preserve"> principi</w:t>
      </w:r>
      <w:r w:rsidR="00E83F8D" w:rsidRPr="00452364">
        <w:rPr>
          <w:rFonts w:eastAsia="Calibri" w:cs="Calibri"/>
          <w:color w:val="000000"/>
          <w:lang w:eastAsia="it-IT"/>
        </w:rPr>
        <w:t>o attivo:</w:t>
      </w:r>
      <w:r w:rsidR="004241AC" w:rsidRPr="00452364">
        <w:t xml:space="preserve"> </w:t>
      </w:r>
      <w:r w:rsidR="00452364">
        <w:rPr>
          <w:rFonts w:cs="Helvetica"/>
        </w:rPr>
        <w:t>10</w:t>
      </w:r>
      <w:r w:rsidR="00062636" w:rsidRPr="00452364">
        <w:rPr>
          <w:rFonts w:cs="Helvetica"/>
        </w:rPr>
        <w:t xml:space="preserve"> mg, </w:t>
      </w:r>
      <w:r w:rsidR="00452364">
        <w:rPr>
          <w:rFonts w:cs="Helvetica"/>
        </w:rPr>
        <w:t>2</w:t>
      </w:r>
      <w:r w:rsidR="00E83F8D" w:rsidRPr="00452364">
        <w:rPr>
          <w:rFonts w:cs="Helvetica"/>
        </w:rPr>
        <w:t>0</w:t>
      </w:r>
      <w:r w:rsidR="00452364">
        <w:rPr>
          <w:rFonts w:cs="Helvetica"/>
        </w:rPr>
        <w:t xml:space="preserve"> mg</w:t>
      </w:r>
      <w:r w:rsidR="00A539E9">
        <w:rPr>
          <w:rFonts w:cs="Helvetica"/>
        </w:rPr>
        <w:t>, 40 mg</w:t>
      </w:r>
      <w:r w:rsidR="004241AC" w:rsidRPr="00452364">
        <w:t>.</w:t>
      </w:r>
    </w:p>
    <w:p w:rsidR="00417711" w:rsidRDefault="00417711" w:rsidP="00417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Pr="00BB7C7D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>
        <w:rPr>
          <w:rFonts w:eastAsia="Calibri" w:cs="Calibri"/>
          <w:color w:val="000000"/>
          <w:lang w:eastAsia="it-IT"/>
        </w:rPr>
        <w:t>Losec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Pr="00452364" w:rsidRDefault="00392554" w:rsidP="000C15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452364" w:rsidRPr="00452364">
        <w:rPr>
          <w:rFonts w:eastAsia="Calibri" w:cs="Calibri"/>
          <w:color w:val="000000"/>
          <w:lang w:eastAsia="it-IT"/>
        </w:rPr>
        <w:t>si usa:</w:t>
      </w:r>
    </w:p>
    <w:p w:rsidR="00A539E9" w:rsidRPr="00A539E9" w:rsidRDefault="00A539E9" w:rsidP="000C1599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 w:rsidR="00412D3F">
        <w:t xml:space="preserve"> per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nella parte superiore dell’intestino (ulcera duodenale) o dello stomaco (ulcera gastrica). 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’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. </w:t>
      </w:r>
      <w:r w:rsidR="000834DE">
        <w:rPr>
          <w:rFonts w:ascii="Calibri" w:eastAsia="Calibri" w:hAnsi="Calibri" w:cs="Times New Roman"/>
          <w:color w:val="000000"/>
          <w:lang w:eastAsia="it-IT"/>
        </w:rPr>
        <w:t>In questo caso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, il medico può prescrivere anche degli antibiotici per trattare l’infezione e permettere la cicatrizzazione dell’ulcera. 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causate da medicinali chiamati </w:t>
      </w:r>
      <w:r w:rsidRPr="00395E68">
        <w:rPr>
          <w:rFonts w:ascii="Calibri" w:eastAsia="Calibri" w:hAnsi="Calibri" w:cs="Times New Roman"/>
        </w:rPr>
        <w:t xml:space="preserve">FANS (Farmaci Antiinfiammatori Non Steroidei). </w:t>
      </w:r>
      <w:proofErr w:type="spellStart"/>
      <w:r w:rsidR="000834DE">
        <w:rPr>
          <w:rFonts w:eastAsia="Calibri" w:cs="Calibri"/>
          <w:color w:val="000000"/>
          <w:lang w:eastAsia="it-IT"/>
        </w:rPr>
        <w:t>Omeprazolo</w:t>
      </w:r>
      <w:proofErr w:type="spellEnd"/>
      <w:r w:rsidR="000834DE">
        <w:rPr>
          <w:rFonts w:eastAsia="Calibri" w:cs="Calibri"/>
          <w:color w:val="000000"/>
          <w:lang w:eastAsia="it-IT"/>
        </w:rPr>
        <w:t xml:space="preserve"> ABC</w:t>
      </w:r>
      <w:r w:rsidRPr="00395E68">
        <w:rPr>
          <w:rFonts w:ascii="Calibri" w:eastAsia="Calibri" w:hAnsi="Calibri" w:cs="Times New Roman"/>
          <w:b/>
        </w:rPr>
        <w:t xml:space="preserve"> 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può essere utilizzato anche per prevenire la formazione di ulcere </w:t>
      </w:r>
      <w:r w:rsidR="000834DE">
        <w:rPr>
          <w:rFonts w:ascii="Calibri" w:eastAsia="Calibri" w:hAnsi="Calibri" w:cs="Times New Roman"/>
          <w:color w:val="000000"/>
          <w:lang w:eastAsia="it-IT"/>
        </w:rPr>
        <w:t>in caso di assunzione di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 FANS.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Eccessiva presenza di acido nello stomaco causata da un accrescimento di tessuto nel pancreas (sindrome di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Zollinger-Ellison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). </w:t>
      </w:r>
    </w:p>
    <w:p w:rsidR="00A539E9" w:rsidRPr="00412D3F" w:rsidRDefault="00A539E9" w:rsidP="000C1599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 w:rsidR="00412D3F">
        <w:t xml:space="preserve"> per</w:t>
      </w:r>
    </w:p>
    <w:p w:rsidR="000C1599" w:rsidRPr="00395E68" w:rsidRDefault="000C1599" w:rsidP="000C159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bookmarkStart w:id="2" w:name="OLE_LINK1"/>
      <w:bookmarkStart w:id="3" w:name="OLE_LINK2"/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>’. Se il bambino soffre di questa malattia, il medico può prescrivere anche degli antibiotici per trattare l’infezione e permettere la cicatrizzazione dell’ulcera.</w:t>
      </w:r>
    </w:p>
    <w:bookmarkEnd w:id="2"/>
    <w:bookmarkEnd w:id="3"/>
    <w:p w:rsidR="00A539E9" w:rsidRPr="00412D3F" w:rsidRDefault="00A539E9" w:rsidP="000C1599">
      <w:pPr>
        <w:suppressAutoHyphens/>
        <w:spacing w:after="0" w:line="240" w:lineRule="auto"/>
        <w:jc w:val="both"/>
      </w:pPr>
      <w:r>
        <w:rPr>
          <w:i/>
        </w:rPr>
        <w:lastRenderedPageBreak/>
        <w:t>nei b</w:t>
      </w:r>
      <w:r w:rsidRPr="00CB3350">
        <w:rPr>
          <w:i/>
        </w:rPr>
        <w:t>ambini di età superiore a 1 anno e con peso corporeo ≥ 10 kg</w:t>
      </w:r>
      <w:r w:rsidR="00412D3F">
        <w:t xml:space="preserve"> per</w:t>
      </w:r>
    </w:p>
    <w:p w:rsidR="00A539E9" w:rsidRPr="00CB3350" w:rsidRDefault="000C1599" w:rsidP="000C159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284" w:hanging="142"/>
        <w:jc w:val="both"/>
      </w:pPr>
      <w:r w:rsidRPr="000834DE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0834DE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0834DE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Nei bambini, i sintomi di questa malattia comprendono anche il ritorno nella bocca del contenuto dello stomaco (rigurgito), malessere (vomito) e scarso aumento di peso.</w:t>
      </w:r>
    </w:p>
    <w:p w:rsidR="00A539E9" w:rsidRPr="00CB3350" w:rsidRDefault="00A539E9" w:rsidP="000C1599">
      <w:pPr>
        <w:suppressAutoHyphens/>
        <w:spacing w:after="0" w:line="240" w:lineRule="auto"/>
        <w:jc w:val="both"/>
      </w:pPr>
    </w:p>
    <w:p w:rsidR="005D40D3" w:rsidRPr="00452364" w:rsidRDefault="005D40D3" w:rsidP="00A539E9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A539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392554" w:rsidP="00A539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="00076ADA" w:rsidRPr="00452364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A95D6A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di una </w:t>
      </w:r>
      <w:r w:rsidR="00FA2702" w:rsidRPr="00E83F8D">
        <w:t>compressa</w:t>
      </w:r>
      <w:r w:rsidR="00E83F8D">
        <w:t xml:space="preserve"> da </w:t>
      </w:r>
      <w:r>
        <w:t>2</w:t>
      </w:r>
      <w:r w:rsidR="00E83F8D">
        <w:t>0 mg</w:t>
      </w:r>
      <w:r w:rsidR="00E43089" w:rsidRPr="00E83F8D">
        <w:t xml:space="preserve"> </w:t>
      </w:r>
      <w:r w:rsidR="004241AC" w:rsidRPr="00E83F8D">
        <w:t xml:space="preserve">al giorno; </w:t>
      </w:r>
      <w:r>
        <w:t xml:space="preserve">per i sintomi e il trattamento della malattia da reflusso </w:t>
      </w:r>
      <w:proofErr w:type="spellStart"/>
      <w:r>
        <w:t>gastroesofageo</w:t>
      </w:r>
      <w:proofErr w:type="spellEnd"/>
      <w:r>
        <w:t xml:space="preserve"> può essere prescritta una compressa da 10 mg al giorno.</w:t>
      </w:r>
    </w:p>
    <w:p w:rsidR="00874733" w:rsidRDefault="00874733" w:rsidP="00A95D6A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t xml:space="preserve">Per la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>
        <w:rPr>
          <w:rFonts w:eastAsia="DejaVuSans" w:cs="DejaVuSans"/>
        </w:rPr>
        <w:t xml:space="preserve"> la dose iniziale raccomandata è di 60 mg al giorno che può essere aumentata fino a 120 mg al giorno da assumere</w:t>
      </w:r>
      <w:r w:rsidR="00BA7D67">
        <w:rPr>
          <w:rFonts w:eastAsia="DejaVuSans" w:cs="DejaVuSans"/>
        </w:rPr>
        <w:t xml:space="preserve"> in due dosi da 60 mg ciascuna.</w:t>
      </w:r>
    </w:p>
    <w:p w:rsidR="00BA7D67" w:rsidRPr="00BA7D67" w:rsidRDefault="00BA7D67" w:rsidP="00A95D6A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P</w:t>
      </w:r>
      <w:r w:rsidRPr="00452364">
        <w:rPr>
          <w:rFonts w:eastAsia="DejaVuSans" w:cs="DejaVuSans"/>
        </w:rPr>
        <w:t xml:space="preserve">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>
        <w:rPr>
          <w:rFonts w:eastAsia="DejaVuSans" w:cs="DejaVuSans-Oblique"/>
          <w:iCs/>
        </w:rPr>
        <w:t>, la dose raccomandata è di 20 mg due volte al giorno.</w:t>
      </w:r>
    </w:p>
    <w:p w:rsidR="000834DE" w:rsidRDefault="000834DE" w:rsidP="000834DE">
      <w:pPr>
        <w:suppressAutoHyphens/>
        <w:spacing w:after="0" w:line="240" w:lineRule="auto"/>
        <w:jc w:val="both"/>
      </w:pPr>
      <w:r>
        <w:t>Nei bambini, l</w:t>
      </w:r>
      <w:r w:rsidRPr="00E034D0">
        <w:t xml:space="preserve">a dose è basata sul peso del bambino stesso e la dose esatta verrà decisa dal medico. </w:t>
      </w:r>
    </w:p>
    <w:p w:rsidR="000834DE" w:rsidRDefault="000834DE" w:rsidP="000834DE">
      <w:pPr>
        <w:tabs>
          <w:tab w:val="left" w:pos="0"/>
        </w:tabs>
        <w:spacing w:after="0" w:line="240" w:lineRule="auto"/>
        <w:jc w:val="both"/>
      </w:pPr>
      <w:r>
        <w:t>Nei pazienti con problemi al fegato queste dosi possono essere ridotte.</w:t>
      </w:r>
    </w:p>
    <w:p w:rsidR="004241AC" w:rsidRDefault="004241AC" w:rsidP="00A95D6A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 w:rsidR="00A95D6A">
        <w:t>capsule</w:t>
      </w:r>
      <w:r w:rsidRPr="00BA7D67">
        <w:t xml:space="preserve"> vanno assunte</w:t>
      </w:r>
      <w:r w:rsidR="00874733" w:rsidRPr="00BA7D67">
        <w:t xml:space="preserve"> intere (senza frantumarle o masticarle</w:t>
      </w:r>
      <w:r w:rsidR="00BA7D67" w:rsidRPr="00BA7D67">
        <w:t>)</w:t>
      </w:r>
      <w:r w:rsidRPr="00BA7D67">
        <w:t xml:space="preserve"> con un po’ di acqua</w:t>
      </w:r>
      <w:r w:rsidR="00BA7D67">
        <w:t xml:space="preserve"> o altro liquido; per le indicazioni che prevedono il t</w:t>
      </w:r>
      <w:r w:rsidR="00A95D6A">
        <w:t xml:space="preserve">rattamento una volta al giorno, </w:t>
      </w:r>
      <w:r w:rsidR="00BA7D67">
        <w:t xml:space="preserve">le </w:t>
      </w:r>
      <w:r w:rsidR="00A95D6A">
        <w:t>capsule</w:t>
      </w:r>
      <w:r w:rsidR="00BA7D67">
        <w:t xml:space="preserve"> devono essere assunte</w:t>
      </w:r>
      <w:r w:rsidRPr="00BA7D67">
        <w:t xml:space="preserve"> possibilmente </w:t>
      </w:r>
      <w:r w:rsidR="00BA7D67" w:rsidRPr="00BA7D67">
        <w:t>la</w:t>
      </w:r>
      <w:r w:rsidR="00BA7D67">
        <w:t xml:space="preserve"> mattina prima di mangiare. </w:t>
      </w:r>
    </w:p>
    <w:p w:rsidR="00A95D6A" w:rsidRPr="00CB3350" w:rsidRDefault="000C1599" w:rsidP="00A95D6A">
      <w:pPr>
        <w:suppressAutoHyphens/>
        <w:spacing w:after="0" w:line="240" w:lineRule="auto"/>
        <w:jc w:val="both"/>
      </w:pPr>
      <w:r>
        <w:t>Per i</w:t>
      </w:r>
      <w:r w:rsidR="00A95D6A" w:rsidRPr="00A95D6A">
        <w:t xml:space="preserve"> pazienti con difficoltà a deglutire e per i bambini che possono b</w:t>
      </w:r>
      <w:r w:rsidR="00A95D6A">
        <w:t>ere o deglutire cibi semisolidi</w:t>
      </w:r>
      <w:r w:rsidR="00A95D6A" w:rsidRPr="00CB3350">
        <w:t xml:space="preserve"> </w:t>
      </w:r>
      <w:r>
        <w:t xml:space="preserve">si </w:t>
      </w:r>
      <w:r w:rsidR="00A95D6A" w:rsidRPr="00CB3350">
        <w:t>p</w:t>
      </w:r>
      <w:r>
        <w:t>uò</w:t>
      </w:r>
      <w:r w:rsidR="00A95D6A" w:rsidRPr="00CB3350">
        <w:t xml:space="preserve"> aprire l</w:t>
      </w:r>
      <w:r>
        <w:t>a</w:t>
      </w:r>
      <w:r w:rsidR="00A95D6A" w:rsidRPr="00CB3350">
        <w:t xml:space="preserve"> capsul</w:t>
      </w:r>
      <w:r>
        <w:t>a</w:t>
      </w:r>
      <w:r w:rsidR="00A95D6A" w:rsidRPr="00CB3350">
        <w:t xml:space="preserve"> e </w:t>
      </w:r>
      <w:r w:rsidR="00A95D6A">
        <w:t>disperdere i granuli</w:t>
      </w:r>
      <w:r w:rsidR="00A95D6A" w:rsidRPr="00CB3350">
        <w:t xml:space="preserve"> contenut</w:t>
      </w:r>
      <w:r w:rsidR="00A95D6A">
        <w:t>i in</w:t>
      </w:r>
      <w:r w:rsidR="00A95D6A" w:rsidRPr="00CB3350">
        <w:t xml:space="preserve"> mezzo bicchiere di acqua</w:t>
      </w:r>
      <w:r w:rsidR="00A95D6A">
        <w:t xml:space="preserve"> non gasata o</w:t>
      </w:r>
      <w:r w:rsidR="00A95D6A" w:rsidRPr="00CB3350">
        <w:t xml:space="preserve"> succ</w:t>
      </w:r>
      <w:r w:rsidR="00A95D6A">
        <w:t>o</w:t>
      </w:r>
      <w:r w:rsidR="00A95D6A" w:rsidRPr="00CB3350">
        <w:t xml:space="preserve"> di frutta</w:t>
      </w:r>
      <w:r w:rsidR="00A95D6A">
        <w:t>; dopo la</w:t>
      </w:r>
      <w:r w:rsidR="00A95D6A" w:rsidRPr="00CB3350">
        <w:t xml:space="preserve"> dispersione </w:t>
      </w:r>
      <w:r w:rsidR="00A95D6A">
        <w:t xml:space="preserve">i granuli </w:t>
      </w:r>
      <w:r w:rsidR="00A95D6A" w:rsidRPr="00CB3350">
        <w:t>dev</w:t>
      </w:r>
      <w:r w:rsidR="00A95D6A">
        <w:t>ono</w:t>
      </w:r>
      <w:r w:rsidR="00A95D6A" w:rsidRPr="00CB3350">
        <w:t xml:space="preserve"> essere ingerit</w:t>
      </w:r>
      <w:r w:rsidR="00A95D6A">
        <w:t>i</w:t>
      </w:r>
      <w:r w:rsidR="00A95D6A" w:rsidRPr="00CB3350">
        <w:t xml:space="preserve"> </w:t>
      </w:r>
      <w:r w:rsidR="00A95D6A">
        <w:t xml:space="preserve">al massimo </w:t>
      </w:r>
      <w:r w:rsidR="00A95D6A" w:rsidRPr="00CB3350">
        <w:t>entro 30 minuti</w:t>
      </w:r>
      <w:r w:rsidR="00A95D6A">
        <w:t xml:space="preserve">, </w:t>
      </w:r>
      <w:r w:rsidR="00A95D6A" w:rsidRPr="00CB3350">
        <w:t>mescola</w:t>
      </w:r>
      <w:r w:rsidR="00A95D6A">
        <w:t xml:space="preserve">ndo </w:t>
      </w:r>
      <w:r w:rsidR="00A95D6A" w:rsidRPr="00CB3350">
        <w:t>prima di ber</w:t>
      </w:r>
      <w:r w:rsidR="00A95D6A">
        <w:t>e, r</w:t>
      </w:r>
      <w:r w:rsidR="00A95D6A" w:rsidRPr="00CB3350">
        <w:t>isciacqua</w:t>
      </w:r>
      <w:r w:rsidR="00A95D6A">
        <w:t>ndo</w:t>
      </w:r>
      <w:r w:rsidR="00A95D6A" w:rsidRPr="00CB3350">
        <w:t xml:space="preserve"> il fondo con mezzo bicchiere di acqua e be</w:t>
      </w:r>
      <w:r w:rsidR="00A95D6A">
        <w:t>vendone</w:t>
      </w:r>
      <w:r w:rsidR="00A95D6A" w:rsidRPr="00CB3350">
        <w:t xml:space="preserve"> il contenuto</w:t>
      </w:r>
      <w:r w:rsidR="00A95D6A">
        <w:t xml:space="preserve"> immediatamente</w:t>
      </w:r>
      <w:r w:rsidR="00A95D6A" w:rsidRPr="00CB3350">
        <w:t>.</w:t>
      </w:r>
    </w:p>
    <w:p w:rsidR="00A95D6A" w:rsidRDefault="00A95D6A" w:rsidP="00A95D6A">
      <w:pPr>
        <w:suppressAutoHyphens/>
        <w:spacing w:after="0" w:line="240" w:lineRule="auto"/>
        <w:jc w:val="both"/>
      </w:pPr>
      <w:r w:rsidRPr="00CB3350">
        <w:t>In alternativa</w:t>
      </w:r>
      <w:r w:rsidR="000C1599">
        <w:t>,</w:t>
      </w:r>
      <w:r w:rsidRPr="00CB3350">
        <w:t xml:space="preserve"> i pazienti possono sciogliere la capsula in bocca e deglutire i granuli contenuti con mezzo bicchiere d’acqua. </w:t>
      </w:r>
    </w:p>
    <w:p w:rsidR="00A95D6A" w:rsidRPr="00CB3350" w:rsidRDefault="00A95D6A" w:rsidP="00A95D6A">
      <w:pPr>
        <w:suppressAutoHyphens/>
        <w:spacing w:after="0" w:line="240" w:lineRule="auto"/>
        <w:jc w:val="both"/>
      </w:pPr>
      <w:r>
        <w:t>In ogni caso, i</w:t>
      </w:r>
      <w:r w:rsidRPr="00CB3350">
        <w:t xml:space="preserve"> granuli </w:t>
      </w:r>
      <w:proofErr w:type="spellStart"/>
      <w:r w:rsidRPr="00CB3350">
        <w:t>gastroresistenti</w:t>
      </w:r>
      <w:proofErr w:type="spellEnd"/>
      <w:r w:rsidRPr="00CB3350">
        <w:t xml:space="preserve"> non devono essere masticati.</w:t>
      </w:r>
    </w:p>
    <w:p w:rsidR="004241AC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392554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Omeprazolo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ABC</w:t>
      </w:r>
      <w:r w:rsidR="006E45EF">
        <w:rPr>
          <w:rFonts w:eastAsia="Calibri" w:cs="Calibri"/>
          <w:bCs/>
          <w:color w:val="000000"/>
          <w:lang w:eastAsia="it-IT"/>
        </w:rPr>
        <w:t xml:space="preserve">,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6E45EF">
        <w:rPr>
          <w:rFonts w:eastAsia="Calibri" w:cs="Calibri"/>
          <w:bCs/>
          <w:color w:val="000000"/>
          <w:lang w:eastAsia="it-IT"/>
        </w:rPr>
        <w:t xml:space="preserve">cui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A95D6A" w:rsidRPr="00CB3350">
        <w:t>A02BC01</w:t>
      </w:r>
      <w:r w:rsidR="006E45EF">
        <w:rPr>
          <w:rFonts w:eastAsia="DejaVuSans" w:cs="DejaVuSans"/>
        </w:rPr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539E9">
        <w:rPr>
          <w:rFonts w:eastAsia="Calibri" w:cs="Calibri"/>
          <w:color w:val="000000"/>
          <w:lang w:eastAsia="it-IT"/>
        </w:rPr>
        <w:t>omeprazolo</w:t>
      </w:r>
      <w:proofErr w:type="spellEnd"/>
      <w:r w:rsidR="006E45EF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>appartiene alla classe dei composti antisecretori</w:t>
      </w:r>
      <w:r w:rsidR="00076ADA">
        <w:rPr>
          <w:rFonts w:eastAsia="DejaVuSans" w:cs="DejaVuSans"/>
        </w:rPr>
        <w:t>, cioè</w:t>
      </w:r>
      <w:r w:rsidR="00BA7D67" w:rsidRPr="00BA7D67">
        <w:rPr>
          <w:rFonts w:eastAsia="DejaVuSans" w:cs="DejaVuSans"/>
        </w:rPr>
        <w:t xml:space="preserve"> che sopprimono la secrezione acida</w:t>
      </w:r>
      <w:r w:rsidR="00BA7D67">
        <w:rPr>
          <w:rFonts w:eastAsia="DejaVuSans" w:cs="DejaVuSans"/>
        </w:rPr>
        <w:t xml:space="preserve"> </w:t>
      </w:r>
      <w:r w:rsidR="00076ADA">
        <w:rPr>
          <w:rFonts w:eastAsia="DejaVuSans" w:cs="DejaVuSans"/>
        </w:rPr>
        <w:t>dello stomaco</w:t>
      </w:r>
      <w:r w:rsidR="00BA7D67" w:rsidRPr="00BA7D67">
        <w:rPr>
          <w:rFonts w:eastAsia="DejaVuSans" w:cs="DejaVuSans"/>
        </w:rPr>
        <w:t xml:space="preserve"> per inibizione specifica </w:t>
      </w:r>
      <w:r w:rsidR="00BA7D67">
        <w:rPr>
          <w:rFonts w:eastAsia="DejaVuSans" w:cs="DejaVuSans"/>
        </w:rPr>
        <w:t xml:space="preserve">di un enzima che attiva </w:t>
      </w:r>
      <w:r w:rsidR="00BA7D67" w:rsidRPr="00BA7D67">
        <w:rPr>
          <w:rFonts w:eastAsia="DejaVuSans" w:cs="DejaVuSans"/>
        </w:rPr>
        <w:t>la pompa acida o</w:t>
      </w:r>
      <w:r w:rsidR="00BA7D67">
        <w:rPr>
          <w:rFonts w:eastAsia="DejaVuSans" w:cs="DejaVuSans"/>
        </w:rPr>
        <w:t xml:space="preserve"> </w:t>
      </w:r>
      <w:r w:rsidR="00BA7D67" w:rsidRPr="00BA7D67">
        <w:rPr>
          <w:rFonts w:eastAsia="DejaVuSans" w:cs="DejaVuSans"/>
        </w:rPr>
        <w:t>protonica.</w:t>
      </w:r>
    </w:p>
    <w:p w:rsidR="004241AC" w:rsidRDefault="004241AC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A7D67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392554">
        <w:rPr>
          <w:rFonts w:cs="Arial"/>
        </w:rPr>
        <w:t>Omeprazolo</w:t>
      </w:r>
      <w:proofErr w:type="spellEnd"/>
      <w:r w:rsidR="00392554">
        <w:rPr>
          <w:rFonts w:cs="Arial"/>
        </w:rPr>
        <w:t xml:space="preserve"> ABC</w:t>
      </w:r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A539E9">
        <w:rPr>
          <w:rFonts w:cs="Arial"/>
        </w:rPr>
        <w:t>Losec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39255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Omeprazolo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ABC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A810A3">
        <w:rPr>
          <w:rFonts w:eastAsia="Calibri" w:cs="Calibri"/>
          <w:lang w:eastAsia="it-IT"/>
        </w:rPr>
        <w:t>23-25 marzo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A539E9">
        <w:rPr>
          <w:rFonts w:eastAsia="Calibri" w:cs="Calibri"/>
          <w:lang w:eastAsia="it-IT"/>
        </w:rPr>
        <w:t>Losec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392554">
        <w:rPr>
          <w:rFonts w:eastAsia="Calibri" w:cs="Calibri"/>
          <w:lang w:eastAsia="it-IT"/>
        </w:rPr>
        <w:t>Omeprazolo</w:t>
      </w:r>
      <w:proofErr w:type="spellEnd"/>
      <w:r w:rsidR="00392554">
        <w:rPr>
          <w:rFonts w:eastAsia="Calibri" w:cs="Calibri"/>
          <w:lang w:eastAsia="it-IT"/>
        </w:rPr>
        <w:t xml:space="preserve"> ABC</w:t>
      </w:r>
      <w:r w:rsidR="009B03DB">
        <w:rPr>
          <w:rFonts w:eastAsia="Calibri" w:cs="Calibri"/>
          <w:lang w:eastAsia="it-IT"/>
        </w:rPr>
        <w:t xml:space="preserve"> </w:t>
      </w:r>
      <w:r w:rsidR="00F97B34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</w:t>
      </w:r>
      <w:r w:rsidR="00076ADA">
        <w:rPr>
          <w:rFonts w:eastAsia="Calibri" w:cs="Calibri"/>
          <w:lang w:eastAsia="it-IT"/>
        </w:rPr>
        <w:t xml:space="preserve">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0834DE">
        <w:rPr>
          <w:rFonts w:eastAsia="Calibri" w:cs="Calibri"/>
          <w:lang w:eastAsia="it-IT"/>
        </w:rPr>
        <w:t>(</w:t>
      </w:r>
      <w:r w:rsidR="0011250C" w:rsidRPr="000834DE">
        <w:rPr>
          <w:rFonts w:eastAsia="Calibri" w:cs="Calibri"/>
          <w:lang w:eastAsia="it-IT"/>
        </w:rPr>
        <w:t>A con not</w:t>
      </w:r>
      <w:r w:rsidR="00874CF7" w:rsidRPr="000834DE">
        <w:rPr>
          <w:rFonts w:eastAsia="Calibri" w:cs="Calibri"/>
          <w:lang w:eastAsia="it-IT"/>
        </w:rPr>
        <w:t>e 01 e</w:t>
      </w:r>
      <w:r w:rsidR="0011250C" w:rsidRPr="000834DE">
        <w:rPr>
          <w:rFonts w:eastAsia="Calibri" w:cs="Calibri"/>
          <w:lang w:eastAsia="it-IT"/>
        </w:rPr>
        <w:t xml:space="preserve"> 48</w:t>
      </w:r>
      <w:r w:rsidR="00874CF7" w:rsidRPr="000834DE">
        <w:rPr>
          <w:rFonts w:eastAsia="Calibri" w:cs="Calibri"/>
          <w:lang w:eastAsia="it-IT"/>
        </w:rPr>
        <w:t xml:space="preserve"> per le capsule da 10 mg e da 20 mg</w:t>
      </w:r>
      <w:r w:rsidR="0011250C" w:rsidRPr="000834DE">
        <w:rPr>
          <w:rFonts w:eastAsia="Calibri" w:cs="Calibri"/>
          <w:lang w:eastAsia="it-IT"/>
        </w:rPr>
        <w:t>; la nota stabilisce per quali pazienti il medicinale è rimborsato dal Servizio Sanitario Nazionale</w:t>
      </w:r>
      <w:r w:rsidR="00874CF7" w:rsidRPr="000834DE">
        <w:rPr>
          <w:rFonts w:eastAsia="Calibri" w:cs="Calibri"/>
          <w:lang w:eastAsia="it-IT"/>
        </w:rPr>
        <w:t>. C per le capsule da 40 mg</w:t>
      </w:r>
      <w:r w:rsidRPr="000834DE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874CF7" w:rsidRDefault="00874CF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lastRenderedPageBreak/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E707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92554">
        <w:rPr>
          <w:rFonts w:eastAsia="Calibri" w:cs="Calibri"/>
          <w:lang w:eastAsia="it-IT"/>
        </w:rPr>
        <w:t>Omeprazolo</w:t>
      </w:r>
      <w:proofErr w:type="spellEnd"/>
      <w:r w:rsidR="00392554">
        <w:rPr>
          <w:rFonts w:eastAsia="Calibri" w:cs="Calibri"/>
          <w:lang w:eastAsia="it-IT"/>
        </w:rPr>
        <w:t xml:space="preserve"> ABC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92554">
        <w:rPr>
          <w:rFonts w:eastAsia="Calibri" w:cs="Calibri"/>
          <w:b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/>
          <w:bCs/>
          <w:color w:val="000000"/>
          <w:lang w:eastAsia="it-IT"/>
        </w:rPr>
        <w:t xml:space="preserve"> ABC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0834DE">
        <w:rPr>
          <w:rFonts w:eastAsia="Calibri" w:cs="Calibri"/>
          <w:bCs/>
          <w:iCs/>
          <w:lang w:eastAsia="it-IT"/>
        </w:rPr>
        <w:t xml:space="preserve">Il </w:t>
      </w:r>
      <w:r w:rsidR="000834DE" w:rsidRPr="000834DE">
        <w:rPr>
          <w:rFonts w:eastAsia="Calibri" w:cs="Calibri"/>
          <w:bCs/>
          <w:iCs/>
          <w:lang w:eastAsia="it-IT"/>
        </w:rPr>
        <w:t>22 luglio</w:t>
      </w:r>
      <w:r w:rsidRPr="000834DE">
        <w:rPr>
          <w:rFonts w:eastAsia="Calibri" w:cs="Calibri"/>
          <w:bCs/>
          <w:iCs/>
          <w:lang w:eastAsia="it-IT"/>
        </w:rPr>
        <w:t xml:space="preserve"> 2015 l’AIFA ha rilasciato l’autorizzazione all’immissione in commercio di </w:t>
      </w:r>
      <w:proofErr w:type="spellStart"/>
      <w:r w:rsidR="00392554" w:rsidRPr="000834DE">
        <w:rPr>
          <w:rFonts w:eastAsia="Calibri" w:cs="Calibri"/>
          <w:bCs/>
          <w:color w:val="000000"/>
          <w:lang w:eastAsia="it-IT"/>
        </w:rPr>
        <w:t>Omeprazolo</w:t>
      </w:r>
      <w:proofErr w:type="spellEnd"/>
      <w:r w:rsidR="00392554" w:rsidRPr="000834DE">
        <w:rPr>
          <w:rFonts w:eastAsia="Calibri" w:cs="Calibri"/>
          <w:bCs/>
          <w:color w:val="000000"/>
          <w:lang w:eastAsia="it-IT"/>
        </w:rPr>
        <w:t xml:space="preserve"> ABC</w:t>
      </w:r>
      <w:r w:rsidRPr="000834DE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92554">
        <w:rPr>
          <w:rFonts w:eastAsia="Calibri" w:cs="Calibri"/>
          <w:bCs/>
          <w:color w:val="000000"/>
          <w:lang w:eastAsia="it-IT"/>
        </w:rPr>
        <w:t>Omeprazolo</w:t>
      </w:r>
      <w:proofErr w:type="spellEnd"/>
      <w:r w:rsidR="00392554">
        <w:rPr>
          <w:rFonts w:eastAsia="Calibri" w:cs="Calibri"/>
          <w:bCs/>
          <w:color w:val="000000"/>
          <w:lang w:eastAsia="it-IT"/>
        </w:rPr>
        <w:t xml:space="preserve"> ABC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7C7D">
        <w:rPr>
          <w:rFonts w:eastAsia="Calibri" w:cs="Calibri"/>
          <w:lang w:eastAsia="it-IT"/>
        </w:rPr>
        <w:t>(</w:t>
      </w:r>
      <w:hyperlink r:id="rId6" w:history="1">
        <w:r w:rsidR="00BB7C7D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E129E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5D40D3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5D40D3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5D40D3">
      <w:pPr>
        <w:spacing w:after="0" w:line="240" w:lineRule="auto"/>
        <w:jc w:val="center"/>
        <w:rPr>
          <w:b/>
          <w:sz w:val="28"/>
        </w:rPr>
      </w:pPr>
    </w:p>
    <w:p w:rsidR="00063F73" w:rsidRDefault="00063F73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Pr="0033523E" w:rsidRDefault="005D40D3" w:rsidP="005D40D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8206E7" w:rsidRDefault="005D40D3" w:rsidP="005D40D3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Pr="002E4DCB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Pr="008206E7" w:rsidRDefault="005D40D3" w:rsidP="005D40D3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Default="005D40D3" w:rsidP="00412D3F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874CF7">
        <w:t>Pharmacare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392554" w:rsidRPr="000834DE">
        <w:t>Omeprazolo</w:t>
      </w:r>
      <w:proofErr w:type="spellEnd"/>
      <w:r w:rsidR="00392554" w:rsidRPr="000834DE">
        <w:t xml:space="preserve"> ABC</w:t>
      </w:r>
      <w:r w:rsidRPr="000834DE">
        <w:t xml:space="preserve"> </w:t>
      </w:r>
      <w:r w:rsidRPr="000834DE">
        <w:rPr>
          <w:rFonts w:eastAsia="Calibri" w:cs="Calibri"/>
          <w:bCs/>
          <w:iCs/>
          <w:lang w:eastAsia="it-IT"/>
        </w:rPr>
        <w:t xml:space="preserve">il </w:t>
      </w:r>
      <w:r w:rsidR="000834DE" w:rsidRPr="000834DE">
        <w:rPr>
          <w:rFonts w:eastAsia="Calibri" w:cs="Calibri"/>
          <w:bCs/>
          <w:iCs/>
          <w:lang w:eastAsia="it-IT"/>
        </w:rPr>
        <w:t>22 luglio 2015</w:t>
      </w:r>
      <w:r>
        <w:t xml:space="preserve">.  </w:t>
      </w:r>
    </w:p>
    <w:p w:rsidR="005D40D3" w:rsidRDefault="005D40D3" w:rsidP="00412D3F">
      <w:pPr>
        <w:spacing w:after="0" w:line="240" w:lineRule="auto"/>
        <w:jc w:val="both"/>
      </w:pPr>
    </w:p>
    <w:p w:rsidR="005D40D3" w:rsidRPr="007461B9" w:rsidRDefault="00392554" w:rsidP="00412D3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="005D40D3">
        <w:rPr>
          <w:rFonts w:eastAsia="Calibri" w:cs="Calibri"/>
          <w:color w:val="000000"/>
          <w:lang w:eastAsia="it-IT"/>
        </w:rPr>
        <w:t xml:space="preserve"> </w:t>
      </w:r>
      <w:r w:rsidR="005D40D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5D40D3" w:rsidRPr="007461B9">
        <w:rPr>
          <w:rFonts w:eastAsia="Calibri" w:cs="Calibri"/>
          <w:color w:val="000000"/>
          <w:lang w:eastAsia="it-IT"/>
        </w:rPr>
        <w:t>(ricetta ripetibile).</w:t>
      </w:r>
    </w:p>
    <w:p w:rsidR="005D40D3" w:rsidRPr="007461B9" w:rsidRDefault="005D40D3" w:rsidP="00412D3F">
      <w:pPr>
        <w:spacing w:after="0" w:line="240" w:lineRule="auto"/>
        <w:jc w:val="both"/>
      </w:pPr>
    </w:p>
    <w:p w:rsidR="005D40D3" w:rsidRPr="00C608F7" w:rsidRDefault="005D40D3" w:rsidP="00412D3F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C608F7" w:rsidRDefault="005D40D3" w:rsidP="00412D3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C608F7" w:rsidRDefault="00392554" w:rsidP="00412D3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Omeprazolo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ABC</w:t>
      </w:r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6E45EF">
        <w:rPr>
          <w:rFonts w:eastAsia="Calibri" w:cs="Calibri"/>
          <w:color w:val="000000"/>
          <w:lang w:eastAsia="it-IT"/>
        </w:rPr>
        <w:t xml:space="preserve">generico </w:t>
      </w:r>
      <w:r w:rsidR="005D40D3"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A539E9"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A539E9">
        <w:rPr>
          <w:rFonts w:eastAsia="Calibri" w:cs="Calibri"/>
          <w:color w:val="000000"/>
          <w:lang w:eastAsia="it-IT"/>
        </w:rPr>
        <w:t>Losec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C608F7" w:rsidRDefault="005D40D3" w:rsidP="00412D3F">
      <w:pPr>
        <w:spacing w:after="0" w:line="240" w:lineRule="auto"/>
        <w:jc w:val="both"/>
        <w:rPr>
          <w:highlight w:val="yellow"/>
        </w:rPr>
      </w:pPr>
    </w:p>
    <w:p w:rsidR="005D40D3" w:rsidRDefault="00392554" w:rsidP="00412D3F">
      <w:pPr>
        <w:spacing w:after="0" w:line="240" w:lineRule="auto"/>
        <w:jc w:val="both"/>
        <w:rPr>
          <w:rFonts w:ascii="Calibri" w:hAnsi="Calibri"/>
          <w:color w:val="000000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Omeprazolo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ABC</w:t>
      </w:r>
      <w:r w:rsidR="005D40D3" w:rsidRPr="00C608F7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C608F7">
        <w:rPr>
          <w:color w:val="000000"/>
        </w:rPr>
        <w:t>il cui c</w:t>
      </w:r>
      <w:r w:rsidR="005D40D3" w:rsidRPr="00C608F7">
        <w:rPr>
          <w:iCs/>
        </w:rPr>
        <w:t xml:space="preserve">odice ATC è </w:t>
      </w:r>
      <w:r w:rsidR="00874CF7" w:rsidRPr="00CB3350">
        <w:t>A02BC01</w:t>
      </w:r>
      <w:r w:rsidR="005D40D3" w:rsidRPr="00C608F7">
        <w:rPr>
          <w:rFonts w:eastAsia="DejaVuSans" w:cs="DejaVuSans"/>
        </w:rPr>
        <w:t>,</w:t>
      </w:r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539E9"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412D3F" w:rsidRPr="00CB3350">
        <w:t xml:space="preserve">miscela racemica di due </w:t>
      </w:r>
      <w:proofErr w:type="spellStart"/>
      <w:r w:rsidR="00412D3F" w:rsidRPr="00CB3350">
        <w:t>enantiomeri</w:t>
      </w:r>
      <w:proofErr w:type="spellEnd"/>
      <w:r w:rsidR="00412D3F" w:rsidRPr="00CB3350">
        <w:t xml:space="preserve"> attivi</w:t>
      </w:r>
      <w:r w:rsidR="00412D3F">
        <w:t>,</w:t>
      </w:r>
      <w:r w:rsidR="00412D3F" w:rsidRPr="00412D3F">
        <w:rPr>
          <w:rFonts w:eastAsia="Times New Roman"/>
          <w:lang w:eastAsia="it-IT"/>
        </w:rPr>
        <w:t xml:space="preserve"> </w:t>
      </w:r>
      <w:r w:rsidR="00412D3F" w:rsidRPr="00C608F7">
        <w:rPr>
          <w:rFonts w:eastAsia="Times New Roman"/>
          <w:lang w:eastAsia="it-IT"/>
        </w:rPr>
        <w:t xml:space="preserve">appartenente alla classe </w:t>
      </w:r>
      <w:r w:rsidR="00412D3F" w:rsidRPr="00C43444">
        <w:rPr>
          <w:rFonts w:ascii="Calibri" w:hAnsi="Calibri"/>
          <w:color w:val="000000"/>
        </w:rPr>
        <w:t xml:space="preserve">dei composti antisecretori i </w:t>
      </w:r>
      <w:proofErr w:type="spellStart"/>
      <w:r w:rsidR="00412D3F" w:rsidRPr="00C43444">
        <w:rPr>
          <w:rFonts w:ascii="Calibri" w:hAnsi="Calibri"/>
          <w:color w:val="000000"/>
        </w:rPr>
        <w:t>benzimidazoli</w:t>
      </w:r>
      <w:proofErr w:type="spellEnd"/>
      <w:r w:rsidR="00412D3F" w:rsidRPr="00C43444">
        <w:rPr>
          <w:rFonts w:ascii="Calibri" w:hAnsi="Calibri"/>
          <w:color w:val="000000"/>
        </w:rPr>
        <w:t xml:space="preserve"> sostituiti</w:t>
      </w:r>
      <w:r w:rsidR="00412D3F" w:rsidRPr="00CB3350">
        <w:t xml:space="preserve">, riduce la secrezione acida gastrica mediante un meccanismo di azione altamente specializzato. </w:t>
      </w:r>
      <w:proofErr w:type="spellStart"/>
      <w:r w:rsidR="00412D3F" w:rsidRPr="00CB3350">
        <w:t>Omeprazolo</w:t>
      </w:r>
      <w:proofErr w:type="spellEnd"/>
      <w:r w:rsidR="00412D3F" w:rsidRPr="00CB3350">
        <w:t xml:space="preserve"> è un inibitore specifico di pompa protonica a livello delle cellule parietali gastriche. Agisce rapidamente e promuove un controllo reversibile dell’inibizione della secrezione acida gastrica</w:t>
      </w:r>
      <w:r w:rsidR="00412D3F">
        <w:t>.</w:t>
      </w:r>
    </w:p>
    <w:p w:rsidR="00412D3F" w:rsidRPr="00CB3350" w:rsidRDefault="00412D3F" w:rsidP="00412D3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CB3350">
        <w:t>Omeprazolo</w:t>
      </w:r>
      <w:proofErr w:type="spellEnd"/>
      <w:r w:rsidRPr="00CB3350">
        <w:t xml:space="preserve"> è una base debole ed è concentrato e convertito nella forma attiva nell'ambiente fortemente acido dei canalicoli intracellulari all’interno delle cellule parietali, dove inibisce la </w:t>
      </w:r>
      <w:proofErr w:type="spellStart"/>
      <w:r w:rsidRPr="00CB3350">
        <w:t>H+</w:t>
      </w:r>
      <w:proofErr w:type="spellEnd"/>
      <w:r w:rsidRPr="00CB3350">
        <w:t xml:space="preserve"> </w:t>
      </w:r>
      <w:proofErr w:type="spellStart"/>
      <w:r w:rsidRPr="00CB3350">
        <w:t>K+</w:t>
      </w:r>
      <w:proofErr w:type="spellEnd"/>
      <w:r w:rsidRPr="00CB3350">
        <w:t xml:space="preserve"> </w:t>
      </w:r>
      <w:proofErr w:type="spellStart"/>
      <w:r w:rsidRPr="00CB3350">
        <w:t>-ATPasi</w:t>
      </w:r>
      <w:proofErr w:type="spellEnd"/>
      <w:r w:rsidRPr="00CB3350">
        <w:t xml:space="preserve"> - pompa protonica. 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5D40D3" w:rsidRDefault="005D40D3" w:rsidP="00412D3F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412D3F" w:rsidRPr="00452364" w:rsidRDefault="00392554" w:rsidP="00412D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="00412D3F" w:rsidRPr="00452364">
        <w:rPr>
          <w:rFonts w:eastAsia="Calibri" w:cs="Calibri"/>
          <w:color w:val="000000"/>
          <w:lang w:eastAsia="it-IT"/>
        </w:rPr>
        <w:t xml:space="preserve"> si usa:</w:t>
      </w:r>
    </w:p>
    <w:p w:rsidR="00412D3F" w:rsidRPr="00A539E9" w:rsidRDefault="00412D3F" w:rsidP="00412D3F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</w:t>
      </w:r>
      <w:r>
        <w:t>ttamento delle ulcere duodenali e p</w:t>
      </w:r>
      <w:r w:rsidRPr="00CB3350">
        <w:t>revenzione del</w:t>
      </w:r>
      <w:r>
        <w:t>le recidive;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</w:t>
      </w:r>
      <w:r>
        <w:t>striche e p</w:t>
      </w:r>
      <w:r w:rsidRPr="00CB3350">
        <w:t>revenzione del</w:t>
      </w:r>
      <w:r>
        <w:t>le recidive;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 xml:space="preserve">Eradicazione di </w:t>
      </w:r>
      <w:proofErr w:type="spellStart"/>
      <w:r w:rsidRPr="00CB3350">
        <w:rPr>
          <w:i/>
        </w:rPr>
        <w:t>Helicobacter</w:t>
      </w:r>
      <w:proofErr w:type="spellEnd"/>
      <w:r w:rsidRPr="00CB3350">
        <w:rPr>
          <w:i/>
        </w:rPr>
        <w:t xml:space="preserve">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 xml:space="preserve"> (H.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>)</w:t>
      </w:r>
      <w:r w:rsidRPr="00CB3350">
        <w:t xml:space="preserve"> nell’ulcera peptica, in associazione a </w:t>
      </w:r>
      <w:r>
        <w:t>terapia antibiotica appropriata;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gastriche e duodenali associate all’assunzione di FANS</w:t>
      </w:r>
      <w:r>
        <w:t>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Prevenzione delle ulcere gastriche e duodenali associate all’assunzion</w:t>
      </w:r>
      <w:r>
        <w:t>e di FANS in pazienti a rischio;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</w:t>
      </w:r>
      <w:r>
        <w:t>ento dell’esofagite da reflusso;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Gestione a lungo termine dei pazienti con eso</w:t>
      </w:r>
      <w:r>
        <w:t>fagite da reflusso cicatrizzata;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della malattia sintomat</w:t>
      </w:r>
      <w:r>
        <w:t xml:space="preserve">ica da reflusso </w:t>
      </w:r>
      <w:proofErr w:type="spellStart"/>
      <w:r>
        <w:t>gastro-esofageo</w:t>
      </w:r>
      <w:proofErr w:type="spellEnd"/>
      <w:r>
        <w:t>;</w:t>
      </w:r>
    </w:p>
    <w:p w:rsidR="00412D3F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</w:t>
      </w:r>
      <w:r>
        <w:t xml:space="preserve">a sindrome di </w:t>
      </w:r>
      <w:proofErr w:type="spellStart"/>
      <w:r>
        <w:t>Zollinger-Ellison</w:t>
      </w:r>
      <w:proofErr w:type="spellEnd"/>
      <w:r>
        <w:t>;</w:t>
      </w:r>
    </w:p>
    <w:p w:rsidR="00412D3F" w:rsidRPr="00412D3F" w:rsidRDefault="00412D3F" w:rsidP="00412D3F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dell’ulcera duodenale causata da </w:t>
      </w:r>
      <w:r w:rsidRPr="00CB3350">
        <w:rPr>
          <w:i/>
        </w:rPr>
        <w:t xml:space="preserve">H. </w:t>
      </w:r>
      <w:proofErr w:type="spellStart"/>
      <w:r w:rsidRPr="00CB3350">
        <w:rPr>
          <w:i/>
        </w:rPr>
        <w:t>pylori</w:t>
      </w:r>
      <w:proofErr w:type="spellEnd"/>
      <w:r w:rsidRPr="00CB3350">
        <w:t>, in ass</w:t>
      </w:r>
      <w:r>
        <w:t>ociazione a terapia antibiotica;</w:t>
      </w:r>
    </w:p>
    <w:p w:rsidR="00412D3F" w:rsidRPr="00412D3F" w:rsidRDefault="00412D3F" w:rsidP="00412D3F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dell’esofagite da reflusso.</w:t>
      </w:r>
    </w:p>
    <w:p w:rsidR="00412D3F" w:rsidRPr="00CB3350" w:rsidRDefault="00412D3F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sintomatico della pirosi e del rigurgito acido nella malattia da reflusso </w:t>
      </w:r>
      <w:proofErr w:type="spellStart"/>
      <w:r w:rsidRPr="00CB3350">
        <w:t>gastro-esofageo</w:t>
      </w:r>
      <w:proofErr w:type="spellEnd"/>
      <w:r w:rsidRPr="00CB3350">
        <w:t>.</w:t>
      </w:r>
    </w:p>
    <w:p w:rsidR="005D40D3" w:rsidRPr="0002468C" w:rsidRDefault="005D40D3" w:rsidP="00412D3F">
      <w:pPr>
        <w:spacing w:after="0" w:line="240" w:lineRule="auto"/>
        <w:jc w:val="both"/>
      </w:pPr>
    </w:p>
    <w:p w:rsidR="005D40D3" w:rsidRDefault="005D40D3" w:rsidP="00412D3F">
      <w:pPr>
        <w:spacing w:after="0" w:line="240" w:lineRule="auto"/>
        <w:jc w:val="both"/>
      </w:pPr>
      <w:r w:rsidRPr="0002468C">
        <w:t xml:space="preserve">Poiché </w:t>
      </w:r>
      <w:proofErr w:type="spellStart"/>
      <w:r w:rsidR="00392554">
        <w:t>Omeprazolo</w:t>
      </w:r>
      <w:proofErr w:type="spellEnd"/>
      <w:r w:rsidR="00392554">
        <w:t xml:space="preserve"> ABC</w:t>
      </w:r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 w:rsidR="00A539E9">
        <w:t>Losec</w:t>
      </w:r>
      <w:proofErr w:type="spellEnd"/>
      <w:r w:rsidRPr="0002468C">
        <w:t xml:space="preserve"> è autorizzato in Italia da oltre 10 anni.</w:t>
      </w:r>
    </w:p>
    <w:p w:rsidR="005D40D3" w:rsidRPr="0002468C" w:rsidRDefault="005D40D3" w:rsidP="00412D3F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="00392554">
        <w:t>Omeprazolo</w:t>
      </w:r>
      <w:proofErr w:type="spellEnd"/>
      <w:r w:rsidR="00392554">
        <w:t xml:space="preserve"> ABC</w:t>
      </w:r>
      <w:r w:rsidRPr="0002468C">
        <w:t xml:space="preserve"> e quelli del medicinale di riferimento </w:t>
      </w:r>
      <w:proofErr w:type="spellStart"/>
      <w:r w:rsidR="00A539E9">
        <w:t>Losec</w:t>
      </w:r>
      <w:proofErr w:type="spellEnd"/>
      <w:r w:rsidRPr="0002468C">
        <w:t>.</w:t>
      </w:r>
    </w:p>
    <w:p w:rsidR="005D40D3" w:rsidRPr="00900C91" w:rsidRDefault="005D40D3" w:rsidP="00412D3F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5D40D3" w:rsidRPr="00900C91" w:rsidRDefault="005D40D3" w:rsidP="00412D3F">
      <w:pPr>
        <w:spacing w:after="0" w:line="240" w:lineRule="auto"/>
        <w:jc w:val="both"/>
      </w:pPr>
    </w:p>
    <w:p w:rsidR="002457BF" w:rsidRDefault="005D40D3" w:rsidP="002457BF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2457BF">
        <w:t xml:space="preserve">Le autorità </w:t>
      </w:r>
      <w:r w:rsidR="002D14D6">
        <w:t>regolatorie</w:t>
      </w:r>
      <w:r w:rsidR="002457BF">
        <w:t xml:space="preserve"> europee competenti hanno rilasciato i certificati GMP per i siti di produzione.</w:t>
      </w:r>
    </w:p>
    <w:p w:rsidR="005D40D3" w:rsidRPr="00900C91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5D40D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900C91">
        <w:lastRenderedPageBreak/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</w:t>
      </w:r>
      <w:r w:rsidRPr="00900C91">
        <w:t xml:space="preserve">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6E45EF" w:rsidRDefault="006E45EF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02468C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5D40D3" w:rsidRPr="00412D3F" w:rsidRDefault="005D40D3" w:rsidP="00FE0038">
      <w:pPr>
        <w:spacing w:after="0" w:line="240" w:lineRule="auto"/>
        <w:jc w:val="both"/>
      </w:pPr>
      <w:r w:rsidRPr="00412D3F">
        <w:rPr>
          <w:b/>
        </w:rPr>
        <w:t xml:space="preserve">II.1 PRINCIPIO ATTIVO </w:t>
      </w:r>
      <w:r w:rsidR="00A539E9" w:rsidRPr="00412D3F">
        <w:rPr>
          <w:b/>
        </w:rPr>
        <w:t>OMEPRAZOLO</w:t>
      </w:r>
    </w:p>
    <w:p w:rsidR="006E45EF" w:rsidRPr="00412D3F" w:rsidRDefault="005D40D3" w:rsidP="006E45E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12D3F">
        <w:rPr>
          <w:u w:val="single"/>
        </w:rPr>
        <w:t>Nome chimico</w:t>
      </w:r>
      <w:r w:rsidRPr="00412D3F">
        <w:t>:</w:t>
      </w:r>
      <w:r w:rsidR="00FE0038" w:rsidRPr="00412D3F">
        <w:t xml:space="preserve"> </w:t>
      </w:r>
      <w:r w:rsidR="00412D3F" w:rsidRPr="00412D3F">
        <w:rPr>
          <w:rStyle w:val="s1"/>
          <w:rFonts w:asciiTheme="minorHAnsi" w:hAnsiTheme="minorHAnsi"/>
        </w:rPr>
        <w:t>5-Methoxy-2-[(</w:t>
      </w:r>
      <w:r w:rsidR="00412D3F" w:rsidRPr="00412D3F">
        <w:rPr>
          <w:rStyle w:val="s1"/>
          <w:rFonts w:asciiTheme="minorHAnsi" w:hAnsiTheme="minorHAnsi"/>
          <w:i/>
          <w:iCs/>
        </w:rPr>
        <w:t>RS</w:t>
      </w:r>
      <w:r w:rsidR="00412D3F" w:rsidRPr="00412D3F">
        <w:rPr>
          <w:rStyle w:val="s1"/>
          <w:rFonts w:asciiTheme="minorHAnsi" w:hAnsiTheme="minorHAnsi"/>
        </w:rPr>
        <w:t>)-[(4-methoxy-3,5-dimethylpyridin-2-yl)methyl]sulfinyl]-1</w:t>
      </w:r>
      <w:r w:rsidR="00412D3F" w:rsidRPr="00412D3F">
        <w:rPr>
          <w:rStyle w:val="s1"/>
          <w:rFonts w:asciiTheme="minorHAnsi" w:hAnsiTheme="minorHAnsi"/>
          <w:i/>
          <w:iCs/>
        </w:rPr>
        <w:t>H</w:t>
      </w:r>
      <w:r w:rsidR="00412D3F" w:rsidRPr="00412D3F">
        <w:rPr>
          <w:rStyle w:val="s1"/>
          <w:rFonts w:asciiTheme="minorHAnsi" w:hAnsiTheme="minorHAnsi"/>
        </w:rPr>
        <w:t>-benzimidazole</w:t>
      </w:r>
    </w:p>
    <w:p w:rsidR="005D40D3" w:rsidRPr="00412D3F" w:rsidRDefault="005D40D3" w:rsidP="00FE0038">
      <w:pPr>
        <w:spacing w:after="0" w:line="240" w:lineRule="auto"/>
        <w:jc w:val="both"/>
        <w:rPr>
          <w:noProof/>
          <w:lang w:eastAsia="it-IT"/>
        </w:rPr>
      </w:pPr>
      <w:r w:rsidRPr="00412D3F">
        <w:rPr>
          <w:u w:val="single"/>
        </w:rPr>
        <w:t>Struttura</w:t>
      </w:r>
      <w:r w:rsidRPr="00412D3F">
        <w:t>:</w:t>
      </w:r>
    </w:p>
    <w:p w:rsidR="00FE0038" w:rsidRPr="00412D3F" w:rsidRDefault="00412D3F" w:rsidP="00FE0038">
      <w:pPr>
        <w:spacing w:after="0" w:line="240" w:lineRule="auto"/>
        <w:jc w:val="center"/>
        <w:rPr>
          <w:highlight w:val="yellow"/>
        </w:rPr>
      </w:pPr>
      <w:r w:rsidRPr="00412D3F">
        <w:rPr>
          <w:rFonts w:cs="Arial"/>
          <w:noProof/>
          <w:lang w:eastAsia="it-IT"/>
        </w:rPr>
        <w:drawing>
          <wp:inline distT="0" distB="0" distL="0" distR="0">
            <wp:extent cx="2396490" cy="647978"/>
            <wp:effectExtent l="19050" t="0" r="3810" b="0"/>
            <wp:docPr id="4" name="Immagine 4" descr="P:\_dp\804\XML-IN\Images\cf0942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4\XML-IN\Images\cf0942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65" cy="64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8" w:rsidRPr="00412D3F" w:rsidRDefault="005D40D3" w:rsidP="00FE0038">
      <w:pPr>
        <w:spacing w:after="0" w:line="240" w:lineRule="auto"/>
        <w:jc w:val="both"/>
        <w:rPr>
          <w:rFonts w:cs="Arial"/>
          <w:color w:val="252525"/>
          <w:shd w:val="clear" w:color="auto" w:fill="F9F9F9"/>
        </w:rPr>
      </w:pPr>
      <w:r w:rsidRPr="00412D3F">
        <w:rPr>
          <w:u w:val="single"/>
        </w:rPr>
        <w:t>Formula molecolare</w:t>
      </w:r>
      <w:r w:rsidRPr="00412D3F">
        <w:t>:</w:t>
      </w:r>
      <w:r w:rsidR="00A074BE" w:rsidRPr="00412D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412D3F" w:rsidRPr="00412D3F">
        <w:rPr>
          <w:rStyle w:val="s1"/>
          <w:rFonts w:asciiTheme="minorHAnsi" w:hAnsiTheme="minorHAnsi"/>
        </w:rPr>
        <w:t>C</w:t>
      </w:r>
      <w:r w:rsidR="00412D3F" w:rsidRPr="00412D3F">
        <w:rPr>
          <w:rStyle w:val="s1"/>
          <w:rFonts w:asciiTheme="minorHAnsi" w:hAnsiTheme="minorHAnsi"/>
          <w:vertAlign w:val="subscript"/>
        </w:rPr>
        <w:t>17</w:t>
      </w:r>
      <w:r w:rsidR="00412D3F" w:rsidRPr="00412D3F">
        <w:rPr>
          <w:rStyle w:val="s1"/>
          <w:rFonts w:asciiTheme="minorHAnsi" w:hAnsiTheme="minorHAnsi"/>
        </w:rPr>
        <w:t>H</w:t>
      </w:r>
      <w:r w:rsidR="00412D3F" w:rsidRPr="00412D3F">
        <w:rPr>
          <w:rStyle w:val="s1"/>
          <w:rFonts w:asciiTheme="minorHAnsi" w:hAnsiTheme="minorHAnsi"/>
          <w:vertAlign w:val="subscript"/>
        </w:rPr>
        <w:t>19</w:t>
      </w:r>
      <w:r w:rsidR="00412D3F" w:rsidRPr="00412D3F">
        <w:rPr>
          <w:rStyle w:val="s1"/>
          <w:rFonts w:asciiTheme="minorHAnsi" w:hAnsiTheme="minorHAnsi"/>
        </w:rPr>
        <w:t>N</w:t>
      </w:r>
      <w:r w:rsidR="00412D3F" w:rsidRPr="00412D3F">
        <w:rPr>
          <w:rStyle w:val="s1"/>
          <w:rFonts w:asciiTheme="minorHAnsi" w:hAnsiTheme="minorHAnsi"/>
          <w:vertAlign w:val="subscript"/>
        </w:rPr>
        <w:t>3</w:t>
      </w:r>
      <w:r w:rsidR="00412D3F" w:rsidRPr="00412D3F">
        <w:rPr>
          <w:rStyle w:val="s1"/>
          <w:rFonts w:asciiTheme="minorHAnsi" w:hAnsiTheme="minorHAnsi"/>
        </w:rPr>
        <w:t>O</w:t>
      </w:r>
      <w:r w:rsidR="00412D3F" w:rsidRPr="00412D3F">
        <w:rPr>
          <w:rStyle w:val="s1"/>
          <w:rFonts w:asciiTheme="minorHAnsi" w:hAnsiTheme="minorHAnsi"/>
          <w:vertAlign w:val="subscript"/>
        </w:rPr>
        <w:t>3</w:t>
      </w:r>
      <w:r w:rsidR="00412D3F" w:rsidRPr="00412D3F">
        <w:rPr>
          <w:rStyle w:val="s1"/>
          <w:rFonts w:asciiTheme="minorHAnsi" w:hAnsiTheme="minorHAnsi"/>
        </w:rPr>
        <w:t>S</w:t>
      </w:r>
    </w:p>
    <w:p w:rsidR="005D40D3" w:rsidRPr="00412D3F" w:rsidRDefault="005D40D3" w:rsidP="00FE0038">
      <w:pPr>
        <w:spacing w:after="0" w:line="240" w:lineRule="auto"/>
        <w:jc w:val="both"/>
      </w:pPr>
      <w:r w:rsidRPr="00412D3F">
        <w:rPr>
          <w:u w:val="single"/>
        </w:rPr>
        <w:t>Peso molecolare</w:t>
      </w:r>
      <w:r w:rsidRPr="00412D3F">
        <w:t>:</w:t>
      </w:r>
      <w:r w:rsidRPr="00412D3F">
        <w:rPr>
          <w:rFonts w:cs="Arial"/>
          <w:color w:val="252525"/>
          <w:shd w:val="clear" w:color="auto" w:fill="F9F9F9"/>
        </w:rPr>
        <w:t xml:space="preserve"> </w:t>
      </w:r>
      <w:r w:rsidR="00412D3F" w:rsidRPr="00412D3F">
        <w:rPr>
          <w:rStyle w:val="s1"/>
          <w:rFonts w:asciiTheme="minorHAnsi" w:hAnsiTheme="minorHAnsi"/>
        </w:rPr>
        <w:t xml:space="preserve">345.4 </w:t>
      </w:r>
      <w:r w:rsidRPr="00412D3F">
        <w:rPr>
          <w:rStyle w:val="s1"/>
          <w:rFonts w:asciiTheme="minorHAnsi" w:hAnsiTheme="minorHAnsi"/>
        </w:rPr>
        <w:t>g/mol</w:t>
      </w:r>
    </w:p>
    <w:p w:rsidR="00A074BE" w:rsidRPr="00412D3F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412D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12D3F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412D3F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412D3F" w:rsidRPr="00412D3F">
        <w:rPr>
          <w:rStyle w:val="s1"/>
          <w:rFonts w:asciiTheme="minorHAnsi" w:hAnsiTheme="minorHAnsi"/>
          <w:b w:val="0"/>
          <w:sz w:val="22"/>
          <w:szCs w:val="22"/>
        </w:rPr>
        <w:t>73590-58-6</w:t>
      </w:r>
      <w:r w:rsidR="00A074BE" w:rsidRPr="00412D3F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412D3F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412D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412D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412D3F" w:rsidRDefault="005D40D3" w:rsidP="006E45EF">
      <w:pPr>
        <w:spacing w:after="0" w:line="240" w:lineRule="auto"/>
        <w:jc w:val="both"/>
      </w:pPr>
      <w:r w:rsidRPr="00412D3F">
        <w:rPr>
          <w:u w:val="single"/>
        </w:rPr>
        <w:t>Solubilità</w:t>
      </w:r>
      <w:r w:rsidRPr="00412D3F">
        <w:t xml:space="preserve">: </w:t>
      </w:r>
      <w:r w:rsidR="006E45EF" w:rsidRPr="00412D3F">
        <w:t>molto</w:t>
      </w:r>
      <w:r w:rsidR="00412D3F">
        <w:t xml:space="preserve"> poco</w:t>
      </w:r>
      <w:r w:rsidR="00EF4889">
        <w:t xml:space="preserve"> solubile in acqua, s</w:t>
      </w:r>
      <w:r w:rsidR="006E45EF" w:rsidRPr="00412D3F">
        <w:t>olubile in</w:t>
      </w:r>
      <w:r w:rsidR="00412D3F">
        <w:t xml:space="preserve"> metilene cloruro,</w:t>
      </w:r>
      <w:r w:rsidR="006E45EF" w:rsidRPr="00412D3F">
        <w:t xml:space="preserve"> </w:t>
      </w:r>
      <w:r w:rsidR="00412D3F">
        <w:t>poco solubile in etanolo 96% e metanolo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Polimorfism</w:t>
      </w:r>
      <w:r w:rsidR="00FE0038" w:rsidRPr="00A074BE">
        <w:rPr>
          <w:u w:val="single"/>
        </w:rPr>
        <w:t>o</w:t>
      </w:r>
      <w:r w:rsidR="00FE0038" w:rsidRPr="00A074BE">
        <w:t xml:space="preserve">: </w:t>
      </w:r>
      <w:proofErr w:type="spellStart"/>
      <w:r w:rsidR="00A539E9">
        <w:t>omeprazolo</w:t>
      </w:r>
      <w:proofErr w:type="spellEnd"/>
      <w:r w:rsidRPr="00A074BE">
        <w:rPr>
          <w:lang w:eastAsia="it-IT"/>
        </w:rPr>
        <w:t xml:space="preserve"> mostra polimorfismo</w:t>
      </w:r>
      <w:r w:rsidRPr="00A074BE">
        <w:t>.</w:t>
      </w:r>
    </w:p>
    <w:p w:rsidR="005D40D3" w:rsidRPr="00392554" w:rsidRDefault="005D40D3" w:rsidP="00FE0038">
      <w:pPr>
        <w:spacing w:after="0" w:line="240" w:lineRule="auto"/>
        <w:jc w:val="both"/>
        <w:rPr>
          <w:highlight w:val="yellow"/>
        </w:rPr>
      </w:pPr>
    </w:p>
    <w:p w:rsidR="00C17EFD" w:rsidRDefault="005D40D3" w:rsidP="00FE0038">
      <w:pPr>
        <w:spacing w:after="0" w:line="240" w:lineRule="auto"/>
        <w:jc w:val="both"/>
      </w:pPr>
      <w:r w:rsidRPr="00A074BE">
        <w:t xml:space="preserve">Il principio attivo </w:t>
      </w:r>
      <w:proofErr w:type="spellStart"/>
      <w:r w:rsidR="00A539E9">
        <w:t>omeprazolo</w:t>
      </w:r>
      <w:proofErr w:type="spellEnd"/>
      <w:r w:rsidRPr="00A074BE">
        <w:t xml:space="preserve"> </w:t>
      </w:r>
      <w:r w:rsidR="00C17EFD" w:rsidRPr="00845AF1">
        <w:t xml:space="preserve">è presente in Farmacopea Europea e il </w:t>
      </w:r>
      <w:proofErr w:type="spellStart"/>
      <w:r w:rsidR="00C17EFD" w:rsidRPr="00845AF1">
        <w:t>Direttorato</w:t>
      </w:r>
      <w:proofErr w:type="spellEnd"/>
      <w:r w:rsidR="00C17EFD" w:rsidRPr="00845AF1">
        <w:t xml:space="preserve"> Europeo per la Qualità dei Medicinali (</w:t>
      </w:r>
      <w:proofErr w:type="spellStart"/>
      <w:r w:rsidR="00C17EFD" w:rsidRPr="00845AF1">
        <w:rPr>
          <w:i/>
        </w:rPr>
        <w:t>European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Directorate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for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Quality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of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Medicnals</w:t>
      </w:r>
      <w:proofErr w:type="spellEnd"/>
      <w:r w:rsidR="00C17EFD" w:rsidRPr="00845AF1">
        <w:t xml:space="preserve"> – EDQM) ha rilasciato al produttore </w:t>
      </w:r>
      <w:r w:rsidR="00C17EFD">
        <w:t>due</w:t>
      </w:r>
      <w:r w:rsidR="00C17EFD" w:rsidRPr="00845AF1">
        <w:t xml:space="preserve"> certificat</w:t>
      </w:r>
      <w:r w:rsidR="00C17EFD">
        <w:t>i</w:t>
      </w:r>
      <w:r w:rsidR="00C17EFD" w:rsidRPr="00845AF1">
        <w:t xml:space="preserve"> di conformità alla Farmacopea Europea.</w:t>
      </w:r>
      <w:r w:rsidR="00C17EFD">
        <w:t xml:space="preserve">  </w:t>
      </w:r>
    </w:p>
    <w:p w:rsidR="00C17EFD" w:rsidRPr="00C17EFD" w:rsidRDefault="00C17EFD" w:rsidP="00C17EFD">
      <w:pPr>
        <w:spacing w:after="0" w:line="240" w:lineRule="auto"/>
        <w:jc w:val="both"/>
      </w:pPr>
      <w:r>
        <w:t xml:space="preserve">Tutti gli aspetti di qualità sono coperti dai due certificati di conformità; in un caso, il principio attivo è confezionato in due sacche di plastica poste in un contenitore esterno in fibra e il periodo di re-test è fissato </w:t>
      </w:r>
      <w:r w:rsidRPr="00C17EFD">
        <w:t xml:space="preserve">in 2 anni con conservazione in frigorifero (2-8°C); per il secondo certificato di conformità, il principio attivo è confezionato in sacche multistrato (polietilene tereftalato/alluminio/polietilene tereftalato/polietilene </w:t>
      </w:r>
      <w:r w:rsidR="000834DE" w:rsidRPr="00DA0B44">
        <w:t xml:space="preserve">poste in un contenitore esterno in cartone </w:t>
      </w:r>
      <w:r w:rsidRPr="00C17EFD">
        <w:t>e il periodo di re-test è fissato in 3 anni con conservazione in frigorifero (2-8°C).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A810A3" w:rsidRPr="00C17EFD" w:rsidRDefault="00A810A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II.2 PRODOTTO FINITO</w:t>
      </w:r>
    </w:p>
    <w:p w:rsidR="005D40D3" w:rsidRPr="00FB35EE" w:rsidRDefault="005D40D3" w:rsidP="00FB35EE">
      <w:pPr>
        <w:spacing w:after="0" w:line="240" w:lineRule="auto"/>
        <w:jc w:val="both"/>
        <w:rPr>
          <w:b/>
        </w:rPr>
      </w:pPr>
      <w:r w:rsidRPr="00FB35EE">
        <w:rPr>
          <w:b/>
        </w:rPr>
        <w:t>Descrizione e composizione</w:t>
      </w:r>
    </w:p>
    <w:p w:rsidR="005D40D3" w:rsidRPr="00FB35EE" w:rsidRDefault="00392554" w:rsidP="00FB35E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ABC</w:t>
      </w:r>
      <w:r w:rsidR="005D40D3" w:rsidRPr="00FB35EE">
        <w:rPr>
          <w:rFonts w:eastAsia="Calibri" w:cs="Calibri"/>
          <w:color w:val="000000"/>
          <w:lang w:eastAsia="it-IT"/>
        </w:rPr>
        <w:t xml:space="preserve"> è disponibile in </w:t>
      </w:r>
      <w:r w:rsidR="00A95D6A" w:rsidRPr="00FB35EE">
        <w:rPr>
          <w:rFonts w:eastAsia="Calibri" w:cs="Calibri"/>
          <w:color w:val="000000"/>
          <w:lang w:eastAsia="it-IT"/>
        </w:rPr>
        <w:t>capsule</w:t>
      </w:r>
      <w:r w:rsidR="00C17EFD" w:rsidRPr="00FB35EE">
        <w:rPr>
          <w:rFonts w:eastAsia="Calibri" w:cs="Calibri"/>
          <w:color w:val="000000"/>
          <w:lang w:eastAsia="it-IT"/>
        </w:rPr>
        <w:t xml:space="preserve"> rigide</w:t>
      </w:r>
      <w:r w:rsidR="005D40D3" w:rsidRPr="00FB35E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E0038" w:rsidRPr="00FB35EE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 w:rsidRPr="00FB35EE">
        <w:rPr>
          <w:rFonts w:eastAsia="Calibri" w:cs="Calibri"/>
          <w:color w:val="000000"/>
          <w:lang w:eastAsia="it-IT"/>
        </w:rPr>
        <w:t xml:space="preserve"> </w:t>
      </w:r>
      <w:r w:rsidR="005D40D3" w:rsidRPr="00FB35EE">
        <w:rPr>
          <w:rFonts w:eastAsia="Calibri" w:cs="Calibri"/>
          <w:color w:val="000000"/>
          <w:lang w:eastAsia="it-IT"/>
        </w:rPr>
        <w:t xml:space="preserve">contenenti </w:t>
      </w:r>
      <w:r w:rsidR="00FE0038" w:rsidRPr="00FB35EE">
        <w:rPr>
          <w:rFonts w:eastAsia="Calibri" w:cs="Calibri"/>
          <w:color w:val="000000"/>
          <w:lang w:eastAsia="it-IT"/>
        </w:rPr>
        <w:t>1</w:t>
      </w:r>
      <w:r w:rsidR="005D40D3" w:rsidRPr="00FB35EE">
        <w:rPr>
          <w:rFonts w:eastAsia="Calibri" w:cs="Calibri"/>
          <w:color w:val="000000"/>
          <w:lang w:eastAsia="it-IT"/>
        </w:rPr>
        <w:t>0 mg</w:t>
      </w:r>
      <w:r w:rsidR="00C17EFD" w:rsidRPr="00FB35EE">
        <w:rPr>
          <w:rFonts w:eastAsia="Calibri" w:cs="Calibri"/>
          <w:color w:val="000000"/>
          <w:lang w:eastAsia="it-IT"/>
        </w:rPr>
        <w:t>,</w:t>
      </w:r>
      <w:r w:rsidR="00FE0038" w:rsidRPr="00FB35EE">
        <w:rPr>
          <w:rFonts w:eastAsia="Calibri" w:cs="Calibri"/>
          <w:color w:val="000000"/>
          <w:lang w:eastAsia="it-IT"/>
        </w:rPr>
        <w:t xml:space="preserve"> 20 mg</w:t>
      </w:r>
      <w:r w:rsidR="00C17EFD" w:rsidRPr="00FB35EE">
        <w:rPr>
          <w:rFonts w:eastAsia="Calibri" w:cs="Calibri"/>
          <w:color w:val="000000"/>
          <w:lang w:eastAsia="it-IT"/>
        </w:rPr>
        <w:t xml:space="preserve"> e 40 mg</w:t>
      </w:r>
      <w:r w:rsidR="006E45EF" w:rsidRPr="00FB35EE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A539E9" w:rsidRPr="00FB35EE"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FB35EE">
        <w:rPr>
          <w:rFonts w:eastAsia="Calibri" w:cs="Calibri"/>
          <w:color w:val="000000"/>
          <w:lang w:eastAsia="it-IT"/>
        </w:rPr>
        <w:t>.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>Le capsule da 10 mg sono di gelatin</w:t>
      </w:r>
      <w:r w:rsidR="00353C2D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3, con la testa rossa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“10”.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 xml:space="preserve">Le capsule da </w:t>
      </w:r>
      <w:r>
        <w:rPr>
          <w:rFonts w:asciiTheme="minorHAnsi" w:hAnsiTheme="minorHAnsi"/>
          <w:sz w:val="22"/>
          <w:szCs w:val="22"/>
          <w:lang w:val="it-IT"/>
        </w:rPr>
        <w:t>2</w:t>
      </w:r>
      <w:r w:rsidRPr="00FB35EE">
        <w:rPr>
          <w:rFonts w:asciiTheme="minorHAnsi" w:hAnsiTheme="minorHAnsi"/>
          <w:sz w:val="22"/>
          <w:szCs w:val="22"/>
          <w:lang w:val="it-IT"/>
        </w:rPr>
        <w:t>0 mg sono di gelatin</w:t>
      </w:r>
      <w:r w:rsidR="00353C2D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</w:t>
      </w:r>
      <w:r>
        <w:rPr>
          <w:rFonts w:asciiTheme="minorHAnsi" w:hAnsiTheme="minorHAnsi"/>
          <w:sz w:val="22"/>
          <w:szCs w:val="22"/>
          <w:lang w:val="it-IT"/>
        </w:rPr>
        <w:t>2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, con la testa </w:t>
      </w:r>
      <w:r>
        <w:rPr>
          <w:rFonts w:asciiTheme="minorHAnsi" w:hAnsiTheme="minorHAnsi"/>
          <w:sz w:val="22"/>
          <w:szCs w:val="22"/>
          <w:lang w:val="it-IT"/>
        </w:rPr>
        <w:t>blu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“20”.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 xml:space="preserve">Le capsule da </w:t>
      </w:r>
      <w:r w:rsidR="000834DE">
        <w:rPr>
          <w:rFonts w:asciiTheme="minorHAnsi" w:hAnsiTheme="minorHAnsi"/>
          <w:sz w:val="22"/>
          <w:szCs w:val="22"/>
          <w:lang w:val="it-IT"/>
        </w:rPr>
        <w:t>4</w:t>
      </w:r>
      <w:r w:rsidRPr="00FB35EE">
        <w:rPr>
          <w:rFonts w:asciiTheme="minorHAnsi" w:hAnsiTheme="minorHAnsi"/>
          <w:sz w:val="22"/>
          <w:szCs w:val="22"/>
          <w:lang w:val="it-IT"/>
        </w:rPr>
        <w:t>0 mg sono di gelatin</w:t>
      </w:r>
      <w:r w:rsidR="00353C2D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</w:t>
      </w:r>
      <w:r>
        <w:rPr>
          <w:rFonts w:asciiTheme="minorHAnsi" w:hAnsiTheme="minorHAnsi"/>
          <w:sz w:val="22"/>
          <w:szCs w:val="22"/>
          <w:lang w:val="it-IT"/>
        </w:rPr>
        <w:t>0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, con la testa </w:t>
      </w:r>
      <w:r>
        <w:rPr>
          <w:rFonts w:asciiTheme="minorHAnsi" w:hAnsiTheme="minorHAnsi"/>
          <w:sz w:val="22"/>
          <w:szCs w:val="22"/>
          <w:lang w:val="it-IT"/>
        </w:rPr>
        <w:t>blu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“40”.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5D40D3" w:rsidRPr="00FB35EE" w:rsidRDefault="005D40D3" w:rsidP="00FB35EE">
      <w:pPr>
        <w:spacing w:after="0" w:line="240" w:lineRule="auto"/>
        <w:jc w:val="both"/>
      </w:pPr>
      <w:r w:rsidRPr="00FB35EE">
        <w:t>Gli eccipienti sono i seguenti:</w:t>
      </w:r>
    </w:p>
    <w:p w:rsidR="00FE0038" w:rsidRPr="00FB35EE" w:rsidRDefault="00A95D6A" w:rsidP="00FB35EE">
      <w:pPr>
        <w:tabs>
          <w:tab w:val="left" w:pos="0"/>
        </w:tabs>
        <w:spacing w:after="0" w:line="240" w:lineRule="auto"/>
        <w:jc w:val="both"/>
        <w:rPr>
          <w:bCs/>
          <w:i/>
          <w:u w:val="single"/>
        </w:rPr>
      </w:pPr>
      <w:r w:rsidRPr="00FB35EE">
        <w:rPr>
          <w:bCs/>
          <w:i/>
          <w:u w:val="single"/>
        </w:rPr>
        <w:t>capsule</w:t>
      </w:r>
      <w:r w:rsidR="00FE0038" w:rsidRPr="00FB35EE">
        <w:rPr>
          <w:bCs/>
          <w:i/>
          <w:u w:val="single"/>
        </w:rPr>
        <w:t xml:space="preserve"> 10 mg</w:t>
      </w:r>
    </w:p>
    <w:p w:rsidR="00C17EFD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bookmarkStart w:id="4" w:name="OLE_LINK47"/>
      <w:bookmarkStart w:id="5" w:name="OLE_LINK48"/>
      <w:r>
        <w:rPr>
          <w:i/>
          <w:noProof/>
        </w:rPr>
        <w:t>g</w:t>
      </w:r>
      <w:r w:rsidR="00C17EFD" w:rsidRPr="00FB35EE">
        <w:rPr>
          <w:i/>
          <w:noProof/>
        </w:rPr>
        <w:t>ranuli gastroresistenti</w:t>
      </w:r>
      <w:r w:rsidR="00C17EFD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</w:t>
      </w:r>
      <w:r w:rsidR="00FB35EE" w:rsidRPr="00FB35EE">
        <w:rPr>
          <w:noProof/>
        </w:rPr>
        <w:t>.</w:t>
      </w:r>
    </w:p>
    <w:p w:rsidR="00C17EFD" w:rsidRPr="00FB35EE" w:rsidRDefault="00C17EFD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="001213EB">
        <w:rPr>
          <w:noProof/>
        </w:rPr>
        <w:t>: ossido di ferro rosso (E172)</w:t>
      </w:r>
      <w:r w:rsidR="00FB35EE" w:rsidRPr="00FB35EE">
        <w:rPr>
          <w:noProof/>
        </w:rPr>
        <w:t>, e</w:t>
      </w:r>
      <w:r w:rsidRPr="00FB35EE">
        <w:rPr>
          <w:noProof/>
        </w:rPr>
        <w:t>ritrosina (E127)</w:t>
      </w:r>
      <w:r w:rsidR="00FB35EE" w:rsidRPr="00FB35EE">
        <w:rPr>
          <w:noProof/>
        </w:rPr>
        <w:t>, t</w:t>
      </w:r>
      <w:r w:rsidRPr="00FB35EE">
        <w:rPr>
          <w:noProof/>
        </w:rPr>
        <w:t>itanio diossido (E171)</w:t>
      </w:r>
      <w:r w:rsidR="00FB35EE" w:rsidRPr="00FB35EE">
        <w:rPr>
          <w:noProof/>
        </w:rPr>
        <w:t>, g</w:t>
      </w:r>
      <w:r w:rsidRPr="00FB35EE">
        <w:rPr>
          <w:noProof/>
        </w:rPr>
        <w:t>elatina</w:t>
      </w:r>
      <w:r w:rsidR="00FB35EE" w:rsidRPr="00FB35EE">
        <w:rPr>
          <w:noProof/>
        </w:rPr>
        <w:t>.</w:t>
      </w:r>
    </w:p>
    <w:p w:rsidR="00C17EFD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</w:t>
      </w:r>
      <w:r w:rsidR="00C17EFD" w:rsidRPr="00FB35EE">
        <w:rPr>
          <w:i/>
          <w:noProof/>
        </w:rPr>
        <w:t>orpo della capsula</w:t>
      </w:r>
      <w:r w:rsidRPr="00FB35EE">
        <w:rPr>
          <w:noProof/>
        </w:rPr>
        <w:t>: g</w:t>
      </w:r>
      <w:r w:rsidR="00C17EFD" w:rsidRPr="00FB35EE">
        <w:rPr>
          <w:noProof/>
        </w:rPr>
        <w:t>iallo di chinolina (E104)</w:t>
      </w:r>
      <w:r w:rsidRPr="00FB35EE">
        <w:rPr>
          <w:noProof/>
        </w:rPr>
        <w:t xml:space="preserve">, eritrosina (E127), </w:t>
      </w:r>
      <w:bookmarkStart w:id="6" w:name="OLE_LINK122"/>
      <w:bookmarkStart w:id="7" w:name="OLE_LINK123"/>
      <w:r w:rsidRPr="00FB35EE">
        <w:rPr>
          <w:noProof/>
        </w:rPr>
        <w:t>t</w:t>
      </w:r>
      <w:r w:rsidR="00C17EFD" w:rsidRPr="00FB35EE">
        <w:rPr>
          <w:noProof/>
        </w:rPr>
        <w:t>itanio diossido (E171)</w:t>
      </w:r>
      <w:bookmarkEnd w:id="6"/>
      <w:bookmarkEnd w:id="7"/>
      <w:r w:rsidRPr="00FB35EE">
        <w:rPr>
          <w:noProof/>
        </w:rPr>
        <w:t>, g</w:t>
      </w:r>
      <w:r w:rsidR="00C17EFD" w:rsidRPr="00FB35EE">
        <w:rPr>
          <w:noProof/>
        </w:rPr>
        <w:t>elatina</w:t>
      </w:r>
      <w:r w:rsidR="001213EB">
        <w:rPr>
          <w:noProof/>
        </w:rPr>
        <w:t>.</w:t>
      </w:r>
    </w:p>
    <w:p w:rsidR="00C17EFD" w:rsidRDefault="00C17EFD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="00FB35EE" w:rsidRPr="00FB35EE">
        <w:rPr>
          <w:noProof/>
        </w:rPr>
        <w:t xml:space="preserve">: </w:t>
      </w:r>
      <w:bookmarkStart w:id="8" w:name="OLE_LINK41"/>
      <w:bookmarkStart w:id="9" w:name="OLE_LINK42"/>
      <w:r w:rsidR="00FB35EE" w:rsidRPr="00FB35EE">
        <w:rPr>
          <w:noProof/>
        </w:rPr>
        <w:t>g</w:t>
      </w:r>
      <w:r w:rsidRPr="00FB35EE">
        <w:rPr>
          <w:noProof/>
        </w:rPr>
        <w:t>omma lacca</w:t>
      </w:r>
      <w:r w:rsidR="00FB35EE" w:rsidRPr="00FB35EE">
        <w:rPr>
          <w:noProof/>
        </w:rPr>
        <w:t>, p</w:t>
      </w:r>
      <w:r w:rsidRPr="00FB35EE">
        <w:rPr>
          <w:noProof/>
        </w:rPr>
        <w:t>ovidone</w:t>
      </w:r>
      <w:r w:rsidR="00FB35EE" w:rsidRPr="00FB35EE">
        <w:rPr>
          <w:noProof/>
        </w:rPr>
        <w:t>, g</w:t>
      </w:r>
      <w:r w:rsidRPr="00FB35EE">
        <w:rPr>
          <w:noProof/>
        </w:rPr>
        <w:t>licole propilenico</w:t>
      </w:r>
      <w:r w:rsidR="00FB35EE" w:rsidRPr="00FB35EE">
        <w:rPr>
          <w:noProof/>
        </w:rPr>
        <w:t>, s</w:t>
      </w:r>
      <w:r w:rsidRPr="00FB35EE">
        <w:rPr>
          <w:noProof/>
        </w:rPr>
        <w:t>odio idrossido</w:t>
      </w:r>
      <w:r w:rsidR="00FB35EE" w:rsidRPr="00FB35EE">
        <w:rPr>
          <w:noProof/>
        </w:rPr>
        <w:t>, t</w:t>
      </w:r>
      <w:r w:rsidRPr="00FB35EE">
        <w:rPr>
          <w:noProof/>
        </w:rPr>
        <w:t>itanio diossido (E171)</w:t>
      </w:r>
      <w:r w:rsidR="00FB35EE" w:rsidRPr="00FB35EE">
        <w:rPr>
          <w:noProof/>
        </w:rPr>
        <w:t>.</w:t>
      </w:r>
    </w:p>
    <w:p w:rsidR="000834DE" w:rsidRDefault="000834DE" w:rsidP="00FB35EE">
      <w:pPr>
        <w:suppressAutoHyphens/>
        <w:spacing w:after="0" w:line="240" w:lineRule="auto"/>
        <w:jc w:val="both"/>
        <w:rPr>
          <w:noProof/>
        </w:rPr>
      </w:pPr>
    </w:p>
    <w:p w:rsidR="000834DE" w:rsidRDefault="000834DE" w:rsidP="00FB35EE">
      <w:pPr>
        <w:suppressAutoHyphens/>
        <w:spacing w:after="0" w:line="240" w:lineRule="auto"/>
        <w:jc w:val="both"/>
        <w:rPr>
          <w:noProof/>
        </w:rPr>
      </w:pPr>
    </w:p>
    <w:p w:rsidR="000834DE" w:rsidRPr="00FB35EE" w:rsidRDefault="000834DE" w:rsidP="00FB35EE">
      <w:pPr>
        <w:suppressAutoHyphens/>
        <w:spacing w:after="0" w:line="240" w:lineRule="auto"/>
        <w:jc w:val="both"/>
        <w:rPr>
          <w:noProof/>
        </w:rPr>
      </w:pPr>
    </w:p>
    <w:bookmarkEnd w:id="4"/>
    <w:bookmarkEnd w:id="5"/>
    <w:bookmarkEnd w:id="8"/>
    <w:bookmarkEnd w:id="9"/>
    <w:p w:rsidR="00FE0038" w:rsidRPr="00FB35EE" w:rsidRDefault="00FE0038" w:rsidP="00FB35EE">
      <w:pPr>
        <w:tabs>
          <w:tab w:val="left" w:pos="0"/>
        </w:tabs>
        <w:spacing w:after="0" w:line="240" w:lineRule="auto"/>
        <w:ind w:hanging="567"/>
        <w:jc w:val="both"/>
        <w:rPr>
          <w:bCs/>
          <w:i/>
          <w:u w:val="single"/>
        </w:rPr>
      </w:pPr>
      <w:r w:rsidRPr="00FB35EE">
        <w:rPr>
          <w:bCs/>
        </w:rPr>
        <w:lastRenderedPageBreak/>
        <w:tab/>
      </w:r>
      <w:r w:rsidR="00A95D6A" w:rsidRPr="00FB35EE">
        <w:rPr>
          <w:bCs/>
          <w:i/>
          <w:u w:val="single"/>
        </w:rPr>
        <w:t>capsule</w:t>
      </w:r>
      <w:r w:rsidRPr="00FB35EE">
        <w:rPr>
          <w:bCs/>
          <w:i/>
          <w:u w:val="single"/>
        </w:rPr>
        <w:t xml:space="preserve"> 20 mg</w:t>
      </w:r>
    </w:p>
    <w:p w:rsidR="00FB35EE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r>
        <w:rPr>
          <w:i/>
          <w:noProof/>
        </w:rPr>
        <w:t>g</w:t>
      </w:r>
      <w:r w:rsidR="00FB35EE" w:rsidRPr="00FB35EE">
        <w:rPr>
          <w:i/>
          <w:noProof/>
        </w:rPr>
        <w:t>ranuli gastroresistenti</w:t>
      </w:r>
      <w:r w:rsidR="00FB35EE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Pr="00FB35EE">
        <w:rPr>
          <w:noProof/>
        </w:rPr>
        <w:t xml:space="preserve">: eritrosina </w:t>
      </w:r>
      <w:r w:rsidR="001213EB">
        <w:rPr>
          <w:noProof/>
        </w:rPr>
        <w:t>(E127), indigotina (E132)</w:t>
      </w:r>
      <w:r w:rsidRPr="00FB35EE">
        <w:rPr>
          <w:noProof/>
        </w:rPr>
        <w:t>, titanio diossido (E171), gelatina.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corpo della capsula</w:t>
      </w:r>
      <w:r w:rsidRPr="00FB35EE">
        <w:rPr>
          <w:noProof/>
        </w:rPr>
        <w:t>: giallo di chinolina (E104), eritrosina (E127), titanio diossido (E171), gelatina</w:t>
      </w:r>
      <w:r w:rsidR="001213EB">
        <w:rPr>
          <w:noProof/>
        </w:rPr>
        <w:t>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Pr="00FB35EE">
        <w:rPr>
          <w:noProof/>
        </w:rPr>
        <w:t>: gomma lacca, povidone, glicole propilenico, sodio idrossido, titanio diossido (E171).</w:t>
      </w:r>
    </w:p>
    <w:p w:rsidR="00FB35EE" w:rsidRPr="00FB35EE" w:rsidRDefault="0096052D" w:rsidP="00FB35EE">
      <w:pPr>
        <w:tabs>
          <w:tab w:val="left" w:pos="0"/>
        </w:tabs>
        <w:spacing w:after="0" w:line="240" w:lineRule="auto"/>
        <w:ind w:hanging="567"/>
        <w:jc w:val="both"/>
        <w:rPr>
          <w:bCs/>
          <w:i/>
          <w:u w:val="single"/>
        </w:rPr>
      </w:pPr>
      <w:r w:rsidRPr="00FB35EE">
        <w:rPr>
          <w:noProof/>
        </w:rPr>
        <w:tab/>
      </w:r>
      <w:r w:rsidR="00FB35EE" w:rsidRPr="00FB35EE">
        <w:rPr>
          <w:bCs/>
          <w:i/>
          <w:u w:val="single"/>
        </w:rPr>
        <w:t>capsule 40 mg</w:t>
      </w:r>
    </w:p>
    <w:p w:rsidR="00FB35EE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r>
        <w:rPr>
          <w:i/>
          <w:noProof/>
        </w:rPr>
        <w:t>g</w:t>
      </w:r>
      <w:r w:rsidR="00FB35EE" w:rsidRPr="00FB35EE">
        <w:rPr>
          <w:i/>
          <w:noProof/>
        </w:rPr>
        <w:t>ranuli gastroresistenti</w:t>
      </w:r>
      <w:r w:rsidR="00FB35EE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Pr="00FB35EE">
        <w:rPr>
          <w:noProof/>
        </w:rPr>
        <w:t>: eritrosina (E127), indigotina (E132), titanio diossido (E171), gelatina.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corpo della capsula</w:t>
      </w:r>
      <w:r w:rsidRPr="00FB35EE">
        <w:rPr>
          <w:noProof/>
        </w:rPr>
        <w:t>: giallo di chinolina (E104), eritrosina (E127), titanio diossido (E171), gelatina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Pr="00FB35EE">
        <w:rPr>
          <w:noProof/>
        </w:rPr>
        <w:t>: gomma lacca, povidone, glicole propilenico, sodio idrossido, titanio diossido (E171).</w:t>
      </w:r>
    </w:p>
    <w:p w:rsidR="001213EB" w:rsidRDefault="00FB35EE" w:rsidP="00FB35EE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B35EE">
        <w:rPr>
          <w:noProof/>
        </w:rPr>
        <w:tab/>
      </w:r>
      <w:r w:rsidR="005D40D3" w:rsidRPr="00FB35EE">
        <w:t>Tutti gli</w:t>
      </w:r>
      <w:r w:rsidR="005D40D3" w:rsidRPr="00C17EFD">
        <w:t xml:space="preserve"> eccipienti sono conformi alla relativa monografia di Farmacopea Europea, ad eccezione</w:t>
      </w:r>
      <w:r w:rsidR="00615C10" w:rsidRPr="00C17EFD">
        <w:t xml:space="preserve"> </w:t>
      </w:r>
      <w:r>
        <w:t xml:space="preserve">del </w:t>
      </w:r>
      <w:r w:rsidRPr="00FB35EE">
        <w:rPr>
          <w:noProof/>
        </w:rPr>
        <w:t>fosfato trisodio dodecaidrato</w:t>
      </w:r>
      <w:r>
        <w:rPr>
          <w:noProof/>
        </w:rPr>
        <w:t xml:space="preserve"> la cui monografia è presente nella Far</w:t>
      </w:r>
      <w:r w:rsidR="001213EB">
        <w:rPr>
          <w:noProof/>
        </w:rPr>
        <w:t xml:space="preserve">macopea degli Stati Uniti (USP) e dei coloranti </w:t>
      </w:r>
      <w:r w:rsidR="001213EB" w:rsidRPr="001213EB">
        <w:rPr>
          <w:noProof/>
        </w:rPr>
        <w:t>ossido di ferro rosso, eritrosina, giallo di chinolina, indigotina</w:t>
      </w:r>
      <w:r w:rsidR="001213EB">
        <w:rPr>
          <w:noProof/>
        </w:rPr>
        <w:t xml:space="preserve"> per i quali il produttore ha definito adeguatamente le specifiche di qualità.</w:t>
      </w:r>
    </w:p>
    <w:p w:rsidR="001213EB" w:rsidRDefault="001213EB" w:rsidP="001213EB">
      <w:pPr>
        <w:spacing w:after="0" w:line="240" w:lineRule="auto"/>
        <w:jc w:val="both"/>
        <w:rPr>
          <w:noProof/>
        </w:rPr>
      </w:pPr>
      <w:r w:rsidRPr="00F93450">
        <w:t xml:space="preserve">Il solo eccipiente di originale animale è </w:t>
      </w:r>
      <w:r>
        <w:t>la gelatina</w:t>
      </w:r>
      <w:r w:rsidRPr="00F93450">
        <w:t xml:space="preserve">; </w:t>
      </w:r>
      <w:r>
        <w:t xml:space="preserve">a tutti i produttori di gelatina utilizzati </w:t>
      </w:r>
      <w:r w:rsidRPr="00845AF1">
        <w:t xml:space="preserve">il </w:t>
      </w:r>
      <w:proofErr w:type="spellStart"/>
      <w:r w:rsidRPr="00845AF1">
        <w:t>Direttorato</w:t>
      </w:r>
      <w:proofErr w:type="spellEnd"/>
      <w:r w:rsidRPr="00845AF1">
        <w:t xml:space="preserve"> Europeo per la Qualità dei Medicinali (</w:t>
      </w:r>
      <w:proofErr w:type="spellStart"/>
      <w:r w:rsidRPr="00845AF1">
        <w:rPr>
          <w:i/>
        </w:rPr>
        <w:t>European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Directorate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for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Quality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of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Medicnals</w:t>
      </w:r>
      <w:proofErr w:type="spellEnd"/>
      <w:r w:rsidRPr="00845AF1">
        <w:t xml:space="preserve"> – EDQM) ha</w:t>
      </w:r>
      <w:r w:rsidR="000834DE">
        <w:t xml:space="preserve"> rilasciato</w:t>
      </w:r>
      <w:r w:rsidRPr="00845AF1">
        <w:t xml:space="preserve"> </w:t>
      </w:r>
      <w:r>
        <w:t>i</w:t>
      </w:r>
      <w:r w:rsidRPr="00845AF1">
        <w:t xml:space="preserve"> certificat</w:t>
      </w:r>
      <w:r>
        <w:t>i</w:t>
      </w:r>
      <w:r w:rsidRPr="00845AF1">
        <w:t xml:space="preserve"> di conformità alla Farmacopea Europea</w:t>
      </w:r>
      <w:r>
        <w:t xml:space="preserve"> che ne certificano la sicurezza d’uso.</w:t>
      </w:r>
      <w:r>
        <w:rPr>
          <w:noProof/>
        </w:rPr>
        <w:t xml:space="preserve"> </w:t>
      </w:r>
    </w:p>
    <w:p w:rsidR="005D40D3" w:rsidRDefault="005D40D3" w:rsidP="00C17EFD">
      <w:pPr>
        <w:spacing w:after="0" w:line="240" w:lineRule="auto"/>
        <w:jc w:val="both"/>
      </w:pPr>
      <w:r w:rsidRPr="00C17EFD">
        <w:t>Nessun eccipiente è ottenuto da organismi geneticamente modificati; non sono presenti eccipienti mai utilizzati nell’uomo.</w:t>
      </w:r>
    </w:p>
    <w:p w:rsidR="001213EB" w:rsidRPr="00C17EFD" w:rsidRDefault="001213EB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Sviluppo farmaceutico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dettagli dello sviluppo farmaceutico e questi sono stati ritenuti soddisfacenti.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 xml:space="preserve">Lo scopo era quello di ottenere un medicinale </w:t>
      </w:r>
      <w:proofErr w:type="spellStart"/>
      <w:r w:rsidRPr="00C17EFD">
        <w:t>bioequivalente</w:t>
      </w:r>
      <w:proofErr w:type="spellEnd"/>
      <w:r w:rsidRPr="00C17EFD">
        <w:t xml:space="preserve"> al medicinale di riferimento </w:t>
      </w:r>
      <w:proofErr w:type="spellStart"/>
      <w:r w:rsidR="00A539E9" w:rsidRPr="00C17EFD">
        <w:t>Losec</w:t>
      </w:r>
      <w:proofErr w:type="spellEnd"/>
      <w:r w:rsidRPr="00C17EFD">
        <w:t>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dati comparativi relativi al profilo di dissoluzione e al profilo di impurezze rispetto al medicinale di riferimento. I dati sono soddisfacenti.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 xml:space="preserve">Produzione 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una descrizione del metodo di produzione e la relativa flow-chart.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Specifiche del prodotto finito</w:t>
      </w:r>
    </w:p>
    <w:p w:rsidR="005D40D3" w:rsidRPr="00C97A20" w:rsidRDefault="005D40D3" w:rsidP="00C17EFD">
      <w:pPr>
        <w:spacing w:after="0" w:line="240" w:lineRule="auto"/>
        <w:jc w:val="both"/>
      </w:pPr>
      <w:r w:rsidRPr="00C17EFD">
        <w:t>So</w:t>
      </w:r>
      <w:r w:rsidRPr="00C97A20">
        <w:t>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5D40D3" w:rsidRDefault="00392554" w:rsidP="0096052D">
      <w:pPr>
        <w:spacing w:after="0" w:line="240" w:lineRule="auto"/>
        <w:jc w:val="both"/>
      </w:pPr>
      <w:proofErr w:type="spellStart"/>
      <w:r>
        <w:t>Omeprazolo</w:t>
      </w:r>
      <w:proofErr w:type="spellEnd"/>
      <w:r>
        <w:t xml:space="preserve"> ABC</w:t>
      </w:r>
      <w:r w:rsidR="005D40D3" w:rsidRPr="005D5D07">
        <w:t xml:space="preserve"> è confezionato in blister </w:t>
      </w:r>
      <w:r w:rsidR="005D5D07" w:rsidRPr="005D5D07">
        <w:t xml:space="preserve">di </w:t>
      </w:r>
      <w:r w:rsidR="00615C10" w:rsidRPr="00192251">
        <w:rPr>
          <w:noProof/>
        </w:rPr>
        <w:t>Al</w:t>
      </w:r>
      <w:r w:rsidR="00615C10">
        <w:rPr>
          <w:noProof/>
        </w:rPr>
        <w:t>luminio</w:t>
      </w:r>
      <w:r w:rsidR="00615C10" w:rsidRPr="00192251">
        <w:rPr>
          <w:noProof/>
        </w:rPr>
        <w:t>/Al</w:t>
      </w:r>
      <w:r w:rsidR="00615C10">
        <w:rPr>
          <w:noProof/>
        </w:rPr>
        <w:t>luminio</w:t>
      </w:r>
      <w:r w:rsidR="005D40D3" w:rsidRPr="005D5D07">
        <w:t>. Sono state fornite specifiche e certificati analitici per tutti i componenti del confezionamento primario, che è adeguato per il medicinale.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5D40D3" w:rsidRPr="00C97A20" w:rsidRDefault="005D40D3" w:rsidP="005D40D3">
      <w:pPr>
        <w:spacing w:after="0" w:line="240" w:lineRule="auto"/>
        <w:jc w:val="both"/>
      </w:pPr>
      <w:r w:rsidRPr="005D5D0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D5D07" w:rsidRPr="005D5D07">
        <w:t>2</w:t>
      </w:r>
      <w:r w:rsidR="000834DE">
        <w:t xml:space="preserve"> anni</w:t>
      </w:r>
      <w:r w:rsidRPr="005D5D07">
        <w:t xml:space="preserve"> </w:t>
      </w:r>
      <w:r w:rsidR="005D5D07" w:rsidRPr="005D5D07">
        <w:t>con</w:t>
      </w:r>
      <w:r w:rsidRPr="005D5D07">
        <w:t xml:space="preserve"> conservazione</w:t>
      </w:r>
      <w:r w:rsidR="005D5D07" w:rsidRPr="005D5D07">
        <w:t xml:space="preserve"> a temperatura inferiore a </w:t>
      </w:r>
      <w:r w:rsidR="001213EB">
        <w:t>30</w:t>
      </w:r>
      <w:r w:rsidR="005D5D07" w:rsidRPr="005D5D07">
        <w:t>°C</w:t>
      </w:r>
      <w:r w:rsidR="00615C10">
        <w:t xml:space="preserve"> ed al riparo d</w:t>
      </w:r>
      <w:r w:rsidR="000834DE">
        <w:t>a</w:t>
      </w:r>
      <w:r w:rsidR="00615C10">
        <w:t>ll’umidità</w:t>
      </w:r>
      <w:r w:rsidR="005D5D07" w:rsidRPr="005D5D07">
        <w:t>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5D40D3" w:rsidRDefault="005D40D3" w:rsidP="005D40D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è considerata adeguata. Non ci sono obiezioni per l’approvazione di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dal punto di vista chimico-farmaceutico.</w:t>
      </w:r>
    </w:p>
    <w:p w:rsidR="002D28AC" w:rsidRDefault="002D28AC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5D40D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contiene un principio attivo noto: questo approccio è accettabile poiché il medicinale di riferimento </w:t>
      </w:r>
      <w:proofErr w:type="spellStart"/>
      <w:r w:rsidR="00A539E9">
        <w:t>Losec</w:t>
      </w:r>
      <w:proofErr w:type="spellEnd"/>
      <w:r>
        <w:t xml:space="preserve"> è autorizzato in Italia da oltre 10 anni.</w:t>
      </w:r>
    </w:p>
    <w:p w:rsidR="005D40D3" w:rsidRDefault="005D40D3" w:rsidP="005D40D3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5A38F5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5530D" w:rsidRPr="00C43444" w:rsidRDefault="00392554" w:rsidP="0045530D">
      <w:pPr>
        <w:spacing w:after="0" w:line="240" w:lineRule="auto"/>
        <w:rPr>
          <w:rFonts w:ascii="Calibri" w:hAnsi="Calibri"/>
        </w:rPr>
      </w:pPr>
      <w:proofErr w:type="spellStart"/>
      <w:r>
        <w:t>Omeprazolo</w:t>
      </w:r>
      <w:proofErr w:type="spellEnd"/>
      <w:r>
        <w:t xml:space="preserve"> ABC</w:t>
      </w:r>
      <w:r w:rsidR="005D40D3">
        <w:t xml:space="preserve"> </w:t>
      </w:r>
      <w:r w:rsidR="005D40D3" w:rsidRPr="00A34141">
        <w:t>è utilizzato</w:t>
      </w:r>
      <w:r w:rsidR="0045530D" w:rsidRPr="00C43444">
        <w:rPr>
          <w:rFonts w:ascii="Calibri" w:hAnsi="Calibri"/>
        </w:rPr>
        <w:t>:</w:t>
      </w:r>
    </w:p>
    <w:p w:rsidR="001213EB" w:rsidRPr="00A539E9" w:rsidRDefault="001213EB" w:rsidP="001213EB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</w:t>
      </w:r>
      <w:r>
        <w:t>ttamento delle ulcere duodenali e p</w:t>
      </w:r>
      <w:r w:rsidRPr="00CB3350">
        <w:t>revenzione del</w:t>
      </w:r>
      <w:r>
        <w:t>le recidive;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</w:t>
      </w:r>
      <w:r>
        <w:t>striche e p</w:t>
      </w:r>
      <w:r w:rsidRPr="00CB3350">
        <w:t>revenzione del</w:t>
      </w:r>
      <w:r>
        <w:t>le recidive;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 xml:space="preserve">Eradicazione di </w:t>
      </w:r>
      <w:proofErr w:type="spellStart"/>
      <w:r w:rsidRPr="00CB3350">
        <w:rPr>
          <w:i/>
        </w:rPr>
        <w:t>Helicobacter</w:t>
      </w:r>
      <w:proofErr w:type="spellEnd"/>
      <w:r w:rsidRPr="00CB3350">
        <w:rPr>
          <w:i/>
        </w:rPr>
        <w:t xml:space="preserve">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 xml:space="preserve"> (H.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>)</w:t>
      </w:r>
      <w:r w:rsidRPr="00CB3350">
        <w:t xml:space="preserve"> nell’ulcera peptica, in associazione a </w:t>
      </w:r>
      <w:r>
        <w:t>terapia antibiotica appropriata;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gastriche e duodenali associate all’assunzione di FANS</w:t>
      </w:r>
      <w:r>
        <w:t>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Prevenzione delle ulcere gastriche e duodenali associate all’assunzion</w:t>
      </w:r>
      <w:r>
        <w:t>e di FANS in pazienti a rischio;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</w:t>
      </w:r>
      <w:r>
        <w:t>ento dell’esofagite da reflusso;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Gestione a lungo termine dei pazienti con eso</w:t>
      </w:r>
      <w:r>
        <w:t>fagite da reflusso cicatrizzata;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della malattia sintomat</w:t>
      </w:r>
      <w:r>
        <w:t xml:space="preserve">ica da reflusso </w:t>
      </w:r>
      <w:proofErr w:type="spellStart"/>
      <w:r>
        <w:t>gastro-esofageo</w:t>
      </w:r>
      <w:proofErr w:type="spellEnd"/>
      <w:r>
        <w:t>;</w:t>
      </w:r>
    </w:p>
    <w:p w:rsidR="001213EB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</w:t>
      </w:r>
      <w:r>
        <w:t xml:space="preserve">a sindrome di </w:t>
      </w:r>
      <w:proofErr w:type="spellStart"/>
      <w:r>
        <w:t>Zollinger-Ellison</w:t>
      </w:r>
      <w:proofErr w:type="spellEnd"/>
      <w:r>
        <w:t>;</w:t>
      </w:r>
    </w:p>
    <w:p w:rsidR="001213EB" w:rsidRPr="00412D3F" w:rsidRDefault="001213EB" w:rsidP="001213EB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dell’ulcera duodenale causata da </w:t>
      </w:r>
      <w:r w:rsidRPr="00CB3350">
        <w:rPr>
          <w:i/>
        </w:rPr>
        <w:t xml:space="preserve">H. </w:t>
      </w:r>
      <w:proofErr w:type="spellStart"/>
      <w:r w:rsidRPr="00CB3350">
        <w:rPr>
          <w:i/>
        </w:rPr>
        <w:t>pylori</w:t>
      </w:r>
      <w:proofErr w:type="spellEnd"/>
      <w:r w:rsidRPr="00CB3350">
        <w:t>, in ass</w:t>
      </w:r>
      <w:r>
        <w:t>ociazione a terapia antibiotica;</w:t>
      </w:r>
    </w:p>
    <w:p w:rsidR="001213EB" w:rsidRPr="00412D3F" w:rsidRDefault="001213EB" w:rsidP="001213EB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dell’esofagite da reflusso.</w:t>
      </w:r>
    </w:p>
    <w:p w:rsidR="001213EB" w:rsidRPr="00CB3350" w:rsidRDefault="001213EB" w:rsidP="000C1599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sintomatico della pirosi e del rigurgito acido nella malattia da reflusso </w:t>
      </w:r>
      <w:proofErr w:type="spellStart"/>
      <w:r w:rsidRPr="00CB3350">
        <w:t>gastro-esofageo</w:t>
      </w:r>
      <w:proofErr w:type="spellEnd"/>
      <w:r w:rsidRPr="00CB3350">
        <w:t>.</w:t>
      </w:r>
    </w:p>
    <w:p w:rsidR="001213EB" w:rsidRDefault="001213EB" w:rsidP="005D40D3">
      <w:pPr>
        <w:spacing w:after="0" w:line="240" w:lineRule="auto"/>
        <w:ind w:right="6"/>
        <w:jc w:val="both"/>
        <w:rPr>
          <w:b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A539E9">
        <w:t>omeprazolo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5D4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5D40D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A539E9">
        <w:t>omeprazolo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A539E9">
        <w:t>Losec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6556D6" w:rsidRDefault="005D40D3" w:rsidP="005D40D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AD03DF" w:rsidRPr="00C65A12" w:rsidRDefault="00AD03DF" w:rsidP="00AD03DF">
      <w:pPr>
        <w:spacing w:after="0" w:line="240" w:lineRule="auto"/>
        <w:jc w:val="both"/>
      </w:pPr>
      <w:r w:rsidRPr="00C65A12">
        <w:t xml:space="preserve">La richiesta di AIC è supportata da uno studio di bioequivalenza che ha confrontato i profili farmacocinetici di </w:t>
      </w:r>
      <w:proofErr w:type="spellStart"/>
      <w:r w:rsidRPr="00C65A12">
        <w:t>Omeprazolo</w:t>
      </w:r>
      <w:proofErr w:type="spellEnd"/>
      <w:r w:rsidRPr="00C65A12">
        <w:t xml:space="preserve"> </w:t>
      </w:r>
      <w:r w:rsidR="00995D3F">
        <w:t>ABC</w:t>
      </w:r>
      <w:r w:rsidRPr="00C65A12">
        <w:t xml:space="preserve"> e quelli del medicinale di riferimento </w:t>
      </w:r>
      <w:proofErr w:type="spellStart"/>
      <w:r w:rsidRPr="00C65A12">
        <w:rPr>
          <w:bCs/>
        </w:rPr>
        <w:t>Losec</w:t>
      </w:r>
      <w:proofErr w:type="spellEnd"/>
      <w:r w:rsidRPr="00C65A12">
        <w:t>.</w:t>
      </w: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</w:pPr>
      <w:r w:rsidRPr="00C65A12">
        <w:t>Lo studio era caratterizzato da un appropriato disegno ed è stato condotto in accordo ai principi GCP. Sono stati forniti certificati analitici per medicinale test e medicinale di riferimento.</w:t>
      </w:r>
    </w:p>
    <w:p w:rsidR="00AD03DF" w:rsidRPr="00C65A12" w:rsidRDefault="00AD03DF" w:rsidP="00AD03DF">
      <w:pPr>
        <w:spacing w:after="0" w:line="240" w:lineRule="auto"/>
        <w:jc w:val="both"/>
      </w:pPr>
      <w:r w:rsidRPr="00C65A12">
        <w:t>Lo studio di bioequivalenza è stato condotto, su 36 volontari sani di entrambi i sessi, in due fasi:</w:t>
      </w:r>
    </w:p>
    <w:p w:rsidR="00AD03DF" w:rsidRPr="00C65A12" w:rsidRDefault="00AD03DF" w:rsidP="00AD03DF">
      <w:pPr>
        <w:pStyle w:val="Paragrafoelenco"/>
        <w:numPr>
          <w:ilvl w:val="0"/>
          <w:numId w:val="8"/>
        </w:numPr>
        <w:spacing w:after="0" w:line="240" w:lineRule="auto"/>
        <w:ind w:left="426" w:hanging="284"/>
        <w:jc w:val="both"/>
      </w:pPr>
      <w:r w:rsidRPr="00C65A12">
        <w:t xml:space="preserve">nella prima fase è stato utilizzato un disegno di studio comparativo in replicato, randomizzato, con somministrazione di una dose singola a stomaco pieno, 4 periodi,  cross </w:t>
      </w:r>
      <w:proofErr w:type="spellStart"/>
      <w:r w:rsidRPr="00C65A12">
        <w:t>over</w:t>
      </w:r>
      <w:proofErr w:type="spellEnd"/>
      <w:r w:rsidR="00995D3F">
        <w:t>;</w:t>
      </w:r>
    </w:p>
    <w:p w:rsidR="00AD03DF" w:rsidRPr="00C65A12" w:rsidRDefault="00AD03DF" w:rsidP="00AD03DF">
      <w:pPr>
        <w:pStyle w:val="Paragrafoelenco"/>
        <w:numPr>
          <w:ilvl w:val="0"/>
          <w:numId w:val="8"/>
        </w:numPr>
        <w:spacing w:after="0" w:line="240" w:lineRule="auto"/>
        <w:ind w:left="426" w:hanging="284"/>
        <w:jc w:val="both"/>
      </w:pPr>
      <w:r w:rsidRPr="00C65A12">
        <w:t>nella seconda fase è stata utilizzato un disegno di studio comparativo, randomizzato, con somministrazione di  dose singola (1 x 40 mg) a digiuno, 2</w:t>
      </w:r>
      <w:r w:rsidR="000834DE">
        <w:t xml:space="preserve"> </w:t>
      </w:r>
      <w:r w:rsidRPr="00C65A12">
        <w:t xml:space="preserve">periodi, crossover. </w:t>
      </w:r>
    </w:p>
    <w:p w:rsidR="00AD03DF" w:rsidRPr="00C65A12" w:rsidRDefault="00AD03DF" w:rsidP="00AD03DF">
      <w:pPr>
        <w:spacing w:after="0" w:line="240" w:lineRule="auto"/>
        <w:jc w:val="both"/>
      </w:pPr>
      <w:r w:rsidRPr="00C65A12">
        <w:t xml:space="preserve">Un soddisfacente periodo di wash-out di </w:t>
      </w:r>
      <w:r w:rsidRPr="00C65A12">
        <w:rPr>
          <w:rFonts w:cs="Arial"/>
        </w:rPr>
        <w:t>7 giorni è stato previsto tra le somministrazioni in ogni gruppo.</w:t>
      </w: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65A12">
        <w:rPr>
          <w:rFonts w:cs="Arial"/>
        </w:rPr>
        <w:t>Campioni di sangue sono stati prelevati al tempo zero (</w:t>
      </w:r>
      <w:proofErr w:type="spellStart"/>
      <w:r w:rsidRPr="00C65A12">
        <w:rPr>
          <w:rFonts w:cs="Arial"/>
        </w:rPr>
        <w:t>pre-dose</w:t>
      </w:r>
      <w:proofErr w:type="spellEnd"/>
      <w:r w:rsidRPr="00C65A12">
        <w:rPr>
          <w:rFonts w:cs="Arial"/>
        </w:rPr>
        <w:t>) e a specificati tempi fino a 24 ore dopo la somministrazione per la prima fase e fino a 14 ore per la seconda fase. I livelli plasmatici dei due principi attivi sono stati determinati mediante un metodo analitico HPLC-MS-MS opportunamente convalidato.</w:t>
      </w: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65A12">
        <w:rPr>
          <w:rFonts w:cs="Arial"/>
        </w:rPr>
        <w:lastRenderedPageBreak/>
        <w:t xml:space="preserve">Le variabili farmacocinetiche definite per i due studi sono state: </w:t>
      </w:r>
      <w:proofErr w:type="spellStart"/>
      <w:r w:rsidRPr="00C65A12">
        <w:rPr>
          <w:rFonts w:cs="Arial"/>
        </w:rPr>
        <w:t>C</w:t>
      </w:r>
      <w:r w:rsidRPr="00C65A12">
        <w:rPr>
          <w:rFonts w:cs="Arial"/>
          <w:vertAlign w:val="subscript"/>
        </w:rPr>
        <w:t>max</w:t>
      </w:r>
      <w:proofErr w:type="spellEnd"/>
      <w:r w:rsidRPr="00C65A12">
        <w:rPr>
          <w:rFonts w:cs="Arial"/>
        </w:rPr>
        <w:t>, AUC</w:t>
      </w:r>
      <w:r w:rsidRPr="00C65A12">
        <w:rPr>
          <w:rFonts w:cs="Arial"/>
          <w:vertAlign w:val="subscript"/>
        </w:rPr>
        <w:t>0-t</w:t>
      </w:r>
      <w:r w:rsidRPr="00C65A12">
        <w:rPr>
          <w:rFonts w:cs="Arial"/>
        </w:rPr>
        <w:t>,, AUC</w:t>
      </w:r>
      <w:r w:rsidRPr="00C65A12">
        <w:rPr>
          <w:rFonts w:cs="Arial"/>
          <w:vertAlign w:val="subscript"/>
        </w:rPr>
        <w:t>0-</w:t>
      </w:r>
      <w:r w:rsidRPr="00C65A12">
        <w:rPr>
          <w:rFonts w:cs="Arial"/>
          <w:vertAlign w:val="subscript"/>
          <w:lang w:val="en-GB"/>
        </w:rPr>
        <w:sym w:font="Symbol" w:char="00A5"/>
      </w:r>
      <w:r w:rsidRPr="00C65A12">
        <w:rPr>
          <w:rFonts w:cs="Arial"/>
        </w:rPr>
        <w:t xml:space="preserve">, </w:t>
      </w:r>
      <w:proofErr w:type="spellStart"/>
      <w:r w:rsidRPr="00C65A12">
        <w:rPr>
          <w:rFonts w:cs="Arial"/>
        </w:rPr>
        <w:t>t</w:t>
      </w:r>
      <w:r w:rsidRPr="00C65A12">
        <w:rPr>
          <w:rFonts w:cs="Arial"/>
          <w:vertAlign w:val="subscript"/>
        </w:rPr>
        <w:t>max</w:t>
      </w:r>
      <w:proofErr w:type="spellEnd"/>
      <w:r w:rsidRPr="00C65A12">
        <w:rPr>
          <w:rFonts w:cs="Arial"/>
        </w:rPr>
        <w:t xml:space="preserve">, </w:t>
      </w:r>
      <w:proofErr w:type="spellStart"/>
      <w:r w:rsidRPr="00C65A12">
        <w:rPr>
          <w:rFonts w:cs="Arial"/>
        </w:rPr>
        <w:t>t½</w:t>
      </w:r>
      <w:proofErr w:type="spellEnd"/>
      <w:r w:rsidRPr="00C65A12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C65A12">
        <w:rPr>
          <w:rFonts w:cs="Arial"/>
        </w:rPr>
        <w:t>C</w:t>
      </w:r>
      <w:r w:rsidRPr="00C65A12">
        <w:rPr>
          <w:rFonts w:cs="Arial"/>
          <w:vertAlign w:val="subscript"/>
        </w:rPr>
        <w:t>max</w:t>
      </w:r>
      <w:proofErr w:type="spellEnd"/>
      <w:r w:rsidR="000834DE">
        <w:rPr>
          <w:rFonts w:cs="Arial"/>
          <w:vertAlign w:val="subscript"/>
        </w:rPr>
        <w:t xml:space="preserve"> </w:t>
      </w:r>
      <w:r w:rsidRPr="00C65A12">
        <w:rPr>
          <w:rFonts w:cs="Arial"/>
        </w:rPr>
        <w:t>e AUC</w:t>
      </w:r>
      <w:r w:rsidRPr="00C65A12">
        <w:rPr>
          <w:rFonts w:cs="Arial"/>
          <w:vertAlign w:val="subscript"/>
        </w:rPr>
        <w:t>0-t</w:t>
      </w:r>
      <w:r w:rsidRPr="00C65A12">
        <w:rPr>
          <w:rFonts w:cs="Arial"/>
        </w:rPr>
        <w:t xml:space="preserve"> cadono nel </w:t>
      </w:r>
      <w:proofErr w:type="spellStart"/>
      <w:r w:rsidRPr="00C65A12">
        <w:rPr>
          <w:rFonts w:cs="Arial"/>
        </w:rPr>
        <w:t>range</w:t>
      </w:r>
      <w:proofErr w:type="spellEnd"/>
      <w:r w:rsidRPr="00C65A12">
        <w:rPr>
          <w:rFonts w:cs="Arial"/>
        </w:rPr>
        <w:t xml:space="preserve"> di accettabilità di 0.80-1.25 (80%-125%).</w:t>
      </w: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C65A12">
        <w:rPr>
          <w:u w:val="single"/>
        </w:rPr>
        <w:t>Risultati</w:t>
      </w:r>
    </w:p>
    <w:p w:rsidR="00AD03DF" w:rsidRPr="00C65A12" w:rsidRDefault="00AD03DF" w:rsidP="00AD03DF">
      <w:pPr>
        <w:spacing w:after="0" w:line="240" w:lineRule="auto"/>
        <w:jc w:val="both"/>
      </w:pPr>
      <w:r w:rsidRPr="00C65A12">
        <w:rPr>
          <w:rFonts w:cs="Arial"/>
        </w:rPr>
        <w:t xml:space="preserve">36 volontari sani sono stati arruolati nello studio. </w:t>
      </w:r>
      <w:r w:rsidRPr="00C65A12">
        <w:t>36</w:t>
      </w:r>
      <w:r w:rsidR="000834DE">
        <w:t xml:space="preserve"> </w:t>
      </w:r>
      <w:r w:rsidRPr="00C65A12">
        <w:t xml:space="preserve">soggetti hanno completato </w:t>
      </w:r>
      <w:r>
        <w:t xml:space="preserve">la </w:t>
      </w:r>
      <w:r w:rsidRPr="00C65A12">
        <w:t>fase clinica e sono stati analizzati nella prima fase dello studio</w:t>
      </w:r>
      <w:r>
        <w:t>,</w:t>
      </w:r>
      <w:r w:rsidRPr="00C65A12">
        <w:t xml:space="preserve"> mentre 35 soggetti hanno completato la seconda fase dello studio e sono stati analizzati.</w:t>
      </w:r>
    </w:p>
    <w:p w:rsidR="00AD03DF" w:rsidRPr="00C65A12" w:rsidRDefault="00AD03DF" w:rsidP="00AD03DF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AD03DF" w:rsidRPr="00C65A12" w:rsidRDefault="00AD03DF" w:rsidP="00AD03D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C65A12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AD03DF" w:rsidRPr="00C65A12" w:rsidRDefault="00AD03DF" w:rsidP="00AD03DF">
      <w:pPr>
        <w:spacing w:after="0" w:line="240" w:lineRule="auto"/>
        <w:jc w:val="both"/>
      </w:pPr>
      <w:r w:rsidRPr="00C65A12">
        <w:rPr>
          <w:rFonts w:cs="Arial"/>
        </w:rPr>
        <w:t>Nel corso dello studio, non sono stati riscontrati</w:t>
      </w:r>
      <w:r w:rsidRPr="00C65A12">
        <w:t xml:space="preserve"> eventi avversi correlati con le formulazioni in studio.</w:t>
      </w:r>
    </w:p>
    <w:p w:rsidR="00AD03DF" w:rsidRPr="00C65A12" w:rsidRDefault="00AD03DF" w:rsidP="00AD03DF">
      <w:pPr>
        <w:spacing w:after="0" w:line="240" w:lineRule="auto"/>
        <w:rPr>
          <w:highlight w:val="cyan"/>
        </w:rPr>
      </w:pPr>
    </w:p>
    <w:p w:rsidR="00AD03DF" w:rsidRPr="00C65A12" w:rsidRDefault="00AD03DF" w:rsidP="00AD03D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C65A12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C65A12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AD03DF" w:rsidRDefault="00AD03DF" w:rsidP="00AD03D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C65A12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AD03DF" w:rsidRPr="00C65A12" w:rsidRDefault="00AD03DF" w:rsidP="00AD03DF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3"/>
        <w:gridCol w:w="1794"/>
        <w:gridCol w:w="2052"/>
        <w:gridCol w:w="1950"/>
        <w:gridCol w:w="1936"/>
      </w:tblGrid>
      <w:tr w:rsidR="00AD03DF" w:rsidRPr="00C65A12" w:rsidTr="00145B36">
        <w:trPr>
          <w:jc w:val="center"/>
        </w:trPr>
        <w:tc>
          <w:tcPr>
            <w:tcW w:w="8755" w:type="dxa"/>
            <w:gridSpan w:val="5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65A12">
              <w:rPr>
                <w:b/>
                <w:bCs/>
                <w:sz w:val="20"/>
                <w:szCs w:val="20"/>
              </w:rPr>
              <w:t xml:space="preserve">OMEPRAZOLO </w:t>
            </w:r>
          </w:p>
        </w:tc>
      </w:tr>
      <w:tr w:rsidR="00AD03DF" w:rsidRPr="00C65A12" w:rsidTr="00145B36">
        <w:trPr>
          <w:jc w:val="center"/>
        </w:trPr>
        <w:tc>
          <w:tcPr>
            <w:tcW w:w="8755" w:type="dxa"/>
            <w:gridSpan w:val="5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65A12">
              <w:rPr>
                <w:b/>
                <w:bCs/>
                <w:sz w:val="20"/>
                <w:szCs w:val="20"/>
              </w:rPr>
              <w:t>FASE I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 xml:space="preserve">Test </w:t>
            </w:r>
            <w:r w:rsidRPr="00C65A1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65A12">
              <w:rPr>
                <w:b/>
                <w:sz w:val="20"/>
                <w:szCs w:val="20"/>
              </w:rPr>
              <w:t>Reference</w:t>
            </w:r>
            <w:proofErr w:type="spellEnd"/>
            <w:r w:rsidRPr="00C65A12">
              <w:rPr>
                <w:b/>
                <w:sz w:val="20"/>
                <w:szCs w:val="20"/>
              </w:rPr>
              <w:t xml:space="preserve"> </w:t>
            </w:r>
            <w:r w:rsidRPr="00C65A1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C65A12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90% C.I.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AUC</w:t>
            </w:r>
            <w:r w:rsidRPr="00C65A1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 xml:space="preserve">           1251.60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1332.70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93.91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  <w:lang w:val="en-GB"/>
              </w:rPr>
              <w:t>88.59 – 99.56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AUC</w:t>
            </w:r>
            <w:r w:rsidRPr="00C65A1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1305.10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</w:rPr>
              <w:t>1354.70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94.34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  <w:lang w:val="en-GB"/>
              </w:rPr>
              <w:t>89.08 – 99.92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65A12">
              <w:rPr>
                <w:b/>
                <w:sz w:val="20"/>
                <w:szCs w:val="20"/>
              </w:rPr>
              <w:t>C</w:t>
            </w:r>
            <w:r w:rsidRPr="00C65A12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530.57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566.74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93.62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  <w:lang w:val="en-GB"/>
              </w:rPr>
              <w:t xml:space="preserve">  84.58 -  103.62</w:t>
            </w:r>
          </w:p>
        </w:tc>
      </w:tr>
      <w:tr w:rsidR="00AD03DF" w:rsidRPr="00C65A12" w:rsidTr="00145B36">
        <w:trPr>
          <w:jc w:val="center"/>
        </w:trPr>
        <w:tc>
          <w:tcPr>
            <w:tcW w:w="8755" w:type="dxa"/>
            <w:gridSpan w:val="5"/>
            <w:vAlign w:val="center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FASE II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 xml:space="preserve">Test </w:t>
            </w:r>
            <w:r w:rsidRPr="00C65A1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65A12">
              <w:rPr>
                <w:b/>
                <w:sz w:val="20"/>
                <w:szCs w:val="20"/>
              </w:rPr>
              <w:t>Reference</w:t>
            </w:r>
            <w:proofErr w:type="spellEnd"/>
            <w:r w:rsidRPr="00C65A12">
              <w:rPr>
                <w:b/>
                <w:sz w:val="20"/>
                <w:szCs w:val="20"/>
              </w:rPr>
              <w:t xml:space="preserve"> </w:t>
            </w:r>
            <w:r w:rsidRPr="00C65A1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C65A12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90% C.I.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AUC</w:t>
            </w:r>
            <w:r w:rsidRPr="00C65A1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1492.30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1601.45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93.91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  <w:lang w:val="en-GB"/>
              </w:rPr>
              <w:t>88.33 – 98.24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65A12">
              <w:rPr>
                <w:b/>
                <w:sz w:val="20"/>
                <w:szCs w:val="20"/>
              </w:rPr>
              <w:t>AUC</w:t>
            </w:r>
            <w:r w:rsidRPr="00C65A1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1513.60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1619.04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94.34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  <w:lang w:val="en-GB"/>
              </w:rPr>
              <w:t>88.60 – 98.57</w:t>
            </w:r>
          </w:p>
        </w:tc>
      </w:tr>
      <w:tr w:rsidR="00AD03DF" w:rsidRPr="00C65A12" w:rsidTr="00145B36">
        <w:trPr>
          <w:jc w:val="center"/>
        </w:trPr>
        <w:tc>
          <w:tcPr>
            <w:tcW w:w="119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C65A12">
              <w:rPr>
                <w:b/>
                <w:sz w:val="20"/>
                <w:szCs w:val="20"/>
              </w:rPr>
              <w:t>C</w:t>
            </w:r>
            <w:r w:rsidRPr="00C65A12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764.90</w:t>
            </w:r>
          </w:p>
        </w:tc>
        <w:tc>
          <w:tcPr>
            <w:tcW w:w="20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bCs/>
                <w:sz w:val="20"/>
                <w:szCs w:val="20"/>
                <w:lang w:eastAsia="it-IT"/>
              </w:rPr>
              <w:t>858.86</w:t>
            </w:r>
          </w:p>
        </w:tc>
        <w:tc>
          <w:tcPr>
            <w:tcW w:w="1906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93.62</w:t>
            </w:r>
          </w:p>
        </w:tc>
        <w:tc>
          <w:tcPr>
            <w:tcW w:w="1893" w:type="dxa"/>
            <w:vAlign w:val="bottom"/>
          </w:tcPr>
          <w:p w:rsidR="00AD03DF" w:rsidRPr="00C65A12" w:rsidRDefault="00AD03DF" w:rsidP="00145B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5A12">
              <w:rPr>
                <w:sz w:val="20"/>
                <w:szCs w:val="20"/>
              </w:rPr>
              <w:t>80.07 -  99.07</w:t>
            </w:r>
          </w:p>
        </w:tc>
      </w:tr>
    </w:tbl>
    <w:p w:rsidR="00AD03DF" w:rsidRPr="00C65A12" w:rsidRDefault="00AD03DF" w:rsidP="00AD03DF">
      <w:pPr>
        <w:spacing w:after="0" w:line="240" w:lineRule="auto"/>
        <w:rPr>
          <w:highlight w:val="cyan"/>
        </w:rPr>
      </w:pPr>
    </w:p>
    <w:p w:rsidR="00AD03DF" w:rsidRPr="00C65A12" w:rsidRDefault="00AD03DF" w:rsidP="00AD03DF">
      <w:pPr>
        <w:spacing w:after="0" w:line="240" w:lineRule="auto"/>
        <w:rPr>
          <w:rFonts w:cs="Arial"/>
        </w:rPr>
      </w:pPr>
      <w:r w:rsidRPr="00C65A12">
        <w:rPr>
          <w:rFonts w:cs="Arial"/>
          <w:i/>
        </w:rPr>
        <w:t>Conclusioni sulla bioequivalenza</w:t>
      </w:r>
      <w:r w:rsidRPr="00C65A12">
        <w:rPr>
          <w:rFonts w:cs="Arial"/>
        </w:rPr>
        <w:t>.</w:t>
      </w:r>
    </w:p>
    <w:p w:rsidR="00AD03DF" w:rsidRPr="00C65A12" w:rsidRDefault="00AD03DF" w:rsidP="00AD03DF">
      <w:pPr>
        <w:spacing w:after="0" w:line="240" w:lineRule="auto"/>
        <w:jc w:val="both"/>
        <w:rPr>
          <w:rFonts w:cs="Arial"/>
        </w:rPr>
      </w:pPr>
      <w:r w:rsidRPr="00C65A12">
        <w:rPr>
          <w:rFonts w:cs="Arial"/>
        </w:rPr>
        <w:t xml:space="preserve">I risultati </w:t>
      </w:r>
      <w:r>
        <w:rPr>
          <w:rFonts w:cs="Arial"/>
        </w:rPr>
        <w:t>dello studio</w:t>
      </w:r>
      <w:r w:rsidRPr="00C65A12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C65A12">
        <w:rPr>
          <w:rFonts w:cs="Arial"/>
        </w:rPr>
        <w:t>range</w:t>
      </w:r>
      <w:proofErr w:type="spellEnd"/>
      <w:r w:rsidRPr="00C65A12">
        <w:rPr>
          <w:rFonts w:cs="Arial"/>
        </w:rPr>
        <w:t xml:space="preserve"> di accettabilità di 80-125%, in accordo con le linee guida correnti.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5D40D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92554">
        <w:rPr>
          <w:rFonts w:cs="Arial"/>
        </w:rPr>
        <w:t>Omeprazolo</w:t>
      </w:r>
      <w:proofErr w:type="spellEnd"/>
      <w:r w:rsidR="00392554">
        <w:rPr>
          <w:rFonts w:cs="Arial"/>
        </w:rPr>
        <w:t xml:space="preserve"> ABC</w:t>
      </w:r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92554">
        <w:t>Omeprazolo</w:t>
      </w:r>
      <w:proofErr w:type="spellEnd"/>
      <w:r w:rsidR="00392554">
        <w:t xml:space="preserve"> ABC</w:t>
      </w:r>
      <w:r w:rsidRPr="00D1324F">
        <w:t>.</w:t>
      </w:r>
    </w:p>
    <w:p w:rsidR="009A4B52" w:rsidRDefault="009A4B52" w:rsidP="009A4B52">
      <w:pPr>
        <w:pStyle w:val="Paragrafoelenco"/>
        <w:spacing w:after="0" w:line="240" w:lineRule="auto"/>
        <w:ind w:left="0"/>
        <w:jc w:val="both"/>
      </w:pPr>
      <w:r w:rsidRPr="00820466">
        <w:t>Il riassunto delle problematiche di sicurezza è riportato nella tabella seguente.</w:t>
      </w:r>
    </w:p>
    <w:p w:rsidR="00820466" w:rsidRPr="00E812E0" w:rsidRDefault="00820466" w:rsidP="00820466">
      <w:pPr>
        <w:pStyle w:val="Paragrafoelenco"/>
        <w:spacing w:after="0" w:line="240" w:lineRule="auto"/>
        <w:ind w:left="0"/>
        <w:jc w:val="both"/>
      </w:pPr>
    </w:p>
    <w:tbl>
      <w:tblPr>
        <w:tblW w:w="4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2957"/>
        <w:gridCol w:w="5976"/>
      </w:tblGrid>
      <w:tr w:rsidR="00820466" w:rsidRPr="00984E3F" w:rsidTr="00820466">
        <w:trPr>
          <w:trHeight w:val="2261"/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820466" w:rsidRPr="00E812E0" w:rsidRDefault="00820466" w:rsidP="00B2262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820466" w:rsidRPr="00BE0B11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  <w:lang w:val="it-IT"/>
              </w:rPr>
              <w:t>Ipomagnesemia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820466" w:rsidRPr="00897AB7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Frattura di anca, polso e vertebre </w:t>
            </w:r>
          </w:p>
          <w:p w:rsidR="00820466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Riduzione della biodisponibilità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atazanavir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 altri medicinali per HIV</w:t>
            </w:r>
          </w:p>
          <w:p w:rsidR="00820466" w:rsidRPr="00897AB7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Ridotto assorbimento di vitamina B12</w:t>
            </w:r>
          </w:p>
          <w:p w:rsidR="00820466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Infezioni gastrointesti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n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ali </w:t>
            </w:r>
          </w:p>
          <w:p w:rsidR="00820466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Modifica dell’assorbimento di medicinali con biodisponibilità dipendente dal pH gastrico</w:t>
            </w:r>
          </w:p>
          <w:p w:rsidR="00820466" w:rsidRPr="00897AB7" w:rsidRDefault="00820466" w:rsidP="00B2262F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Vertigini e disturbi della vista</w:t>
            </w:r>
          </w:p>
          <w:p w:rsidR="00820466" w:rsidRPr="00897AB7" w:rsidRDefault="00820466" w:rsidP="00820466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highlight w:val="green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Aumento dei livelli plasmatici di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metotressato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per u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so concomitante</w:t>
            </w:r>
          </w:p>
        </w:tc>
      </w:tr>
      <w:tr w:rsidR="00820466" w:rsidRPr="00E812E0" w:rsidTr="00820466">
        <w:trPr>
          <w:trHeight w:val="732"/>
          <w:jc w:val="center"/>
        </w:trPr>
        <w:tc>
          <w:tcPr>
            <w:tcW w:w="165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20466" w:rsidRPr="00820466" w:rsidRDefault="00820466" w:rsidP="00B2262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0466" w:rsidRPr="00820466" w:rsidRDefault="00820466" w:rsidP="00820466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>Ipersensibilità</w:t>
            </w:r>
          </w:p>
          <w:p w:rsidR="00820466" w:rsidRPr="00820466" w:rsidRDefault="00820466" w:rsidP="00820466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Aumento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dell’attività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di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>warfarin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altri inibitori di vitamina K per uso concomitante</w:t>
            </w:r>
          </w:p>
          <w:p w:rsidR="00820466" w:rsidRPr="00820466" w:rsidRDefault="00820466" w:rsidP="00820466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Diminuzione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dell’attività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di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it-IT"/>
              </w:rPr>
              <w:t>clopidogrel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per uso concomitante</w:t>
            </w:r>
          </w:p>
        </w:tc>
      </w:tr>
      <w:tr w:rsidR="00820466" w:rsidRPr="00E812E0" w:rsidTr="00820466">
        <w:trPr>
          <w:jc w:val="center"/>
        </w:trPr>
        <w:tc>
          <w:tcPr>
            <w:tcW w:w="165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20466" w:rsidRPr="00E812E0" w:rsidRDefault="00820466" w:rsidP="00B2262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0466" w:rsidRPr="00E812E0" w:rsidRDefault="00820466" w:rsidP="00B2262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highlight w:val="green"/>
                <w:lang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NA</w:t>
            </w:r>
          </w:p>
        </w:tc>
      </w:tr>
    </w:tbl>
    <w:p w:rsidR="00820466" w:rsidRPr="00E812E0" w:rsidRDefault="00820466" w:rsidP="00820466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820466" w:rsidRDefault="00820466" w:rsidP="005D40D3">
      <w:pPr>
        <w:pStyle w:val="Paragrafoelenco"/>
        <w:spacing w:after="0" w:line="240" w:lineRule="auto"/>
        <w:ind w:left="0"/>
        <w:jc w:val="both"/>
        <w:rPr>
          <w:b/>
        </w:rPr>
      </w:pPr>
    </w:p>
    <w:p w:rsidR="005D40D3" w:rsidRPr="002E4DCB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sono state presentate sufficienti informazioni cliniche.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è considerato favorevole dal punto di vista clinico.</w:t>
      </w:r>
    </w:p>
    <w:p w:rsidR="00EA5E1B" w:rsidRDefault="00EA5E1B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BC23ED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>
      <w:pPr>
        <w:spacing w:after="0" w:line="240" w:lineRule="auto"/>
        <w:jc w:val="both"/>
      </w:pPr>
      <w:r>
        <w:t xml:space="preserve">La qualità di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è accettabile e non sono state rilevate criticità da un punto di vista non clinico e clinico.</w:t>
      </w:r>
    </w:p>
    <w:p w:rsidR="005D40D3" w:rsidRDefault="005D40D3" w:rsidP="005D40D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392554">
        <w:t>Omeprazolo</w:t>
      </w:r>
      <w:proofErr w:type="spellEnd"/>
      <w:r w:rsidR="00392554">
        <w:t xml:space="preserve"> ABC</w:t>
      </w:r>
      <w:r>
        <w:t xml:space="preserve"> e il medicinale di riferimento </w:t>
      </w:r>
      <w:proofErr w:type="spellStart"/>
      <w:r w:rsidR="00A539E9">
        <w:t>Losec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5D40D3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5D40D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834DE"/>
    <w:rsid w:val="000C1599"/>
    <w:rsid w:val="000D2743"/>
    <w:rsid w:val="000F68AA"/>
    <w:rsid w:val="0010050E"/>
    <w:rsid w:val="00111E9E"/>
    <w:rsid w:val="0011250C"/>
    <w:rsid w:val="001213EB"/>
    <w:rsid w:val="00180C71"/>
    <w:rsid w:val="001F6B4A"/>
    <w:rsid w:val="00226F04"/>
    <w:rsid w:val="00227B21"/>
    <w:rsid w:val="00234A08"/>
    <w:rsid w:val="002457BF"/>
    <w:rsid w:val="00246D26"/>
    <w:rsid w:val="00265055"/>
    <w:rsid w:val="00265222"/>
    <w:rsid w:val="002665E1"/>
    <w:rsid w:val="00266832"/>
    <w:rsid w:val="002D14D6"/>
    <w:rsid w:val="002D28AC"/>
    <w:rsid w:val="002E21C3"/>
    <w:rsid w:val="002E485B"/>
    <w:rsid w:val="0030639B"/>
    <w:rsid w:val="00353C2D"/>
    <w:rsid w:val="00364274"/>
    <w:rsid w:val="00392554"/>
    <w:rsid w:val="00412D3F"/>
    <w:rsid w:val="00417711"/>
    <w:rsid w:val="00423C21"/>
    <w:rsid w:val="004241AC"/>
    <w:rsid w:val="0043573D"/>
    <w:rsid w:val="00452364"/>
    <w:rsid w:val="0045530D"/>
    <w:rsid w:val="004638D9"/>
    <w:rsid w:val="00494C07"/>
    <w:rsid w:val="00497AD3"/>
    <w:rsid w:val="004A1685"/>
    <w:rsid w:val="004B20A8"/>
    <w:rsid w:val="004C0190"/>
    <w:rsid w:val="00532645"/>
    <w:rsid w:val="005345E1"/>
    <w:rsid w:val="005C4E37"/>
    <w:rsid w:val="005D40D3"/>
    <w:rsid w:val="005D5D07"/>
    <w:rsid w:val="005E7072"/>
    <w:rsid w:val="005F461F"/>
    <w:rsid w:val="006124C0"/>
    <w:rsid w:val="00615C10"/>
    <w:rsid w:val="00634EC6"/>
    <w:rsid w:val="00667E02"/>
    <w:rsid w:val="006842F2"/>
    <w:rsid w:val="0069320E"/>
    <w:rsid w:val="006B7CBD"/>
    <w:rsid w:val="006E45EF"/>
    <w:rsid w:val="0070121F"/>
    <w:rsid w:val="00716B36"/>
    <w:rsid w:val="00763EA7"/>
    <w:rsid w:val="007E322A"/>
    <w:rsid w:val="00802A3C"/>
    <w:rsid w:val="00820466"/>
    <w:rsid w:val="00874733"/>
    <w:rsid w:val="00874CF7"/>
    <w:rsid w:val="008838B7"/>
    <w:rsid w:val="00896A9B"/>
    <w:rsid w:val="008C0569"/>
    <w:rsid w:val="008E5353"/>
    <w:rsid w:val="008E77F3"/>
    <w:rsid w:val="00902ADE"/>
    <w:rsid w:val="009229DB"/>
    <w:rsid w:val="00930722"/>
    <w:rsid w:val="0096052D"/>
    <w:rsid w:val="00995D3F"/>
    <w:rsid w:val="009A260F"/>
    <w:rsid w:val="009A4B52"/>
    <w:rsid w:val="009B03DB"/>
    <w:rsid w:val="009B4C3D"/>
    <w:rsid w:val="00A05212"/>
    <w:rsid w:val="00A074BE"/>
    <w:rsid w:val="00A1005E"/>
    <w:rsid w:val="00A2546E"/>
    <w:rsid w:val="00A40FF3"/>
    <w:rsid w:val="00A444AF"/>
    <w:rsid w:val="00A512BC"/>
    <w:rsid w:val="00A539E9"/>
    <w:rsid w:val="00A810A3"/>
    <w:rsid w:val="00A95D6A"/>
    <w:rsid w:val="00AB7D5C"/>
    <w:rsid w:val="00AD03DF"/>
    <w:rsid w:val="00B178DE"/>
    <w:rsid w:val="00B2045A"/>
    <w:rsid w:val="00B67AD3"/>
    <w:rsid w:val="00B9627D"/>
    <w:rsid w:val="00BA7D67"/>
    <w:rsid w:val="00BB7C7D"/>
    <w:rsid w:val="00BC6F1B"/>
    <w:rsid w:val="00BC73E1"/>
    <w:rsid w:val="00BC74C2"/>
    <w:rsid w:val="00BE2992"/>
    <w:rsid w:val="00BE585E"/>
    <w:rsid w:val="00C17EFD"/>
    <w:rsid w:val="00C40523"/>
    <w:rsid w:val="00CC7AFF"/>
    <w:rsid w:val="00CD1A01"/>
    <w:rsid w:val="00CD7E91"/>
    <w:rsid w:val="00CF3FA3"/>
    <w:rsid w:val="00D14DCB"/>
    <w:rsid w:val="00D20170"/>
    <w:rsid w:val="00D53871"/>
    <w:rsid w:val="00D65D56"/>
    <w:rsid w:val="00DA2434"/>
    <w:rsid w:val="00DA2745"/>
    <w:rsid w:val="00E31665"/>
    <w:rsid w:val="00E32F64"/>
    <w:rsid w:val="00E43089"/>
    <w:rsid w:val="00E45DC9"/>
    <w:rsid w:val="00E6728C"/>
    <w:rsid w:val="00E8264F"/>
    <w:rsid w:val="00E83104"/>
    <w:rsid w:val="00E83F8D"/>
    <w:rsid w:val="00EA5E1B"/>
    <w:rsid w:val="00EB7D1C"/>
    <w:rsid w:val="00EF062E"/>
    <w:rsid w:val="00EF4889"/>
    <w:rsid w:val="00F03BDB"/>
    <w:rsid w:val="00F44547"/>
    <w:rsid w:val="00F66767"/>
    <w:rsid w:val="00F97B34"/>
    <w:rsid w:val="00FA2702"/>
    <w:rsid w:val="00FB35EE"/>
    <w:rsid w:val="00FD7CE5"/>
    <w:rsid w:val="00FE0038"/>
    <w:rsid w:val="00FE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0834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34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34D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17</cp:revision>
  <dcterms:created xsi:type="dcterms:W3CDTF">2015-08-05T10:20:00Z</dcterms:created>
  <dcterms:modified xsi:type="dcterms:W3CDTF">2015-09-29T09:28:00Z</dcterms:modified>
</cp:coreProperties>
</file>