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BC6F1B" w:rsidRDefault="00BC6F1B" w:rsidP="00BC6F1B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C6F1B" w:rsidRDefault="00BC6F1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5D40D3" w:rsidRDefault="00A539E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OPSARDEX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A539E9">
        <w:rPr>
          <w:snapToGrid w:val="0"/>
        </w:rPr>
        <w:t>Ome</w:t>
      </w:r>
      <w:r w:rsidR="00452364">
        <w:rPr>
          <w:snapToGrid w:val="0"/>
        </w:rPr>
        <w:t>prazolo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A539E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Pharmacare</w:t>
      </w:r>
      <w:proofErr w:type="spellEnd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76ADA" w:rsidRPr="00062636" w:rsidRDefault="00076ADA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A539E9">
        <w:rPr>
          <w:rFonts w:cs="Helvetica"/>
          <w:b/>
        </w:rPr>
        <w:t>043499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5D40D3" w:rsidRDefault="005D40D3" w:rsidP="005D40D3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</w:p>
    <w:p w:rsidR="005D40D3" w:rsidRDefault="005D40D3" w:rsidP="005D40D3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</w:p>
    <w:p w:rsidR="005D40D3" w:rsidRPr="0033523E" w:rsidRDefault="005D40D3" w:rsidP="005D40D3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33523E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5D40D3" w:rsidRDefault="005D40D3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A539E9">
        <w:rPr>
          <w:rFonts w:eastAsia="Calibri" w:cs="Calibri"/>
          <w:color w:val="000000"/>
          <w:lang w:eastAsia="it-IT"/>
        </w:rPr>
        <w:t>Opsardex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A539E9">
        <w:rPr>
          <w:rFonts w:eastAsia="Calibri" w:cs="Calibri"/>
          <w:color w:val="000000"/>
          <w:lang w:eastAsia="it-IT"/>
        </w:rPr>
        <w:t>Opsardex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9B4C3D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A539E9">
        <w:rPr>
          <w:rFonts w:eastAsia="Calibri" w:cs="Calibri"/>
          <w:color w:val="000000"/>
          <w:lang w:eastAsia="it-IT"/>
        </w:rPr>
        <w:t>Opsardex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A539E9">
        <w:rPr>
          <w:rFonts w:eastAsia="Calibri" w:cs="Calibri"/>
          <w:color w:val="000000"/>
          <w:lang w:eastAsia="it-IT"/>
        </w:rPr>
        <w:t>Opsardex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A539E9">
        <w:rPr>
          <w:rFonts w:eastAsia="Calibri" w:cs="Calibri"/>
          <w:b/>
          <w:bCs/>
          <w:color w:val="000000"/>
          <w:lang w:eastAsia="it-IT"/>
        </w:rPr>
        <w:t>Opsardex</w:t>
      </w:r>
      <w:proofErr w:type="spellEnd"/>
      <w:r w:rsidR="00E83F8D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B83350" w:rsidRPr="002A3F14">
        <w:rPr>
          <w:rFonts w:eastAsia="Calibri" w:cs="Calibri"/>
          <w:b/>
          <w:bCs/>
          <w:color w:val="000000"/>
          <w:lang w:eastAsia="it-IT"/>
        </w:rPr>
        <w:t>E A COSA SERVE</w:t>
      </w:r>
      <w:r w:rsidRPr="002A3F14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452364" w:rsidRDefault="00A539E9" w:rsidP="00452364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Opsardex</w:t>
      </w:r>
      <w:proofErr w:type="spellEnd"/>
      <w:r w:rsidR="00E83F8D" w:rsidRPr="00E83F8D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E83F8D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E83F8D">
        <w:rPr>
          <w:rFonts w:eastAsia="Calibri" w:cs="Calibri"/>
          <w:color w:val="000000"/>
          <w:lang w:eastAsia="it-IT"/>
        </w:rPr>
        <w:t>i</w:t>
      </w:r>
      <w:r w:rsidR="00E83F8D" w:rsidRPr="00E83F8D">
        <w:rPr>
          <w:rFonts w:eastAsia="Calibri" w:cs="Calibri"/>
          <w:color w:val="000000"/>
          <w:lang w:eastAsia="it-IT"/>
        </w:rPr>
        <w:t>l</w:t>
      </w:r>
      <w:r w:rsidR="004241AC" w:rsidRPr="00E83F8D">
        <w:rPr>
          <w:rFonts w:eastAsia="Calibri" w:cs="Calibri"/>
          <w:color w:val="000000"/>
          <w:lang w:eastAsia="it-IT"/>
        </w:rPr>
        <w:t xml:space="preserve"> principi</w:t>
      </w:r>
      <w:r w:rsidR="00E83F8D" w:rsidRPr="00E83F8D">
        <w:rPr>
          <w:rFonts w:eastAsia="Calibri" w:cs="Calibri"/>
          <w:color w:val="000000"/>
          <w:lang w:eastAsia="it-IT"/>
        </w:rPr>
        <w:t>o</w:t>
      </w:r>
      <w:r w:rsidR="004241AC" w:rsidRPr="00E83F8D">
        <w:rPr>
          <w:rFonts w:eastAsia="Calibri" w:cs="Calibri"/>
          <w:color w:val="000000"/>
          <w:lang w:eastAsia="it-IT"/>
        </w:rPr>
        <w:t xml:space="preserve"> attiv</w:t>
      </w:r>
      <w:r w:rsidR="00E83F8D" w:rsidRPr="00E83F8D">
        <w:rPr>
          <w:rFonts w:eastAsia="Calibri" w:cs="Calibri"/>
          <w:color w:val="000000"/>
          <w:lang w:eastAsia="it-IT"/>
        </w:rPr>
        <w:t>o</w:t>
      </w:r>
      <w:r w:rsidR="004241AC" w:rsidRPr="00E83F8D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omeprazolo</w:t>
      </w:r>
      <w:proofErr w:type="spellEnd"/>
      <w:r w:rsidR="00076ADA">
        <w:rPr>
          <w:rFonts w:eastAsia="Calibri" w:cs="Calibri"/>
          <w:color w:val="000000"/>
          <w:lang w:eastAsia="it-IT"/>
        </w:rPr>
        <w:t xml:space="preserve"> ed </w:t>
      </w:r>
      <w:r w:rsidR="004241AC" w:rsidRPr="00452364">
        <w:rPr>
          <w:rFonts w:eastAsia="Calibri" w:cs="Calibri"/>
          <w:color w:val="000000"/>
          <w:lang w:eastAsia="it-IT"/>
        </w:rPr>
        <w:t xml:space="preserve">è disponibile in </w:t>
      </w:r>
      <w:r>
        <w:rPr>
          <w:rFonts w:eastAsia="Calibri" w:cs="Calibri"/>
          <w:color w:val="000000"/>
          <w:lang w:eastAsia="it-IT"/>
        </w:rPr>
        <w:t>capsule rigide</w:t>
      </w:r>
      <w:r w:rsidR="004241AC" w:rsidRPr="00452364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874733">
        <w:rPr>
          <w:rFonts w:eastAsia="Calibri" w:cs="Calibri"/>
          <w:color w:val="000000"/>
          <w:lang w:eastAsia="it-IT"/>
        </w:rPr>
        <w:t>gastroresistenti</w:t>
      </w:r>
      <w:proofErr w:type="spellEnd"/>
      <w:r w:rsidR="00874733">
        <w:rPr>
          <w:rFonts w:eastAsia="Calibri" w:cs="Calibri"/>
          <w:color w:val="000000"/>
          <w:lang w:eastAsia="it-IT"/>
        </w:rPr>
        <w:t xml:space="preserve"> </w:t>
      </w:r>
      <w:r w:rsidR="004241AC" w:rsidRPr="00452364">
        <w:rPr>
          <w:rFonts w:eastAsia="Calibri" w:cs="Calibri"/>
          <w:color w:val="000000"/>
          <w:lang w:eastAsia="it-IT"/>
        </w:rPr>
        <w:t>contenenti diversi dosaggi de</w:t>
      </w:r>
      <w:r w:rsidR="00E83F8D" w:rsidRPr="00452364">
        <w:rPr>
          <w:rFonts w:eastAsia="Calibri" w:cs="Calibri"/>
          <w:color w:val="000000"/>
          <w:lang w:eastAsia="it-IT"/>
        </w:rPr>
        <w:t>l</w:t>
      </w:r>
      <w:r w:rsidR="004241AC" w:rsidRPr="00452364">
        <w:rPr>
          <w:rFonts w:eastAsia="Calibri" w:cs="Calibri"/>
          <w:color w:val="000000"/>
          <w:lang w:eastAsia="it-IT"/>
        </w:rPr>
        <w:t xml:space="preserve"> principi</w:t>
      </w:r>
      <w:r w:rsidR="00E83F8D" w:rsidRPr="00452364">
        <w:rPr>
          <w:rFonts w:eastAsia="Calibri" w:cs="Calibri"/>
          <w:color w:val="000000"/>
          <w:lang w:eastAsia="it-IT"/>
        </w:rPr>
        <w:t>o attivo:</w:t>
      </w:r>
      <w:r w:rsidR="004241AC" w:rsidRPr="00452364">
        <w:t xml:space="preserve"> </w:t>
      </w:r>
      <w:r w:rsidR="00452364">
        <w:rPr>
          <w:rFonts w:cs="Helvetica"/>
        </w:rPr>
        <w:t>10</w:t>
      </w:r>
      <w:r w:rsidR="00062636" w:rsidRPr="00452364">
        <w:rPr>
          <w:rFonts w:cs="Helvetica"/>
        </w:rPr>
        <w:t xml:space="preserve"> mg, </w:t>
      </w:r>
      <w:r w:rsidR="00452364">
        <w:rPr>
          <w:rFonts w:cs="Helvetica"/>
        </w:rPr>
        <w:t>2</w:t>
      </w:r>
      <w:r w:rsidR="00E83F8D" w:rsidRPr="00452364">
        <w:rPr>
          <w:rFonts w:cs="Helvetica"/>
        </w:rPr>
        <w:t>0</w:t>
      </w:r>
      <w:r w:rsidR="00452364">
        <w:rPr>
          <w:rFonts w:cs="Helvetica"/>
        </w:rPr>
        <w:t xml:space="preserve"> mg</w:t>
      </w:r>
      <w:r>
        <w:rPr>
          <w:rFonts w:cs="Helvetica"/>
        </w:rPr>
        <w:t>, 40 mg</w:t>
      </w:r>
      <w:r w:rsidR="004241AC" w:rsidRPr="00452364">
        <w:t>.</w:t>
      </w:r>
    </w:p>
    <w:p w:rsidR="00D65D56" w:rsidRDefault="00A539E9" w:rsidP="00A539E9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Opsardex</w:t>
      </w:r>
      <w:proofErr w:type="spellEnd"/>
      <w:r w:rsidR="00E83F8D" w:rsidRPr="00BB7C7D">
        <w:rPr>
          <w:rFonts w:eastAsia="Calibri" w:cs="Calibri"/>
          <w:color w:val="000000"/>
          <w:lang w:eastAsia="it-IT"/>
        </w:rPr>
        <w:t xml:space="preserve"> </w:t>
      </w:r>
      <w:r w:rsidR="00013020" w:rsidRPr="00BB7C7D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</w:t>
      </w:r>
      <w:r w:rsidR="00E83F8D" w:rsidRPr="00BB7C7D">
        <w:rPr>
          <w:rFonts w:eastAsia="Calibri" w:cs="Calibri"/>
          <w:color w:val="000000"/>
          <w:lang w:eastAsia="it-IT"/>
        </w:rPr>
        <w:t>Italia</w:t>
      </w:r>
      <w:r w:rsidR="00013020" w:rsidRPr="00BB7C7D">
        <w:rPr>
          <w:rFonts w:eastAsia="Calibri" w:cs="Calibri"/>
          <w:color w:val="000000"/>
          <w:lang w:eastAsia="it-IT"/>
        </w:rPr>
        <w:t xml:space="preserve">, </w:t>
      </w:r>
      <w:proofErr w:type="spellStart"/>
      <w:r>
        <w:rPr>
          <w:rFonts w:eastAsia="Calibri" w:cs="Calibri"/>
          <w:color w:val="000000"/>
          <w:lang w:eastAsia="it-IT"/>
        </w:rPr>
        <w:t>Losec</w:t>
      </w:r>
      <w:proofErr w:type="spellEnd"/>
      <w:r w:rsidR="00A2546E">
        <w:rPr>
          <w:rFonts w:eastAsia="Calibri" w:cs="Calibri"/>
          <w:color w:val="000000"/>
          <w:lang w:eastAsia="it-IT"/>
        </w:rPr>
        <w:t>.</w:t>
      </w:r>
    </w:p>
    <w:p w:rsidR="004241AC" w:rsidRPr="00452364" w:rsidRDefault="00A539E9" w:rsidP="00A539E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Opsardex</w:t>
      </w:r>
      <w:proofErr w:type="spellEnd"/>
      <w:r w:rsidR="00E83F8D" w:rsidRPr="00452364">
        <w:rPr>
          <w:rFonts w:eastAsia="Calibri" w:cs="Calibri"/>
          <w:color w:val="000000"/>
          <w:lang w:eastAsia="it-IT"/>
        </w:rPr>
        <w:t xml:space="preserve"> </w:t>
      </w:r>
      <w:r w:rsidR="00452364" w:rsidRPr="00452364">
        <w:rPr>
          <w:rFonts w:eastAsia="Calibri" w:cs="Calibri"/>
          <w:color w:val="000000"/>
          <w:lang w:eastAsia="it-IT"/>
        </w:rPr>
        <w:t>si usa:</w:t>
      </w:r>
    </w:p>
    <w:p w:rsidR="00AD4716" w:rsidRPr="00A539E9" w:rsidRDefault="00AD4716" w:rsidP="00AD4716">
      <w:pPr>
        <w:suppressAutoHyphens/>
        <w:spacing w:after="0" w:line="240" w:lineRule="auto"/>
        <w:jc w:val="both"/>
        <w:rPr>
          <w:i/>
        </w:rPr>
      </w:pPr>
      <w:r w:rsidRPr="00A539E9">
        <w:rPr>
          <w:i/>
        </w:rPr>
        <w:t>negli adulti</w:t>
      </w:r>
      <w:r>
        <w:t xml:space="preserve"> per</w:t>
      </w:r>
    </w:p>
    <w:p w:rsidR="00AD4716" w:rsidRPr="00395E68" w:rsidRDefault="00AD4716" w:rsidP="00AD471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Calibri" w:eastAsia="Calibri" w:hAnsi="Calibri" w:cs="Times New Roman"/>
          <w:color w:val="000000"/>
          <w:lang w:eastAsia="it-IT"/>
        </w:rPr>
      </w:pPr>
      <w:r w:rsidRPr="00395E68">
        <w:rPr>
          <w:rFonts w:ascii="Calibri" w:eastAsia="Calibri" w:hAnsi="Calibri" w:cs="Times New Roman"/>
          <w:color w:val="000000"/>
          <w:lang w:eastAsia="it-IT"/>
        </w:rPr>
        <w:t xml:space="preserve">Malattia da reflusso </w:t>
      </w:r>
      <w:proofErr w:type="spellStart"/>
      <w:r w:rsidRPr="00395E68">
        <w:rPr>
          <w:rFonts w:ascii="Calibri" w:eastAsia="Calibri" w:hAnsi="Calibri" w:cs="Times New Roman"/>
          <w:color w:val="000000"/>
          <w:lang w:eastAsia="it-IT"/>
        </w:rPr>
        <w:t>gastro-esofageo</w:t>
      </w:r>
      <w:proofErr w:type="spellEnd"/>
      <w:r w:rsidRPr="00395E68">
        <w:rPr>
          <w:rFonts w:ascii="Calibri" w:eastAsia="Calibri" w:hAnsi="Calibri" w:cs="Times New Roman"/>
          <w:color w:val="000000"/>
          <w:lang w:eastAsia="it-IT"/>
        </w:rPr>
        <w:t xml:space="preserve"> (GERD). Questa malattia si verifica quando l’acido fuoriesce dallo stomaco e passa nell’esofago (il tubo che collega la gola allo stomaco) causando dolore, infiammazione e bruciore di stomaco. </w:t>
      </w:r>
    </w:p>
    <w:p w:rsidR="00AD4716" w:rsidRPr="00395E68" w:rsidRDefault="00AD4716" w:rsidP="00AD471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Calibri" w:eastAsia="Calibri" w:hAnsi="Calibri" w:cs="Times New Roman"/>
          <w:color w:val="000000"/>
          <w:lang w:eastAsia="it-IT"/>
        </w:rPr>
      </w:pPr>
      <w:r w:rsidRPr="00395E68">
        <w:rPr>
          <w:rFonts w:ascii="Calibri" w:eastAsia="Calibri" w:hAnsi="Calibri" w:cs="Times New Roman"/>
          <w:color w:val="000000"/>
          <w:lang w:eastAsia="it-IT"/>
        </w:rPr>
        <w:t xml:space="preserve">Ulcere nella parte superiore dell’intestino (ulcera duodenale) o dello stomaco (ulcera gastrica). </w:t>
      </w:r>
    </w:p>
    <w:p w:rsidR="00AD4716" w:rsidRPr="00395E68" w:rsidRDefault="00AD4716" w:rsidP="00AD471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Calibri" w:eastAsia="Calibri" w:hAnsi="Calibri" w:cs="Times New Roman"/>
          <w:color w:val="000000"/>
          <w:lang w:eastAsia="it-IT"/>
        </w:rPr>
      </w:pPr>
      <w:r w:rsidRPr="00395E68">
        <w:rPr>
          <w:rFonts w:ascii="Calibri" w:eastAsia="Calibri" w:hAnsi="Calibri" w:cs="Times New Roman"/>
          <w:color w:val="000000"/>
          <w:lang w:eastAsia="it-IT"/>
        </w:rPr>
        <w:t>Ulcere infettate da un batterio chiamato ‘</w:t>
      </w:r>
      <w:proofErr w:type="spellStart"/>
      <w:r w:rsidRPr="00395E68">
        <w:rPr>
          <w:rFonts w:ascii="Calibri" w:eastAsia="Calibri" w:hAnsi="Calibri" w:cs="Times New Roman"/>
          <w:i/>
          <w:iCs/>
          <w:color w:val="000000"/>
          <w:lang w:eastAsia="it-IT"/>
        </w:rPr>
        <w:t>Helicobacter</w:t>
      </w:r>
      <w:proofErr w:type="spellEnd"/>
      <w:r w:rsidRPr="00395E68">
        <w:rPr>
          <w:rFonts w:ascii="Calibri" w:eastAsia="Calibri" w:hAnsi="Calibri" w:cs="Times New Roman"/>
          <w:i/>
          <w:iCs/>
          <w:color w:val="000000"/>
          <w:lang w:eastAsia="it-IT"/>
        </w:rPr>
        <w:t xml:space="preserve"> </w:t>
      </w:r>
      <w:proofErr w:type="spellStart"/>
      <w:r w:rsidRPr="00395E68">
        <w:rPr>
          <w:rFonts w:ascii="Calibri" w:eastAsia="Calibri" w:hAnsi="Calibri" w:cs="Times New Roman"/>
          <w:i/>
          <w:iCs/>
          <w:color w:val="000000"/>
          <w:lang w:eastAsia="it-IT"/>
        </w:rPr>
        <w:t>pylori</w:t>
      </w:r>
      <w:proofErr w:type="spellEnd"/>
      <w:r w:rsidRPr="00395E68">
        <w:rPr>
          <w:rFonts w:ascii="Calibri" w:eastAsia="Calibri" w:hAnsi="Calibri" w:cs="Times New Roman"/>
          <w:i/>
          <w:iCs/>
          <w:color w:val="000000"/>
          <w:lang w:eastAsia="it-IT"/>
        </w:rPr>
        <w:t>’</w:t>
      </w:r>
      <w:r w:rsidRPr="00395E68">
        <w:rPr>
          <w:rFonts w:ascii="Calibri" w:eastAsia="Calibri" w:hAnsi="Calibri" w:cs="Times New Roman"/>
          <w:color w:val="000000"/>
          <w:lang w:eastAsia="it-IT"/>
        </w:rPr>
        <w:t>. Se soffre di questa mal</w:t>
      </w:r>
      <w:r w:rsidR="005E1536">
        <w:rPr>
          <w:rFonts w:ascii="Calibri" w:eastAsia="Calibri" w:hAnsi="Calibri" w:cs="Times New Roman"/>
          <w:color w:val="000000"/>
          <w:lang w:eastAsia="it-IT"/>
        </w:rPr>
        <w:t>attia, il medico può prescriver</w:t>
      </w:r>
      <w:r w:rsidRPr="00395E68">
        <w:rPr>
          <w:rFonts w:ascii="Calibri" w:eastAsia="Calibri" w:hAnsi="Calibri" w:cs="Times New Roman"/>
          <w:color w:val="000000"/>
          <w:lang w:eastAsia="it-IT"/>
        </w:rPr>
        <w:t xml:space="preserve">e anche degli antibiotici per trattare l’infezione e permettere la cicatrizzazione dell’ulcera. </w:t>
      </w:r>
    </w:p>
    <w:p w:rsidR="00AD4716" w:rsidRPr="00395E68" w:rsidRDefault="00AD4716" w:rsidP="00AD471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Calibri" w:eastAsia="Calibri" w:hAnsi="Calibri" w:cs="Times New Roman"/>
          <w:color w:val="000000"/>
          <w:lang w:eastAsia="it-IT"/>
        </w:rPr>
      </w:pPr>
      <w:r w:rsidRPr="00395E68">
        <w:rPr>
          <w:rFonts w:ascii="Calibri" w:eastAsia="Calibri" w:hAnsi="Calibri" w:cs="Times New Roman"/>
          <w:color w:val="000000"/>
          <w:lang w:eastAsia="it-IT"/>
        </w:rPr>
        <w:t xml:space="preserve">Ulcere causate da medicinali chiamati </w:t>
      </w:r>
      <w:r w:rsidRPr="00395E68">
        <w:rPr>
          <w:rFonts w:ascii="Calibri" w:eastAsia="Calibri" w:hAnsi="Calibri" w:cs="Times New Roman"/>
        </w:rPr>
        <w:t xml:space="preserve">FANS (Farmaci Antiinfiammatori Non Steroidei). </w:t>
      </w:r>
      <w:proofErr w:type="spellStart"/>
      <w:r>
        <w:rPr>
          <w:rFonts w:ascii="Calibri" w:eastAsia="Calibri" w:hAnsi="Calibri" w:cs="Times New Roman"/>
        </w:rPr>
        <w:t>O</w:t>
      </w:r>
      <w:r w:rsidR="005E1536">
        <w:rPr>
          <w:rFonts w:ascii="Calibri" w:eastAsia="Calibri" w:hAnsi="Calibri" w:cs="Times New Roman"/>
        </w:rPr>
        <w:t>psardex</w:t>
      </w:r>
      <w:proofErr w:type="spellEnd"/>
      <w:r w:rsidRPr="00395E68">
        <w:rPr>
          <w:rFonts w:ascii="Calibri" w:eastAsia="Calibri" w:hAnsi="Calibri" w:cs="Times New Roman"/>
          <w:b/>
        </w:rPr>
        <w:t xml:space="preserve"> </w:t>
      </w:r>
      <w:r w:rsidRPr="00395E68">
        <w:rPr>
          <w:rFonts w:ascii="Calibri" w:eastAsia="Calibri" w:hAnsi="Calibri" w:cs="Times New Roman"/>
          <w:color w:val="000000"/>
          <w:lang w:eastAsia="it-IT"/>
        </w:rPr>
        <w:t xml:space="preserve">può essere utilizzato anche per prevenire la formazione di </w:t>
      </w:r>
      <w:r w:rsidR="005E1536" w:rsidRPr="00395E68">
        <w:rPr>
          <w:rFonts w:ascii="Calibri" w:eastAsia="Calibri" w:hAnsi="Calibri" w:cs="Times New Roman"/>
          <w:color w:val="000000"/>
          <w:lang w:eastAsia="it-IT"/>
        </w:rPr>
        <w:t xml:space="preserve">ulcere </w:t>
      </w:r>
      <w:r w:rsidR="005E1536">
        <w:rPr>
          <w:rFonts w:ascii="Calibri" w:eastAsia="Calibri" w:hAnsi="Calibri" w:cs="Times New Roman"/>
          <w:color w:val="000000"/>
          <w:lang w:eastAsia="it-IT"/>
        </w:rPr>
        <w:t>in caso di assunzione di</w:t>
      </w:r>
      <w:r w:rsidR="005E1536" w:rsidRPr="00395E68">
        <w:rPr>
          <w:rFonts w:ascii="Calibri" w:eastAsia="Calibri" w:hAnsi="Calibri" w:cs="Times New Roman"/>
          <w:color w:val="000000"/>
          <w:lang w:eastAsia="it-IT"/>
        </w:rPr>
        <w:t xml:space="preserve"> </w:t>
      </w:r>
      <w:r w:rsidRPr="00395E68">
        <w:rPr>
          <w:rFonts w:ascii="Calibri" w:eastAsia="Calibri" w:hAnsi="Calibri" w:cs="Times New Roman"/>
          <w:color w:val="000000"/>
          <w:lang w:eastAsia="it-IT"/>
        </w:rPr>
        <w:t>FANS.</w:t>
      </w:r>
    </w:p>
    <w:p w:rsidR="00AD4716" w:rsidRPr="00395E68" w:rsidRDefault="00AD4716" w:rsidP="00AD471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Calibri" w:eastAsia="Calibri" w:hAnsi="Calibri" w:cs="Times New Roman"/>
          <w:color w:val="000000"/>
          <w:lang w:eastAsia="it-IT"/>
        </w:rPr>
      </w:pPr>
      <w:r w:rsidRPr="00395E68">
        <w:rPr>
          <w:rFonts w:ascii="Calibri" w:eastAsia="Calibri" w:hAnsi="Calibri" w:cs="Times New Roman"/>
          <w:color w:val="000000"/>
          <w:lang w:eastAsia="it-IT"/>
        </w:rPr>
        <w:t xml:space="preserve">Eccessiva presenza di acido nello stomaco causata da un accrescimento di tessuto nel pancreas (sindrome di </w:t>
      </w:r>
      <w:proofErr w:type="spellStart"/>
      <w:r w:rsidRPr="00395E68">
        <w:rPr>
          <w:rFonts w:ascii="Calibri" w:eastAsia="Calibri" w:hAnsi="Calibri" w:cs="Times New Roman"/>
          <w:color w:val="000000"/>
          <w:lang w:eastAsia="it-IT"/>
        </w:rPr>
        <w:t>Zollinger-Ellison</w:t>
      </w:r>
      <w:proofErr w:type="spellEnd"/>
      <w:r w:rsidRPr="00395E68">
        <w:rPr>
          <w:rFonts w:ascii="Calibri" w:eastAsia="Calibri" w:hAnsi="Calibri" w:cs="Times New Roman"/>
          <w:color w:val="000000"/>
          <w:lang w:eastAsia="it-IT"/>
        </w:rPr>
        <w:t xml:space="preserve">). </w:t>
      </w:r>
    </w:p>
    <w:p w:rsidR="00AD4716" w:rsidRPr="00412D3F" w:rsidRDefault="00AD4716" w:rsidP="00AD4716">
      <w:pPr>
        <w:suppressAutoHyphens/>
        <w:spacing w:after="0" w:line="240" w:lineRule="auto"/>
        <w:jc w:val="both"/>
      </w:pPr>
      <w:r>
        <w:rPr>
          <w:i/>
        </w:rPr>
        <w:t>nei b</w:t>
      </w:r>
      <w:r w:rsidRPr="00CB3350">
        <w:rPr>
          <w:i/>
        </w:rPr>
        <w:t xml:space="preserve">ambini di età superiore ai 4 anni e adolescenti </w:t>
      </w:r>
      <w:r>
        <w:rPr>
          <w:i/>
        </w:rPr>
        <w:t>(12-18 anni)</w:t>
      </w:r>
      <w:r>
        <w:t xml:space="preserve"> per</w:t>
      </w:r>
    </w:p>
    <w:p w:rsidR="00AD4716" w:rsidRPr="00395E68" w:rsidRDefault="00AD4716" w:rsidP="00AD471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Calibri" w:eastAsia="Calibri" w:hAnsi="Calibri" w:cs="Times New Roman"/>
          <w:color w:val="000000"/>
          <w:lang w:eastAsia="it-IT"/>
        </w:rPr>
      </w:pPr>
      <w:bookmarkStart w:id="2" w:name="OLE_LINK1"/>
      <w:bookmarkStart w:id="3" w:name="OLE_LINK2"/>
      <w:r w:rsidRPr="00395E68">
        <w:rPr>
          <w:rFonts w:ascii="Calibri" w:eastAsia="Calibri" w:hAnsi="Calibri" w:cs="Times New Roman"/>
          <w:color w:val="000000"/>
          <w:lang w:eastAsia="it-IT"/>
        </w:rPr>
        <w:t>Ulcere infettate da un batterio chiamato ‘</w:t>
      </w:r>
      <w:proofErr w:type="spellStart"/>
      <w:r w:rsidRPr="00395E68">
        <w:rPr>
          <w:rFonts w:ascii="Calibri" w:eastAsia="Calibri" w:hAnsi="Calibri" w:cs="Times New Roman"/>
          <w:i/>
          <w:color w:val="000000"/>
          <w:lang w:eastAsia="it-IT"/>
        </w:rPr>
        <w:t>Helicobacter</w:t>
      </w:r>
      <w:proofErr w:type="spellEnd"/>
      <w:r w:rsidRPr="00395E68">
        <w:rPr>
          <w:rFonts w:ascii="Calibri" w:eastAsia="Calibri" w:hAnsi="Calibri" w:cs="Times New Roman"/>
          <w:i/>
          <w:color w:val="000000"/>
          <w:lang w:eastAsia="it-IT"/>
        </w:rPr>
        <w:t xml:space="preserve"> </w:t>
      </w:r>
      <w:proofErr w:type="spellStart"/>
      <w:r w:rsidRPr="00395E68">
        <w:rPr>
          <w:rFonts w:ascii="Calibri" w:eastAsia="Calibri" w:hAnsi="Calibri" w:cs="Times New Roman"/>
          <w:i/>
          <w:color w:val="000000"/>
          <w:lang w:eastAsia="it-IT"/>
        </w:rPr>
        <w:t>pylori</w:t>
      </w:r>
      <w:proofErr w:type="spellEnd"/>
      <w:r w:rsidRPr="00395E68">
        <w:rPr>
          <w:rFonts w:ascii="Calibri" w:eastAsia="Calibri" w:hAnsi="Calibri" w:cs="Times New Roman"/>
          <w:color w:val="000000"/>
          <w:lang w:eastAsia="it-IT"/>
        </w:rPr>
        <w:t>’. Se il bambino soffre di questa malattia, il medico può prescrivere anche degli antibiotici per trattare l’infezione e permettere la cicatrizzazione dell’ulcera.</w:t>
      </w:r>
    </w:p>
    <w:bookmarkEnd w:id="2"/>
    <w:bookmarkEnd w:id="3"/>
    <w:p w:rsidR="00AD4716" w:rsidRPr="00412D3F" w:rsidRDefault="00AD4716" w:rsidP="00AD4716">
      <w:pPr>
        <w:suppressAutoHyphens/>
        <w:spacing w:after="0" w:line="240" w:lineRule="auto"/>
        <w:jc w:val="both"/>
      </w:pPr>
      <w:r>
        <w:rPr>
          <w:i/>
        </w:rPr>
        <w:lastRenderedPageBreak/>
        <w:t>nei b</w:t>
      </w:r>
      <w:r w:rsidRPr="00CB3350">
        <w:rPr>
          <w:i/>
        </w:rPr>
        <w:t>ambini di età superiore a 1 anno e con peso corporeo ≥ 10 kg</w:t>
      </w:r>
      <w:r>
        <w:t xml:space="preserve"> per</w:t>
      </w:r>
    </w:p>
    <w:p w:rsidR="00AD4716" w:rsidRPr="00CB3350" w:rsidRDefault="00AD4716" w:rsidP="00AD4716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ind w:left="284" w:hanging="142"/>
        <w:jc w:val="both"/>
      </w:pPr>
      <w:r w:rsidRPr="005E1536">
        <w:rPr>
          <w:rFonts w:ascii="Calibri" w:eastAsia="Calibri" w:hAnsi="Calibri" w:cs="Times New Roman"/>
          <w:color w:val="000000"/>
          <w:lang w:eastAsia="it-IT"/>
        </w:rPr>
        <w:t xml:space="preserve">Malattia da reflusso </w:t>
      </w:r>
      <w:proofErr w:type="spellStart"/>
      <w:r w:rsidRPr="005E1536">
        <w:rPr>
          <w:rFonts w:ascii="Calibri" w:eastAsia="Calibri" w:hAnsi="Calibri" w:cs="Times New Roman"/>
          <w:color w:val="000000"/>
          <w:lang w:eastAsia="it-IT"/>
        </w:rPr>
        <w:t>gastro-esofageo</w:t>
      </w:r>
      <w:proofErr w:type="spellEnd"/>
      <w:r w:rsidRPr="005E1536">
        <w:rPr>
          <w:rFonts w:ascii="Calibri" w:eastAsia="Calibri" w:hAnsi="Calibri" w:cs="Times New Roman"/>
          <w:color w:val="000000"/>
          <w:lang w:eastAsia="it-IT"/>
        </w:rPr>
        <w:t xml:space="preserve"> (GERD). Questa malattia si verifica quando l’acido fuoriesce dallo stomaco e passa nell’esofago (il tubo che collega la gola allo stomaco) causando dolore, infiammazione e bruciore di stomaco. Nei bambini, i sintomi di questa malattia comprendono anche il ritorno nella bocca del contenuto dello stomaco (rigurgito), malessere (vomito) e scarso aumento di peso.</w:t>
      </w:r>
    </w:p>
    <w:p w:rsidR="00A539E9" w:rsidRPr="00CB3350" w:rsidRDefault="00A539E9" w:rsidP="00A539E9">
      <w:pPr>
        <w:suppressAutoHyphens/>
        <w:spacing w:after="0" w:line="240" w:lineRule="auto"/>
        <w:jc w:val="both"/>
      </w:pPr>
    </w:p>
    <w:p w:rsidR="005D40D3" w:rsidRPr="00452364" w:rsidRDefault="005D40D3" w:rsidP="00A539E9">
      <w:pPr>
        <w:pStyle w:val="Paragrafoelenco"/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E83F8D" w:rsidRDefault="004241AC" w:rsidP="00A539E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E83F8D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A539E9">
        <w:rPr>
          <w:rFonts w:eastAsia="Calibri" w:cs="Calibri"/>
          <w:b/>
          <w:bCs/>
          <w:color w:val="000000"/>
          <w:lang w:eastAsia="it-IT"/>
        </w:rPr>
        <w:t>Opsardex</w:t>
      </w:r>
      <w:proofErr w:type="spellEnd"/>
      <w:r w:rsidRPr="00E83F8D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E83F8D" w:rsidRDefault="00A539E9" w:rsidP="00A539E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Opsardex</w:t>
      </w:r>
      <w:proofErr w:type="spellEnd"/>
      <w:r w:rsidR="00076ADA" w:rsidRPr="00452364">
        <w:rPr>
          <w:rFonts w:eastAsia="Calibri" w:cs="Calibri"/>
          <w:color w:val="000000"/>
          <w:lang w:eastAsia="it-IT"/>
        </w:rPr>
        <w:t xml:space="preserve"> </w:t>
      </w:r>
      <w:r w:rsidR="004241AC" w:rsidRPr="00E83F8D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4241AC" w:rsidRDefault="00874733" w:rsidP="00A95D6A">
      <w:pPr>
        <w:tabs>
          <w:tab w:val="left" w:pos="0"/>
        </w:tabs>
        <w:spacing w:after="0" w:line="240" w:lineRule="auto"/>
        <w:jc w:val="both"/>
      </w:pPr>
      <w:r>
        <w:t>Generalmente, l</w:t>
      </w:r>
      <w:r w:rsidR="004241AC" w:rsidRPr="00E83F8D">
        <w:t xml:space="preserve">a dose </w:t>
      </w:r>
      <w:r>
        <w:t xml:space="preserve">raccomandata </w:t>
      </w:r>
      <w:r w:rsidR="004241AC" w:rsidRPr="00E83F8D">
        <w:t xml:space="preserve">è di una </w:t>
      </w:r>
      <w:r w:rsidR="00FA2702" w:rsidRPr="00E83F8D">
        <w:t>compressa</w:t>
      </w:r>
      <w:r w:rsidR="00E83F8D">
        <w:t xml:space="preserve"> da </w:t>
      </w:r>
      <w:r>
        <w:t>2</w:t>
      </w:r>
      <w:r w:rsidR="00E83F8D">
        <w:t>0 mg</w:t>
      </w:r>
      <w:r w:rsidR="00E43089" w:rsidRPr="00E83F8D">
        <w:t xml:space="preserve"> </w:t>
      </w:r>
      <w:r w:rsidR="004241AC" w:rsidRPr="00E83F8D">
        <w:t xml:space="preserve">al giorno; </w:t>
      </w:r>
      <w:r>
        <w:t xml:space="preserve">per i sintomi e il trattamento della malattia da reflusso </w:t>
      </w:r>
      <w:proofErr w:type="spellStart"/>
      <w:r>
        <w:t>gastroesofageo</w:t>
      </w:r>
      <w:proofErr w:type="spellEnd"/>
      <w:r>
        <w:t xml:space="preserve"> può essere prescritta una compressa da 10 mg al giorno.</w:t>
      </w:r>
    </w:p>
    <w:p w:rsidR="00874733" w:rsidRDefault="00874733" w:rsidP="00A95D6A">
      <w:pPr>
        <w:tabs>
          <w:tab w:val="left" w:pos="0"/>
        </w:tabs>
        <w:spacing w:after="0" w:line="240" w:lineRule="auto"/>
        <w:jc w:val="both"/>
        <w:rPr>
          <w:rFonts w:eastAsia="DejaVuSans" w:cs="DejaVuSans"/>
        </w:rPr>
      </w:pPr>
      <w:r>
        <w:t xml:space="preserve">Per la sindrome di </w:t>
      </w:r>
      <w:proofErr w:type="spellStart"/>
      <w:r w:rsidRPr="00452364">
        <w:rPr>
          <w:rFonts w:eastAsia="DejaVuSans" w:cs="DejaVuSans"/>
        </w:rPr>
        <w:t>Zollinger-Ellison</w:t>
      </w:r>
      <w:proofErr w:type="spellEnd"/>
      <w:r>
        <w:rPr>
          <w:rFonts w:eastAsia="DejaVuSans" w:cs="DejaVuSans"/>
        </w:rPr>
        <w:t xml:space="preserve"> la dose iniziale raccomandata è di 60 mg al giorno che può essere aumentata fino a 120 mg al giorno da assumere</w:t>
      </w:r>
      <w:r w:rsidR="00BA7D67">
        <w:rPr>
          <w:rFonts w:eastAsia="DejaVuSans" w:cs="DejaVuSans"/>
        </w:rPr>
        <w:t xml:space="preserve"> in due dosi da 60 mg ciascuna.</w:t>
      </w:r>
    </w:p>
    <w:p w:rsidR="00BA7D67" w:rsidRPr="00BA7D67" w:rsidRDefault="00BA7D67" w:rsidP="00A95D6A">
      <w:pPr>
        <w:tabs>
          <w:tab w:val="left" w:pos="0"/>
        </w:tabs>
        <w:spacing w:after="0" w:line="240" w:lineRule="auto"/>
        <w:jc w:val="both"/>
        <w:rPr>
          <w:rFonts w:eastAsia="DejaVuSans" w:cs="DejaVuSans"/>
        </w:rPr>
      </w:pPr>
      <w:r>
        <w:rPr>
          <w:rFonts w:eastAsia="DejaVuSans" w:cs="DejaVuSans"/>
        </w:rPr>
        <w:t>P</w:t>
      </w:r>
      <w:r w:rsidRPr="00452364">
        <w:rPr>
          <w:rFonts w:eastAsia="DejaVuSans" w:cs="DejaVuSans"/>
        </w:rPr>
        <w:t xml:space="preserve">er l’eradicazione del batterio </w:t>
      </w:r>
      <w:proofErr w:type="spellStart"/>
      <w:r w:rsidRPr="00452364">
        <w:rPr>
          <w:rFonts w:eastAsia="DejaVuSans" w:cs="DejaVuSans-Oblique"/>
          <w:i/>
          <w:iCs/>
        </w:rPr>
        <w:t>Helicobacter</w:t>
      </w:r>
      <w:proofErr w:type="spellEnd"/>
      <w:r w:rsidRPr="00452364">
        <w:rPr>
          <w:rFonts w:eastAsia="DejaVuSans" w:cs="DejaVuSans-Oblique"/>
          <w:i/>
          <w:iCs/>
        </w:rPr>
        <w:t xml:space="preserve"> </w:t>
      </w:r>
      <w:proofErr w:type="spellStart"/>
      <w:r w:rsidRPr="00452364">
        <w:rPr>
          <w:rFonts w:eastAsia="DejaVuSans" w:cs="DejaVuSans-Oblique"/>
          <w:i/>
          <w:iCs/>
        </w:rPr>
        <w:t>pylori</w:t>
      </w:r>
      <w:proofErr w:type="spellEnd"/>
      <w:r>
        <w:rPr>
          <w:rFonts w:eastAsia="DejaVuSans" w:cs="DejaVuSans-Oblique"/>
          <w:iCs/>
        </w:rPr>
        <w:t>, la dose raccomandata è di 20 mg due volte al giorno.</w:t>
      </w:r>
    </w:p>
    <w:p w:rsidR="005E1536" w:rsidRDefault="005E1536" w:rsidP="005E1536">
      <w:pPr>
        <w:suppressAutoHyphens/>
        <w:spacing w:after="0" w:line="240" w:lineRule="auto"/>
        <w:jc w:val="both"/>
      </w:pPr>
      <w:r>
        <w:t>Nei bambini, l</w:t>
      </w:r>
      <w:r w:rsidRPr="00E034D0">
        <w:t xml:space="preserve">a dose è basata sul peso del bambino stesso e la dose esatta verrà decisa dal medico. </w:t>
      </w:r>
    </w:p>
    <w:p w:rsidR="005E1536" w:rsidRDefault="005E1536" w:rsidP="005E1536">
      <w:pPr>
        <w:tabs>
          <w:tab w:val="left" w:pos="0"/>
        </w:tabs>
        <w:spacing w:after="0" w:line="240" w:lineRule="auto"/>
        <w:jc w:val="both"/>
      </w:pPr>
      <w:r>
        <w:t>Nei pazienti con problemi al fegato queste dosi possono essere ridotte.</w:t>
      </w:r>
    </w:p>
    <w:p w:rsidR="004241AC" w:rsidRDefault="004241AC" w:rsidP="00A95D6A">
      <w:pPr>
        <w:tabs>
          <w:tab w:val="left" w:pos="0"/>
        </w:tabs>
        <w:spacing w:after="0" w:line="240" w:lineRule="auto"/>
        <w:jc w:val="both"/>
      </w:pPr>
      <w:r w:rsidRPr="00BA7D67">
        <w:t xml:space="preserve">Le </w:t>
      </w:r>
      <w:r w:rsidR="00A95D6A">
        <w:t>capsule</w:t>
      </w:r>
      <w:r w:rsidRPr="00BA7D67">
        <w:t xml:space="preserve"> vanno assunte</w:t>
      </w:r>
      <w:r w:rsidR="00874733" w:rsidRPr="00BA7D67">
        <w:t xml:space="preserve"> intere (senza frantumarle o masticarle</w:t>
      </w:r>
      <w:r w:rsidR="00BA7D67" w:rsidRPr="00BA7D67">
        <w:t>)</w:t>
      </w:r>
      <w:r w:rsidRPr="00BA7D67">
        <w:t xml:space="preserve"> con un po’ di acqua</w:t>
      </w:r>
      <w:r w:rsidR="00BA7D67">
        <w:t xml:space="preserve"> o altro liquido; per le indicazioni che prevedono il t</w:t>
      </w:r>
      <w:r w:rsidR="00A95D6A">
        <w:t xml:space="preserve">rattamento una volta al giorno, </w:t>
      </w:r>
      <w:r w:rsidR="00BA7D67">
        <w:t xml:space="preserve">le </w:t>
      </w:r>
      <w:r w:rsidR="00A95D6A">
        <w:t>capsule</w:t>
      </w:r>
      <w:r w:rsidR="00BA7D67">
        <w:t xml:space="preserve"> devono essere assunte</w:t>
      </w:r>
      <w:r w:rsidRPr="00BA7D67">
        <w:t xml:space="preserve"> possibilmente </w:t>
      </w:r>
      <w:r w:rsidR="00BA7D67" w:rsidRPr="00BA7D67">
        <w:t>la</w:t>
      </w:r>
      <w:r w:rsidR="00BA7D67">
        <w:t xml:space="preserve"> mattina prima di mangiare. </w:t>
      </w:r>
    </w:p>
    <w:p w:rsidR="00A95D6A" w:rsidRPr="00CB3350" w:rsidRDefault="00AD4716" w:rsidP="00A95D6A">
      <w:pPr>
        <w:suppressAutoHyphens/>
        <w:spacing w:after="0" w:line="240" w:lineRule="auto"/>
        <w:jc w:val="both"/>
      </w:pPr>
      <w:r>
        <w:t>Per i</w:t>
      </w:r>
      <w:r w:rsidRPr="00A95D6A">
        <w:t xml:space="preserve"> pazienti con difficoltà a deglutire e per i bambini che possono b</w:t>
      </w:r>
      <w:r>
        <w:t>ere o deglutire cibi semisolidi</w:t>
      </w:r>
      <w:r w:rsidRPr="00CB3350">
        <w:t xml:space="preserve"> </w:t>
      </w:r>
      <w:r>
        <w:t xml:space="preserve">si </w:t>
      </w:r>
      <w:r w:rsidRPr="00CB3350">
        <w:t>p</w:t>
      </w:r>
      <w:r>
        <w:t>uò</w:t>
      </w:r>
      <w:r w:rsidRPr="00CB3350">
        <w:t xml:space="preserve"> aprire l</w:t>
      </w:r>
      <w:r>
        <w:t>a</w:t>
      </w:r>
      <w:r w:rsidRPr="00CB3350">
        <w:t xml:space="preserve"> capsul</w:t>
      </w:r>
      <w:r>
        <w:t>a</w:t>
      </w:r>
      <w:r w:rsidRPr="00CB3350">
        <w:t xml:space="preserve"> e </w:t>
      </w:r>
      <w:r>
        <w:t>disperdere i granuli</w:t>
      </w:r>
      <w:r w:rsidRPr="00CB3350">
        <w:t xml:space="preserve"> contenut</w:t>
      </w:r>
      <w:r>
        <w:t>i in</w:t>
      </w:r>
      <w:r w:rsidRPr="00CB3350">
        <w:t xml:space="preserve"> mezzo bicchiere di acqua</w:t>
      </w:r>
      <w:r>
        <w:t xml:space="preserve"> non gasata o</w:t>
      </w:r>
      <w:r w:rsidRPr="00CB3350">
        <w:t xml:space="preserve"> succ</w:t>
      </w:r>
      <w:r>
        <w:t>o</w:t>
      </w:r>
      <w:r w:rsidRPr="00CB3350">
        <w:t xml:space="preserve"> di frutta</w:t>
      </w:r>
      <w:r>
        <w:t xml:space="preserve">; </w:t>
      </w:r>
      <w:r w:rsidR="00A95D6A">
        <w:t>dopo la</w:t>
      </w:r>
      <w:r w:rsidR="00A95D6A" w:rsidRPr="00CB3350">
        <w:t xml:space="preserve"> dispersione </w:t>
      </w:r>
      <w:r w:rsidR="00A95D6A">
        <w:t xml:space="preserve">i granuli </w:t>
      </w:r>
      <w:r w:rsidR="00A95D6A" w:rsidRPr="00CB3350">
        <w:t>dev</w:t>
      </w:r>
      <w:r w:rsidR="00A95D6A">
        <w:t>ono</w:t>
      </w:r>
      <w:r w:rsidR="00A95D6A" w:rsidRPr="00CB3350">
        <w:t xml:space="preserve"> essere ingerit</w:t>
      </w:r>
      <w:r w:rsidR="00A95D6A">
        <w:t>i</w:t>
      </w:r>
      <w:r w:rsidR="00A95D6A" w:rsidRPr="00CB3350">
        <w:t xml:space="preserve"> </w:t>
      </w:r>
      <w:r w:rsidR="00A95D6A">
        <w:t xml:space="preserve">al massimo </w:t>
      </w:r>
      <w:r w:rsidR="00A95D6A" w:rsidRPr="00CB3350">
        <w:t>entro 30 minuti</w:t>
      </w:r>
      <w:r w:rsidR="00A95D6A">
        <w:t xml:space="preserve">, </w:t>
      </w:r>
      <w:r w:rsidR="00A95D6A" w:rsidRPr="00CB3350">
        <w:t>mescola</w:t>
      </w:r>
      <w:r w:rsidR="00A95D6A">
        <w:t xml:space="preserve">ndo </w:t>
      </w:r>
      <w:r w:rsidR="00A95D6A" w:rsidRPr="00CB3350">
        <w:t>prima di ber</w:t>
      </w:r>
      <w:r w:rsidR="00A95D6A">
        <w:t>e, r</w:t>
      </w:r>
      <w:r w:rsidR="00A95D6A" w:rsidRPr="00CB3350">
        <w:t>isciacqua</w:t>
      </w:r>
      <w:r w:rsidR="00A95D6A">
        <w:t>ndo</w:t>
      </w:r>
      <w:r w:rsidR="00A95D6A" w:rsidRPr="00CB3350">
        <w:t xml:space="preserve"> il fondo con mezzo bicchiere di acqua e be</w:t>
      </w:r>
      <w:r w:rsidR="00A95D6A">
        <w:t>vendone</w:t>
      </w:r>
      <w:r w:rsidR="00A95D6A" w:rsidRPr="00CB3350">
        <w:t xml:space="preserve"> il contenuto</w:t>
      </w:r>
      <w:r w:rsidR="00A95D6A">
        <w:t xml:space="preserve"> immediatamente</w:t>
      </w:r>
      <w:r w:rsidR="00A95D6A" w:rsidRPr="00CB3350">
        <w:t>.</w:t>
      </w:r>
    </w:p>
    <w:p w:rsidR="00A95D6A" w:rsidRDefault="00A95D6A" w:rsidP="00A95D6A">
      <w:pPr>
        <w:suppressAutoHyphens/>
        <w:spacing w:after="0" w:line="240" w:lineRule="auto"/>
        <w:jc w:val="both"/>
      </w:pPr>
      <w:r w:rsidRPr="00CB3350">
        <w:t xml:space="preserve">In alternativa i pazienti possono sciogliere la capsula in bocca e deglutire i granuli contenuti con mezzo bicchiere d’acqua. </w:t>
      </w:r>
    </w:p>
    <w:p w:rsidR="00A95D6A" w:rsidRPr="00CB3350" w:rsidRDefault="00A95D6A" w:rsidP="00A95D6A">
      <w:pPr>
        <w:suppressAutoHyphens/>
        <w:spacing w:after="0" w:line="240" w:lineRule="auto"/>
        <w:jc w:val="both"/>
      </w:pPr>
      <w:r>
        <w:t>In ogni caso, i</w:t>
      </w:r>
      <w:r w:rsidRPr="00CB3350">
        <w:t xml:space="preserve"> granuli </w:t>
      </w:r>
      <w:proofErr w:type="spellStart"/>
      <w:r w:rsidRPr="00CB3350">
        <w:t>gastroresistenti</w:t>
      </w:r>
      <w:proofErr w:type="spellEnd"/>
      <w:r w:rsidRPr="00CB3350">
        <w:t xml:space="preserve"> non devono essere masticati.</w:t>
      </w:r>
    </w:p>
    <w:p w:rsidR="004241AC" w:rsidRDefault="004241AC" w:rsidP="00A95D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BA7D67" w:rsidRDefault="004241AC" w:rsidP="00A95D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BA7D67" w:rsidRDefault="004241AC" w:rsidP="00A95D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A7D67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A539E9">
        <w:rPr>
          <w:rFonts w:eastAsia="Calibri" w:cs="Calibri"/>
          <w:b/>
          <w:bCs/>
          <w:color w:val="000000"/>
          <w:lang w:eastAsia="it-IT"/>
        </w:rPr>
        <w:t>Opsardex</w:t>
      </w:r>
      <w:proofErr w:type="spellEnd"/>
      <w:r w:rsidRPr="00BA7D67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9B03DB" w:rsidRPr="00BA7D67" w:rsidRDefault="00A539E9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Opsardex</w:t>
      </w:r>
      <w:proofErr w:type="spellEnd"/>
      <w:r w:rsidR="006E45EF">
        <w:rPr>
          <w:rFonts w:eastAsia="Calibri" w:cs="Calibri"/>
          <w:bCs/>
          <w:color w:val="000000"/>
          <w:lang w:eastAsia="it-IT"/>
        </w:rPr>
        <w:t xml:space="preserve">, </w:t>
      </w:r>
      <w:r w:rsidR="006E45EF" w:rsidRPr="00BA7D67">
        <w:rPr>
          <w:rFonts w:eastAsia="Calibri" w:cs="Calibri"/>
          <w:bCs/>
          <w:color w:val="000000"/>
          <w:lang w:eastAsia="it-IT"/>
        </w:rPr>
        <w:t xml:space="preserve">il </w:t>
      </w:r>
      <w:r w:rsidR="006E45EF">
        <w:rPr>
          <w:rFonts w:eastAsia="Calibri" w:cs="Calibri"/>
          <w:bCs/>
          <w:color w:val="000000"/>
          <w:lang w:eastAsia="it-IT"/>
        </w:rPr>
        <w:t xml:space="preserve">cui </w:t>
      </w:r>
      <w:r w:rsidR="006E45EF" w:rsidRPr="00BA7D67">
        <w:rPr>
          <w:rFonts w:eastAsia="Calibri" w:cs="Calibri"/>
          <w:bCs/>
          <w:color w:val="000000"/>
          <w:lang w:eastAsia="it-IT"/>
        </w:rPr>
        <w:t xml:space="preserve">codice ATC è </w:t>
      </w:r>
      <w:r w:rsidR="00A95D6A" w:rsidRPr="00CB3350">
        <w:t>A02BC01</w:t>
      </w:r>
      <w:r w:rsidR="006E45EF">
        <w:rPr>
          <w:rFonts w:eastAsia="DejaVuSans" w:cs="DejaVuSans"/>
        </w:rPr>
        <w:t>,</w:t>
      </w:r>
      <w:r w:rsidR="00E43089" w:rsidRPr="00BA7D67">
        <w:rPr>
          <w:rFonts w:eastAsia="DejaVuSans" w:cs="DejaVuSans"/>
        </w:rPr>
        <w:t xml:space="preserve"> </w:t>
      </w:r>
      <w:r w:rsidR="004241AC" w:rsidRPr="00BA7D67">
        <w:rPr>
          <w:rFonts w:eastAsia="Calibri" w:cs="Calibri"/>
          <w:color w:val="000000"/>
          <w:lang w:eastAsia="it-IT"/>
        </w:rPr>
        <w:t>contiene i</w:t>
      </w:r>
      <w:r w:rsidR="00EF062E" w:rsidRPr="00BA7D67">
        <w:rPr>
          <w:rFonts w:eastAsia="Calibri" w:cs="Calibri"/>
          <w:color w:val="000000"/>
          <w:lang w:eastAsia="it-IT"/>
        </w:rPr>
        <w:t>l</w:t>
      </w:r>
      <w:r w:rsidR="004241AC" w:rsidRPr="00BA7D67">
        <w:rPr>
          <w:rFonts w:eastAsia="Calibri" w:cs="Calibri"/>
          <w:color w:val="000000"/>
          <w:lang w:eastAsia="it-IT"/>
        </w:rPr>
        <w:t xml:space="preserve"> principi</w:t>
      </w:r>
      <w:r w:rsidR="00EF062E" w:rsidRPr="00BA7D67">
        <w:rPr>
          <w:rFonts w:eastAsia="Calibri" w:cs="Calibri"/>
          <w:color w:val="000000"/>
          <w:lang w:eastAsia="it-IT"/>
        </w:rPr>
        <w:t>o</w:t>
      </w:r>
      <w:r w:rsidR="004241AC" w:rsidRPr="00BA7D67">
        <w:rPr>
          <w:rFonts w:eastAsia="Calibri" w:cs="Calibri"/>
          <w:color w:val="000000"/>
          <w:lang w:eastAsia="it-IT"/>
        </w:rPr>
        <w:t xml:space="preserve"> attiv</w:t>
      </w:r>
      <w:r w:rsidR="00EF062E" w:rsidRPr="00BA7D67">
        <w:rPr>
          <w:rFonts w:eastAsia="Calibri" w:cs="Calibri"/>
          <w:color w:val="000000"/>
          <w:lang w:eastAsia="it-IT"/>
        </w:rPr>
        <w:t>o</w:t>
      </w:r>
      <w:r w:rsidR="004241AC" w:rsidRPr="00BA7D67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omeprazolo</w:t>
      </w:r>
      <w:proofErr w:type="spellEnd"/>
      <w:r w:rsidR="006E45EF">
        <w:rPr>
          <w:rFonts w:eastAsia="Calibri" w:cs="Calibri"/>
          <w:color w:val="000000"/>
          <w:lang w:eastAsia="it-IT"/>
        </w:rPr>
        <w:t xml:space="preserve"> che </w:t>
      </w:r>
      <w:r w:rsidR="00BA7D67" w:rsidRPr="00BA7D67">
        <w:rPr>
          <w:rFonts w:eastAsia="DejaVuSans" w:cs="DejaVuSans"/>
        </w:rPr>
        <w:t>appartiene alla classe dei composti antisecretori</w:t>
      </w:r>
      <w:r w:rsidR="00076ADA">
        <w:rPr>
          <w:rFonts w:eastAsia="DejaVuSans" w:cs="DejaVuSans"/>
        </w:rPr>
        <w:t>, cioè</w:t>
      </w:r>
      <w:r w:rsidR="00BA7D67" w:rsidRPr="00BA7D67">
        <w:rPr>
          <w:rFonts w:eastAsia="DejaVuSans" w:cs="DejaVuSans"/>
        </w:rPr>
        <w:t xml:space="preserve"> che sopprimono la secrezione acida</w:t>
      </w:r>
      <w:r w:rsidR="00BA7D67">
        <w:rPr>
          <w:rFonts w:eastAsia="DejaVuSans" w:cs="DejaVuSans"/>
        </w:rPr>
        <w:t xml:space="preserve"> </w:t>
      </w:r>
      <w:r w:rsidR="00076ADA">
        <w:rPr>
          <w:rFonts w:eastAsia="DejaVuSans" w:cs="DejaVuSans"/>
        </w:rPr>
        <w:t>dello stomaco</w:t>
      </w:r>
      <w:r w:rsidR="00BA7D67" w:rsidRPr="00BA7D67">
        <w:rPr>
          <w:rFonts w:eastAsia="DejaVuSans" w:cs="DejaVuSans"/>
        </w:rPr>
        <w:t xml:space="preserve"> per inibizione specifica </w:t>
      </w:r>
      <w:r w:rsidR="00BA7D67">
        <w:rPr>
          <w:rFonts w:eastAsia="DejaVuSans" w:cs="DejaVuSans"/>
        </w:rPr>
        <w:t xml:space="preserve">di un enzima che attiva </w:t>
      </w:r>
      <w:r w:rsidR="00BA7D67" w:rsidRPr="00BA7D67">
        <w:rPr>
          <w:rFonts w:eastAsia="DejaVuSans" w:cs="DejaVuSans"/>
        </w:rPr>
        <w:t>la pompa acida o</w:t>
      </w:r>
      <w:r w:rsidR="00BA7D67">
        <w:rPr>
          <w:rFonts w:eastAsia="DejaVuSans" w:cs="DejaVuSans"/>
        </w:rPr>
        <w:t xml:space="preserve"> </w:t>
      </w:r>
      <w:r w:rsidR="00BA7D67" w:rsidRPr="00BA7D67">
        <w:rPr>
          <w:rFonts w:eastAsia="DejaVuSans" w:cs="DejaVuSans"/>
        </w:rPr>
        <w:t>protonica.</w:t>
      </w:r>
    </w:p>
    <w:p w:rsidR="004241AC" w:rsidRDefault="004241AC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BA7D67" w:rsidRPr="00BA7D67" w:rsidRDefault="00BA7D67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BA7D67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A7D67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A539E9">
        <w:rPr>
          <w:rFonts w:eastAsia="Calibri" w:cs="Calibri"/>
          <w:b/>
          <w:bCs/>
          <w:color w:val="000000"/>
          <w:lang w:eastAsia="it-IT"/>
        </w:rPr>
        <w:t>Opsardex</w:t>
      </w:r>
      <w:proofErr w:type="spellEnd"/>
      <w:r w:rsidRPr="00BA7D67">
        <w:rPr>
          <w:rFonts w:eastAsia="Calibri" w:cs="Calibri"/>
          <w:b/>
          <w:bCs/>
          <w:lang w:eastAsia="it-IT"/>
        </w:rPr>
        <w:t xml:space="preserve">? </w:t>
      </w:r>
    </w:p>
    <w:p w:rsidR="004241AC" w:rsidRPr="004E389D" w:rsidRDefault="004241AC" w:rsidP="00BA7D67">
      <w:pPr>
        <w:spacing w:after="0" w:line="240" w:lineRule="auto"/>
        <w:jc w:val="both"/>
        <w:rPr>
          <w:rFonts w:ascii="Calibri" w:hAnsi="Calibri" w:cs="Arial"/>
        </w:rPr>
      </w:pPr>
      <w:r w:rsidRPr="00BA7D67">
        <w:rPr>
          <w:rFonts w:cs="Arial"/>
        </w:rPr>
        <w:t xml:space="preserve">Poiché </w:t>
      </w:r>
      <w:proofErr w:type="spellStart"/>
      <w:r w:rsidR="00A539E9">
        <w:rPr>
          <w:rFonts w:cs="Arial"/>
        </w:rPr>
        <w:t>Opsardex</w:t>
      </w:r>
      <w:proofErr w:type="spellEnd"/>
      <w:r w:rsidR="00062636" w:rsidRPr="00BA7D67">
        <w:rPr>
          <w:rFonts w:cs="Arial"/>
        </w:rPr>
        <w:t xml:space="preserve"> </w:t>
      </w:r>
      <w:r w:rsidR="00013020" w:rsidRPr="00BA7D67">
        <w:rPr>
          <w:rFonts w:cs="Arial"/>
        </w:rPr>
        <w:t>è un medicinale generico</w:t>
      </w:r>
      <w:r w:rsidRPr="00BA7D67">
        <w:rPr>
          <w:rFonts w:cs="Arial"/>
        </w:rPr>
        <w:t>, è stato sufficiente effettuare prove cliniche per determinare</w:t>
      </w:r>
      <w:r w:rsidRPr="00BA7D67">
        <w:rPr>
          <w:rFonts w:cs="Arial"/>
          <w:b/>
        </w:rPr>
        <w:t xml:space="preserve"> </w:t>
      </w:r>
      <w:r w:rsidRPr="00BA7D67">
        <w:rPr>
          <w:rFonts w:cs="Arial"/>
        </w:rPr>
        <w:t xml:space="preserve">la bioequivalenza rispetto </w:t>
      </w:r>
      <w:r w:rsidR="00013020" w:rsidRPr="00BA7D67">
        <w:rPr>
          <w:rFonts w:cs="Arial"/>
        </w:rPr>
        <w:t>al</w:t>
      </w:r>
      <w:r w:rsidRPr="00BA7D67">
        <w:rPr>
          <w:rFonts w:cs="Arial"/>
        </w:rPr>
        <w:t xml:space="preserve"> medicinal</w:t>
      </w:r>
      <w:r w:rsidR="00013020" w:rsidRPr="00BA7D67">
        <w:rPr>
          <w:rFonts w:cs="Arial"/>
        </w:rPr>
        <w:t xml:space="preserve">e </w:t>
      </w:r>
      <w:r w:rsidRPr="00BA7D67">
        <w:rPr>
          <w:rFonts w:cs="Arial"/>
        </w:rPr>
        <w:t xml:space="preserve">di riferimento </w:t>
      </w:r>
      <w:proofErr w:type="spellStart"/>
      <w:r w:rsidR="00A539E9">
        <w:rPr>
          <w:rFonts w:cs="Arial"/>
        </w:rPr>
        <w:t>Losec</w:t>
      </w:r>
      <w:proofErr w:type="spellEnd"/>
      <w:r w:rsidR="00013020" w:rsidRPr="00BA7D67">
        <w:rPr>
          <w:rFonts w:cs="Arial"/>
        </w:rPr>
        <w:t>. Due medicinali sono</w:t>
      </w:r>
      <w:r w:rsidR="00013020">
        <w:rPr>
          <w:rFonts w:ascii="Calibri" w:hAnsi="Calibri" w:cs="Arial"/>
        </w:rPr>
        <w:t xml:space="preserve"> </w:t>
      </w:r>
      <w:proofErr w:type="spellStart"/>
      <w:r w:rsidR="00013020">
        <w:rPr>
          <w:rFonts w:ascii="Calibri" w:hAnsi="Calibri" w:cs="Arial"/>
        </w:rPr>
        <w:t>bioequivalenti</w:t>
      </w:r>
      <w:proofErr w:type="spellEnd"/>
      <w:r w:rsidR="00013020">
        <w:rPr>
          <w:rFonts w:ascii="Calibri" w:hAnsi="Calibri" w:cs="Arial"/>
        </w:rPr>
        <w:t xml:space="preserve"> quando producono gli stessi livelli di principio attivo nell’organismo</w:t>
      </w:r>
      <w:r w:rsidRPr="004E389D">
        <w:rPr>
          <w:rFonts w:ascii="Calibri" w:hAnsi="Calibri" w:cs="Arial"/>
        </w:rPr>
        <w:t xml:space="preserve">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A539E9">
        <w:rPr>
          <w:rFonts w:eastAsia="Calibri" w:cs="Calibri"/>
          <w:b/>
          <w:bCs/>
          <w:color w:val="000000"/>
          <w:lang w:eastAsia="it-IT"/>
        </w:rPr>
        <w:t>Opsardex</w:t>
      </w:r>
      <w:proofErr w:type="spellEnd"/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Pr="002A3F14" w:rsidRDefault="00A539E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Opsardex</w:t>
      </w:r>
      <w:proofErr w:type="spellEnd"/>
      <w:r w:rsidR="009B03D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 xml:space="preserve">è un medicinale </w:t>
      </w:r>
      <w:r w:rsidR="00013020">
        <w:rPr>
          <w:rFonts w:eastAsia="Calibri" w:cs="Calibri"/>
          <w:lang w:eastAsia="it-IT"/>
        </w:rPr>
        <w:t xml:space="preserve">generico ed è </w:t>
      </w:r>
      <w:proofErr w:type="spellStart"/>
      <w:r w:rsidR="00013020">
        <w:rPr>
          <w:rFonts w:eastAsia="Calibri" w:cs="Calibri"/>
          <w:lang w:eastAsia="it-IT"/>
        </w:rPr>
        <w:t>bioequivale</w:t>
      </w:r>
      <w:r w:rsidR="009B03DB">
        <w:rPr>
          <w:rFonts w:eastAsia="Calibri" w:cs="Calibri"/>
          <w:lang w:eastAsia="it-IT"/>
        </w:rPr>
        <w:t>n</w:t>
      </w:r>
      <w:r w:rsidR="00013020">
        <w:rPr>
          <w:rFonts w:eastAsia="Calibri" w:cs="Calibri"/>
          <w:lang w:eastAsia="it-IT"/>
        </w:rPr>
        <w:t>te</w:t>
      </w:r>
      <w:proofErr w:type="spellEnd"/>
      <w:r w:rsidR="00013020">
        <w:rPr>
          <w:rFonts w:eastAsia="Calibri" w:cs="Calibri"/>
          <w:lang w:eastAsia="it-IT"/>
        </w:rPr>
        <w:t xml:space="preserve"> al medicinale di riferimento</w:t>
      </w:r>
      <w:r w:rsidR="00BA7D67">
        <w:rPr>
          <w:rFonts w:eastAsia="Calibri" w:cs="Calibri"/>
          <w:lang w:eastAsia="it-IT"/>
        </w:rPr>
        <w:t>; pertanto,</w:t>
      </w:r>
      <w:r w:rsidR="00BA7D67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A539E9">
        <w:rPr>
          <w:rFonts w:eastAsia="Calibri" w:cs="Calibri"/>
          <w:b/>
          <w:bCs/>
          <w:color w:val="000000"/>
          <w:lang w:eastAsia="it-IT"/>
        </w:rPr>
        <w:t>Opsardex</w:t>
      </w:r>
      <w:proofErr w:type="spellEnd"/>
      <w:r w:rsidR="009B03D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>La Commissione Tecnico Scientifica (CTS)</w:t>
      </w:r>
      <w:r>
        <w:rPr>
          <w:rFonts w:eastAsia="Calibri" w:cs="Calibri"/>
          <w:lang w:eastAsia="it-IT"/>
        </w:rPr>
        <w:t>,</w:t>
      </w:r>
      <w:r w:rsidRPr="002A3F14">
        <w:rPr>
          <w:rFonts w:eastAsia="Calibri" w:cs="Calibri"/>
          <w:lang w:eastAsia="it-IT"/>
        </w:rPr>
        <w:t xml:space="preserve"> nella </w:t>
      </w:r>
      <w:r w:rsidRPr="00CA3A1E">
        <w:rPr>
          <w:rFonts w:eastAsia="Calibri" w:cs="Calibri"/>
          <w:lang w:eastAsia="it-IT"/>
        </w:rPr>
        <w:t xml:space="preserve">seduta del </w:t>
      </w:r>
      <w:r w:rsidR="00A810A3">
        <w:rPr>
          <w:rFonts w:eastAsia="Calibri" w:cs="Calibri"/>
          <w:lang w:eastAsia="it-IT"/>
        </w:rPr>
        <w:t>23-25 marzo 2015</w:t>
      </w:r>
      <w:r w:rsidRPr="002A3F14">
        <w:rPr>
          <w:rFonts w:eastAsia="Calibri" w:cs="Calibri"/>
          <w:lang w:eastAsia="it-IT"/>
        </w:rPr>
        <w:t xml:space="preserve">, </w:t>
      </w:r>
      <w:r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D2017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riferimento </w:t>
      </w:r>
      <w:proofErr w:type="spellStart"/>
      <w:r w:rsidR="00A539E9">
        <w:rPr>
          <w:rFonts w:eastAsia="Calibri" w:cs="Calibri"/>
          <w:lang w:eastAsia="it-IT"/>
        </w:rPr>
        <w:t>Losec</w:t>
      </w:r>
      <w:proofErr w:type="spellEnd"/>
      <w:r>
        <w:rPr>
          <w:rFonts w:eastAsia="Calibri" w:cs="Calibri"/>
          <w:lang w:eastAsia="it-IT"/>
        </w:rPr>
        <w:t xml:space="preserve">, i benefici di </w:t>
      </w:r>
      <w:proofErr w:type="spellStart"/>
      <w:r w:rsidR="00A539E9">
        <w:rPr>
          <w:rFonts w:eastAsia="Calibri" w:cs="Calibri"/>
          <w:lang w:eastAsia="it-IT"/>
        </w:rPr>
        <w:t>Opsardex</w:t>
      </w:r>
      <w:proofErr w:type="spellEnd"/>
      <w:r w:rsidR="009B03DB">
        <w:rPr>
          <w:rFonts w:eastAsia="Calibri" w:cs="Calibri"/>
          <w:lang w:eastAsia="it-IT"/>
        </w:rPr>
        <w:t xml:space="preserve"> </w:t>
      </w:r>
      <w:r w:rsidR="00F97B34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</w:t>
      </w:r>
      <w:r w:rsidRPr="0011250C">
        <w:rPr>
          <w:rFonts w:eastAsia="Calibri" w:cs="Calibri"/>
          <w:lang w:eastAsia="it-IT"/>
        </w:rPr>
        <w:t>di prescrizione di c</w:t>
      </w:r>
      <w:r w:rsidR="00076ADA">
        <w:rPr>
          <w:rFonts w:eastAsia="Calibri" w:cs="Calibri"/>
          <w:lang w:eastAsia="it-IT"/>
        </w:rPr>
        <w:t xml:space="preserve">ui al punto </w:t>
      </w:r>
      <w:r w:rsidRPr="0011250C">
        <w:rPr>
          <w:rFonts w:eastAsia="Calibri" w:cs="Calibri"/>
          <w:lang w:eastAsia="it-IT"/>
        </w:rPr>
        <w:t>2) di questo Riassunto e la classe di rimborsabilità del medicinale</w:t>
      </w:r>
      <w:r w:rsidR="00D20170" w:rsidRPr="0011250C">
        <w:rPr>
          <w:rFonts w:eastAsia="Calibri" w:cs="Calibri"/>
          <w:lang w:eastAsia="it-IT"/>
        </w:rPr>
        <w:t xml:space="preserve"> </w:t>
      </w:r>
      <w:r w:rsidRPr="005E1536">
        <w:rPr>
          <w:rFonts w:eastAsia="Calibri" w:cs="Calibri"/>
          <w:lang w:eastAsia="it-IT"/>
        </w:rPr>
        <w:t>(</w:t>
      </w:r>
      <w:r w:rsidR="0011250C" w:rsidRPr="005E1536">
        <w:rPr>
          <w:rFonts w:eastAsia="Calibri" w:cs="Calibri"/>
          <w:lang w:eastAsia="it-IT"/>
        </w:rPr>
        <w:t>A con not</w:t>
      </w:r>
      <w:r w:rsidR="00874CF7" w:rsidRPr="005E1536">
        <w:rPr>
          <w:rFonts w:eastAsia="Calibri" w:cs="Calibri"/>
          <w:lang w:eastAsia="it-IT"/>
        </w:rPr>
        <w:t>e 01 e</w:t>
      </w:r>
      <w:r w:rsidR="0011250C" w:rsidRPr="005E1536">
        <w:rPr>
          <w:rFonts w:eastAsia="Calibri" w:cs="Calibri"/>
          <w:lang w:eastAsia="it-IT"/>
        </w:rPr>
        <w:t xml:space="preserve"> 48</w:t>
      </w:r>
      <w:r w:rsidR="00874CF7" w:rsidRPr="005E1536">
        <w:rPr>
          <w:rFonts w:eastAsia="Calibri" w:cs="Calibri"/>
          <w:lang w:eastAsia="it-IT"/>
        </w:rPr>
        <w:t xml:space="preserve"> per le capsule da 10 mg e da 20 mg</w:t>
      </w:r>
      <w:r w:rsidR="0011250C" w:rsidRPr="005E1536">
        <w:rPr>
          <w:rFonts w:eastAsia="Calibri" w:cs="Calibri"/>
          <w:lang w:eastAsia="it-IT"/>
        </w:rPr>
        <w:t>; la nota stabilisce per quali pazienti il medicinale è rimborsato dal Servizio Sanitario Nazionale</w:t>
      </w:r>
      <w:r w:rsidR="00874CF7" w:rsidRPr="005E1536">
        <w:rPr>
          <w:rFonts w:eastAsia="Calibri" w:cs="Calibri"/>
          <w:lang w:eastAsia="it-IT"/>
        </w:rPr>
        <w:t>. C per le capsule da 40 mg</w:t>
      </w:r>
      <w:r w:rsidRPr="005E1536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275DD0" w:rsidRPr="002A3F14" w:rsidRDefault="00275DD0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A539E9">
        <w:rPr>
          <w:rFonts w:eastAsia="Calibri" w:cs="Calibri"/>
          <w:b/>
          <w:bCs/>
          <w:color w:val="000000"/>
          <w:lang w:eastAsia="it-IT"/>
        </w:rPr>
        <w:t>Opsardex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5E707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A539E9">
        <w:rPr>
          <w:rFonts w:eastAsia="Calibri" w:cs="Calibri"/>
          <w:lang w:eastAsia="it-IT"/>
        </w:rPr>
        <w:t>Opsardex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A539E9">
        <w:rPr>
          <w:rFonts w:eastAsia="Calibri" w:cs="Calibri"/>
          <w:b/>
          <w:bCs/>
          <w:color w:val="000000"/>
          <w:lang w:eastAsia="it-IT"/>
        </w:rPr>
        <w:t>Opsardex</w:t>
      </w:r>
      <w:proofErr w:type="spellEnd"/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5E1536">
        <w:rPr>
          <w:rFonts w:eastAsia="Calibri" w:cs="Calibri"/>
          <w:bCs/>
          <w:iCs/>
          <w:lang w:eastAsia="it-IT"/>
        </w:rPr>
        <w:t xml:space="preserve">Il </w:t>
      </w:r>
      <w:r w:rsidR="005E1536" w:rsidRPr="005E1536">
        <w:rPr>
          <w:rFonts w:eastAsia="Calibri" w:cs="Calibri"/>
          <w:bCs/>
          <w:iCs/>
          <w:lang w:eastAsia="it-IT"/>
        </w:rPr>
        <w:t>22 luglio</w:t>
      </w:r>
      <w:r w:rsidRPr="005E1536">
        <w:rPr>
          <w:rFonts w:eastAsia="Calibri" w:cs="Calibri"/>
          <w:bCs/>
          <w:iCs/>
          <w:lang w:eastAsia="it-IT"/>
        </w:rPr>
        <w:t xml:space="preserve"> 2015 l’AIFA</w:t>
      </w:r>
      <w:r w:rsidRPr="002A3DFF">
        <w:rPr>
          <w:rFonts w:eastAsia="Calibri" w:cs="Calibri"/>
          <w:bCs/>
          <w:iCs/>
          <w:lang w:eastAsia="it-IT"/>
        </w:rPr>
        <w:t xml:space="preserve"> ha rilasciato l’autorizzazione all’immissione in commercio di </w:t>
      </w:r>
      <w:proofErr w:type="spellStart"/>
      <w:r w:rsidR="00A539E9" w:rsidRPr="002A3DFF">
        <w:rPr>
          <w:rFonts w:eastAsia="Calibri" w:cs="Calibri"/>
          <w:bCs/>
          <w:color w:val="000000"/>
          <w:lang w:eastAsia="it-IT"/>
        </w:rPr>
        <w:t>Opsardex</w:t>
      </w:r>
      <w:proofErr w:type="spellEnd"/>
      <w:r w:rsidRPr="002A3DFF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:rsidR="005D40D3" w:rsidRDefault="005D40D3" w:rsidP="005D40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D40D3" w:rsidRDefault="005D40D3" w:rsidP="005D40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A539E9">
        <w:rPr>
          <w:rFonts w:eastAsia="Calibri" w:cs="Calibri"/>
          <w:bCs/>
          <w:color w:val="000000"/>
          <w:lang w:eastAsia="it-IT"/>
        </w:rPr>
        <w:t>Opsardex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BB7C7D">
        <w:rPr>
          <w:rFonts w:eastAsia="Calibri" w:cs="Calibri"/>
          <w:lang w:eastAsia="it-IT"/>
        </w:rPr>
        <w:t>(</w:t>
      </w:r>
      <w:hyperlink r:id="rId6" w:history="1">
        <w:r w:rsidR="00BB7C7D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B7C7D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275DD0">
        <w:rPr>
          <w:rFonts w:eastAsia="Calibri" w:cs="Calibri"/>
          <w:lang w:eastAsia="it-IT"/>
        </w:rPr>
        <w:t>01.09.2015.</w:t>
      </w:r>
      <w:r w:rsidRPr="002A3F14">
        <w:rPr>
          <w:rFonts w:eastAsia="Calibri" w:cs="Calibri"/>
          <w:lang w:eastAsia="it-IT"/>
        </w:rPr>
        <w:t xml:space="preserve"> </w:t>
      </w:r>
    </w:p>
    <w:p w:rsidR="005D40D3" w:rsidRDefault="005D40D3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275DD0" w:rsidRDefault="00275DD0" w:rsidP="005D40D3">
      <w:pPr>
        <w:spacing w:after="0" w:line="240" w:lineRule="auto"/>
        <w:jc w:val="center"/>
        <w:rPr>
          <w:b/>
          <w:sz w:val="28"/>
        </w:rPr>
      </w:pPr>
    </w:p>
    <w:p w:rsidR="00275DD0" w:rsidRDefault="00275DD0" w:rsidP="005D40D3">
      <w:pPr>
        <w:spacing w:after="0" w:line="240" w:lineRule="auto"/>
        <w:jc w:val="center"/>
        <w:rPr>
          <w:b/>
          <w:sz w:val="28"/>
        </w:rPr>
      </w:pPr>
    </w:p>
    <w:p w:rsidR="00275DD0" w:rsidRDefault="00275DD0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874CF7" w:rsidRDefault="00874CF7" w:rsidP="005D40D3">
      <w:pPr>
        <w:spacing w:after="0" w:line="240" w:lineRule="auto"/>
        <w:jc w:val="center"/>
        <w:rPr>
          <w:b/>
          <w:sz w:val="28"/>
        </w:rPr>
      </w:pPr>
    </w:p>
    <w:p w:rsidR="005D40D3" w:rsidRDefault="005D40D3" w:rsidP="005D40D3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5D40D3" w:rsidRDefault="005D40D3" w:rsidP="005D40D3">
      <w:pPr>
        <w:spacing w:after="0" w:line="240" w:lineRule="auto"/>
        <w:jc w:val="center"/>
        <w:rPr>
          <w:b/>
        </w:rPr>
      </w:pPr>
    </w:p>
    <w:p w:rsidR="005D40D3" w:rsidRDefault="005D40D3" w:rsidP="005D40D3">
      <w:pPr>
        <w:spacing w:after="0" w:line="240" w:lineRule="auto"/>
        <w:jc w:val="center"/>
        <w:rPr>
          <w:b/>
        </w:rPr>
      </w:pPr>
    </w:p>
    <w:p w:rsidR="005D40D3" w:rsidRDefault="005D40D3" w:rsidP="005D40D3">
      <w:pPr>
        <w:spacing w:after="0" w:line="240" w:lineRule="auto"/>
        <w:jc w:val="center"/>
        <w:rPr>
          <w:b/>
        </w:rPr>
      </w:pPr>
    </w:p>
    <w:p w:rsidR="005D40D3" w:rsidRDefault="005D40D3" w:rsidP="005D40D3">
      <w:pPr>
        <w:spacing w:after="0" w:line="240" w:lineRule="auto"/>
        <w:jc w:val="center"/>
        <w:rPr>
          <w:b/>
        </w:rPr>
      </w:pPr>
    </w:p>
    <w:p w:rsidR="005D40D3" w:rsidRPr="0033523E" w:rsidRDefault="005D40D3" w:rsidP="005D40D3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5D40D3" w:rsidRDefault="005D40D3" w:rsidP="005D40D3">
      <w:pPr>
        <w:spacing w:after="0" w:line="240" w:lineRule="auto"/>
        <w:jc w:val="both"/>
      </w:pPr>
    </w:p>
    <w:p w:rsidR="005D40D3" w:rsidRDefault="005D40D3" w:rsidP="005D40D3">
      <w:pPr>
        <w:spacing w:after="0" w:line="240" w:lineRule="auto"/>
        <w:jc w:val="both"/>
      </w:pPr>
    </w:p>
    <w:p w:rsidR="005D40D3" w:rsidRDefault="005D40D3" w:rsidP="005D40D3">
      <w:pPr>
        <w:spacing w:after="0" w:line="240" w:lineRule="auto"/>
        <w:jc w:val="both"/>
      </w:pPr>
    </w:p>
    <w:p w:rsidR="005D40D3" w:rsidRPr="008206E7" w:rsidRDefault="005D40D3" w:rsidP="005D40D3">
      <w:pPr>
        <w:pStyle w:val="Paragrafoelenco"/>
        <w:numPr>
          <w:ilvl w:val="0"/>
          <w:numId w:val="5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5D40D3" w:rsidRPr="002A3F14" w:rsidRDefault="005D40D3" w:rsidP="005D40D3">
      <w:pPr>
        <w:spacing w:after="0" w:line="240" w:lineRule="auto"/>
        <w:jc w:val="both"/>
      </w:pPr>
    </w:p>
    <w:p w:rsidR="005D40D3" w:rsidRDefault="005D40D3" w:rsidP="005D40D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5D40D3" w:rsidRPr="0033523E" w:rsidRDefault="005D40D3" w:rsidP="005D40D3">
      <w:pPr>
        <w:pStyle w:val="Paragrafoelenco"/>
        <w:rPr>
          <w:b/>
        </w:rPr>
      </w:pPr>
    </w:p>
    <w:p w:rsidR="005D40D3" w:rsidRDefault="005D40D3" w:rsidP="005D40D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5D40D3" w:rsidRPr="0033523E" w:rsidRDefault="005D40D3" w:rsidP="005D40D3">
      <w:pPr>
        <w:pStyle w:val="Paragrafoelenco"/>
        <w:rPr>
          <w:b/>
        </w:rPr>
      </w:pPr>
    </w:p>
    <w:p w:rsidR="005D40D3" w:rsidRDefault="005D40D3" w:rsidP="005D40D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5D40D3" w:rsidRPr="0033523E" w:rsidRDefault="005D40D3" w:rsidP="005D40D3">
      <w:pPr>
        <w:pStyle w:val="Paragrafoelenco"/>
        <w:rPr>
          <w:b/>
        </w:rPr>
      </w:pPr>
    </w:p>
    <w:p w:rsidR="005D40D3" w:rsidRPr="002E4DCB" w:rsidRDefault="005D40D3" w:rsidP="005D40D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5D40D3" w:rsidRDefault="005D40D3" w:rsidP="005D40D3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5D40D3" w:rsidRPr="00BC23ED" w:rsidRDefault="005D40D3" w:rsidP="005D40D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Pr="008206E7" w:rsidRDefault="005D40D3" w:rsidP="005D40D3">
      <w:pPr>
        <w:pStyle w:val="Paragrafoelenco"/>
        <w:numPr>
          <w:ilvl w:val="0"/>
          <w:numId w:val="6"/>
        </w:numPr>
        <w:spacing w:after="0" w:line="240" w:lineRule="auto"/>
        <w:rPr>
          <w:b/>
        </w:rPr>
      </w:pPr>
      <w:r w:rsidRPr="008206E7">
        <w:rPr>
          <w:b/>
        </w:rPr>
        <w:lastRenderedPageBreak/>
        <w:t>INTRODUZIONE</w:t>
      </w:r>
    </w:p>
    <w:p w:rsidR="005D40D3" w:rsidRDefault="005D40D3" w:rsidP="00412D3F">
      <w:pPr>
        <w:autoSpaceDE w:val="0"/>
        <w:autoSpaceDN w:val="0"/>
        <w:adjustRightInd w:val="0"/>
        <w:spacing w:after="0" w:line="240" w:lineRule="auto"/>
        <w:jc w:val="both"/>
      </w:pPr>
      <w:r>
        <w:t xml:space="preserve">Sulla base dei dati di qualità, sicurezza ed efficacia, l’AIFA ha rilasciato a </w:t>
      </w:r>
      <w:proofErr w:type="spellStart"/>
      <w:r w:rsidR="00874CF7">
        <w:t>Pharmacare</w:t>
      </w:r>
      <w:proofErr w:type="spellEnd"/>
      <w:r>
        <w:t xml:space="preserve"> l’autorizzazione all’immissione in commercio (AIC) per il </w:t>
      </w:r>
      <w:r w:rsidRPr="006B2CC3">
        <w:t xml:space="preserve">medicinale </w:t>
      </w:r>
      <w:proofErr w:type="spellStart"/>
      <w:r w:rsidR="00A539E9" w:rsidRPr="005E1536">
        <w:t>Opsardex</w:t>
      </w:r>
      <w:proofErr w:type="spellEnd"/>
      <w:r w:rsidRPr="005E1536">
        <w:t xml:space="preserve"> </w:t>
      </w:r>
      <w:r w:rsidRPr="005E1536">
        <w:rPr>
          <w:rFonts w:eastAsia="Calibri" w:cs="Calibri"/>
          <w:bCs/>
          <w:iCs/>
          <w:lang w:eastAsia="it-IT"/>
        </w:rPr>
        <w:t xml:space="preserve">il </w:t>
      </w:r>
      <w:r w:rsidR="005E1536" w:rsidRPr="005E1536">
        <w:rPr>
          <w:rFonts w:eastAsia="Calibri" w:cs="Calibri"/>
          <w:bCs/>
          <w:iCs/>
          <w:lang w:eastAsia="it-IT"/>
        </w:rPr>
        <w:t>22 luglio 2015</w:t>
      </w:r>
      <w:r>
        <w:t xml:space="preserve">.  </w:t>
      </w:r>
    </w:p>
    <w:p w:rsidR="005D40D3" w:rsidRDefault="005D40D3" w:rsidP="00412D3F">
      <w:pPr>
        <w:spacing w:after="0" w:line="240" w:lineRule="auto"/>
        <w:jc w:val="both"/>
      </w:pPr>
    </w:p>
    <w:p w:rsidR="005D40D3" w:rsidRPr="007461B9" w:rsidRDefault="00A539E9" w:rsidP="00412D3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Opsardex</w:t>
      </w:r>
      <w:proofErr w:type="spellEnd"/>
      <w:r w:rsidR="005D40D3">
        <w:rPr>
          <w:rFonts w:eastAsia="Calibri" w:cs="Calibri"/>
          <w:color w:val="000000"/>
          <w:lang w:eastAsia="it-IT"/>
        </w:rPr>
        <w:t xml:space="preserve"> </w:t>
      </w:r>
      <w:r w:rsidR="005D40D3" w:rsidRPr="00FE36E7">
        <w:rPr>
          <w:rFonts w:eastAsia="Calibri" w:cs="Calibri"/>
          <w:color w:val="000000"/>
          <w:lang w:eastAsia="it-IT"/>
        </w:rPr>
        <w:t xml:space="preserve">può essere ottenuto solo dietro prescrizione da parte del medico </w:t>
      </w:r>
      <w:r w:rsidR="005D40D3" w:rsidRPr="007461B9">
        <w:rPr>
          <w:rFonts w:eastAsia="Calibri" w:cs="Calibri"/>
          <w:color w:val="000000"/>
          <w:lang w:eastAsia="it-IT"/>
        </w:rPr>
        <w:t>(ricetta ripetibile).</w:t>
      </w:r>
    </w:p>
    <w:p w:rsidR="005D40D3" w:rsidRPr="007461B9" w:rsidRDefault="005D40D3" w:rsidP="00412D3F">
      <w:pPr>
        <w:spacing w:after="0" w:line="240" w:lineRule="auto"/>
        <w:jc w:val="both"/>
      </w:pPr>
    </w:p>
    <w:p w:rsidR="005D40D3" w:rsidRPr="00C608F7" w:rsidRDefault="005D40D3" w:rsidP="00412D3F">
      <w:pPr>
        <w:spacing w:after="0" w:line="240" w:lineRule="auto"/>
        <w:jc w:val="both"/>
      </w:pPr>
      <w:r w:rsidRPr="00C608F7">
        <w:t xml:space="preserve">Questa procedura è stata presentata ai sensi dell’art. 10(1) della Direttiva 2001/83/EU </w:t>
      </w:r>
      <w:proofErr w:type="spellStart"/>
      <w:r w:rsidRPr="00C608F7">
        <w:t>s.m.i.</w:t>
      </w:r>
      <w:proofErr w:type="spellEnd"/>
    </w:p>
    <w:p w:rsidR="005D40D3" w:rsidRPr="00C608F7" w:rsidRDefault="005D40D3" w:rsidP="00412D3F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5D40D3" w:rsidRPr="00C608F7" w:rsidRDefault="00A539E9" w:rsidP="00412D3F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Opsardex</w:t>
      </w:r>
      <w:proofErr w:type="spellEnd"/>
      <w:r w:rsidR="005D40D3" w:rsidRPr="00C608F7">
        <w:rPr>
          <w:rFonts w:eastAsia="Calibri" w:cs="Calibri"/>
          <w:bCs/>
          <w:color w:val="000000"/>
          <w:lang w:eastAsia="it-IT"/>
        </w:rPr>
        <w:t xml:space="preserve"> </w:t>
      </w:r>
      <w:r w:rsidR="005D40D3" w:rsidRPr="00C608F7">
        <w:rPr>
          <w:rFonts w:eastAsia="Calibri" w:cs="Calibri"/>
          <w:color w:val="000000"/>
          <w:lang w:eastAsia="it-IT"/>
        </w:rPr>
        <w:t xml:space="preserve">è un medicinale </w:t>
      </w:r>
      <w:r w:rsidR="006E45EF">
        <w:rPr>
          <w:rFonts w:eastAsia="Calibri" w:cs="Calibri"/>
          <w:color w:val="000000"/>
          <w:lang w:eastAsia="it-IT"/>
        </w:rPr>
        <w:t xml:space="preserve">generico </w:t>
      </w:r>
      <w:r w:rsidR="005D40D3" w:rsidRPr="00C608F7">
        <w:rPr>
          <w:rFonts w:eastAsia="Calibri" w:cs="Calibri"/>
          <w:color w:val="000000"/>
          <w:lang w:eastAsia="it-IT"/>
        </w:rPr>
        <w:t xml:space="preserve">contenente il principio attivo </w:t>
      </w:r>
      <w:proofErr w:type="spellStart"/>
      <w:r>
        <w:rPr>
          <w:rFonts w:eastAsia="Calibri" w:cs="Calibri"/>
          <w:color w:val="000000"/>
          <w:lang w:eastAsia="it-IT"/>
        </w:rPr>
        <w:t>omeprazolo</w:t>
      </w:r>
      <w:proofErr w:type="spellEnd"/>
      <w:r w:rsidR="005D40D3" w:rsidRPr="00C608F7">
        <w:rPr>
          <w:rFonts w:eastAsia="Calibri" w:cs="Calibri"/>
          <w:color w:val="000000"/>
          <w:lang w:eastAsia="it-IT"/>
        </w:rPr>
        <w:t xml:space="preserve"> presente nel medicinale di riferimento </w:t>
      </w:r>
      <w:proofErr w:type="spellStart"/>
      <w:r>
        <w:rPr>
          <w:rFonts w:eastAsia="Calibri" w:cs="Calibri"/>
          <w:color w:val="000000"/>
          <w:lang w:eastAsia="it-IT"/>
        </w:rPr>
        <w:t>Losec</w:t>
      </w:r>
      <w:proofErr w:type="spellEnd"/>
      <w:r w:rsidR="005D40D3" w:rsidRPr="00C608F7">
        <w:rPr>
          <w:rFonts w:eastAsia="Calibri" w:cs="Calibri"/>
          <w:color w:val="000000"/>
          <w:lang w:eastAsia="it-IT"/>
        </w:rPr>
        <w:t>, autorizzato in Italia da più di 10 anni.</w:t>
      </w:r>
    </w:p>
    <w:p w:rsidR="005D40D3" w:rsidRPr="00C608F7" w:rsidRDefault="005D40D3" w:rsidP="00412D3F">
      <w:pPr>
        <w:spacing w:after="0" w:line="240" w:lineRule="auto"/>
        <w:jc w:val="both"/>
        <w:rPr>
          <w:highlight w:val="yellow"/>
        </w:rPr>
      </w:pPr>
    </w:p>
    <w:p w:rsidR="005D40D3" w:rsidRDefault="00A539E9" w:rsidP="00412D3F">
      <w:pPr>
        <w:spacing w:after="0" w:line="240" w:lineRule="auto"/>
        <w:jc w:val="both"/>
        <w:rPr>
          <w:rFonts w:ascii="Calibri" w:hAnsi="Calibri"/>
          <w:color w:val="000000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Opsardex</w:t>
      </w:r>
      <w:proofErr w:type="spellEnd"/>
      <w:r w:rsidR="005D40D3" w:rsidRPr="00C608F7">
        <w:rPr>
          <w:rFonts w:eastAsia="Calibri" w:cs="Calibri"/>
          <w:bCs/>
          <w:color w:val="000000"/>
          <w:lang w:eastAsia="it-IT"/>
        </w:rPr>
        <w:t xml:space="preserve">, </w:t>
      </w:r>
      <w:r w:rsidR="005D40D3" w:rsidRPr="00C608F7">
        <w:rPr>
          <w:color w:val="000000"/>
        </w:rPr>
        <w:t>il cui c</w:t>
      </w:r>
      <w:r w:rsidR="005D40D3" w:rsidRPr="00C608F7">
        <w:rPr>
          <w:iCs/>
        </w:rPr>
        <w:t xml:space="preserve">odice ATC è </w:t>
      </w:r>
      <w:r w:rsidR="00874CF7" w:rsidRPr="00CB3350">
        <w:t>A02BC01</w:t>
      </w:r>
      <w:r w:rsidR="005D40D3" w:rsidRPr="00C608F7">
        <w:rPr>
          <w:rFonts w:eastAsia="DejaVuSans" w:cs="DejaVuSans"/>
        </w:rPr>
        <w:t>,</w:t>
      </w:r>
      <w:r w:rsidR="005D40D3" w:rsidRPr="00C608F7">
        <w:rPr>
          <w:rFonts w:eastAsia="Calibri" w:cs="Calibri"/>
          <w:bCs/>
          <w:color w:val="000000"/>
          <w:lang w:eastAsia="it-IT"/>
        </w:rPr>
        <w:t xml:space="preserve"> </w:t>
      </w:r>
      <w:r w:rsidR="005D40D3" w:rsidRPr="00C608F7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>
        <w:rPr>
          <w:rFonts w:eastAsia="Calibri" w:cs="Calibri"/>
          <w:color w:val="000000"/>
          <w:lang w:eastAsia="it-IT"/>
        </w:rPr>
        <w:t>omeprazolo</w:t>
      </w:r>
      <w:proofErr w:type="spellEnd"/>
      <w:r w:rsidR="005D40D3" w:rsidRPr="00C608F7">
        <w:rPr>
          <w:rFonts w:eastAsia="Calibri" w:cs="Calibri"/>
          <w:bCs/>
          <w:color w:val="000000"/>
          <w:lang w:eastAsia="it-IT"/>
        </w:rPr>
        <w:t xml:space="preserve"> </w:t>
      </w:r>
      <w:r w:rsidR="00412D3F" w:rsidRPr="00CB3350">
        <w:t xml:space="preserve">miscela racemica di due </w:t>
      </w:r>
      <w:proofErr w:type="spellStart"/>
      <w:r w:rsidR="00412D3F" w:rsidRPr="00CB3350">
        <w:t>enantiomeri</w:t>
      </w:r>
      <w:proofErr w:type="spellEnd"/>
      <w:r w:rsidR="00412D3F" w:rsidRPr="00CB3350">
        <w:t xml:space="preserve"> attivi</w:t>
      </w:r>
      <w:r w:rsidR="00412D3F">
        <w:t>,</w:t>
      </w:r>
      <w:r w:rsidR="00412D3F" w:rsidRPr="00412D3F">
        <w:rPr>
          <w:rFonts w:eastAsia="Times New Roman"/>
          <w:lang w:eastAsia="it-IT"/>
        </w:rPr>
        <w:t xml:space="preserve"> </w:t>
      </w:r>
      <w:r w:rsidR="00412D3F" w:rsidRPr="00C608F7">
        <w:rPr>
          <w:rFonts w:eastAsia="Times New Roman"/>
          <w:lang w:eastAsia="it-IT"/>
        </w:rPr>
        <w:t xml:space="preserve">appartenente alla classe </w:t>
      </w:r>
      <w:r w:rsidR="00412D3F" w:rsidRPr="00C43444">
        <w:rPr>
          <w:rFonts w:ascii="Calibri" w:hAnsi="Calibri"/>
          <w:color w:val="000000"/>
        </w:rPr>
        <w:t xml:space="preserve">dei composti antisecretori i </w:t>
      </w:r>
      <w:proofErr w:type="spellStart"/>
      <w:r w:rsidR="00412D3F" w:rsidRPr="00C43444">
        <w:rPr>
          <w:rFonts w:ascii="Calibri" w:hAnsi="Calibri"/>
          <w:color w:val="000000"/>
        </w:rPr>
        <w:t>benzimidazoli</w:t>
      </w:r>
      <w:proofErr w:type="spellEnd"/>
      <w:r w:rsidR="00412D3F" w:rsidRPr="00C43444">
        <w:rPr>
          <w:rFonts w:ascii="Calibri" w:hAnsi="Calibri"/>
          <w:color w:val="000000"/>
        </w:rPr>
        <w:t xml:space="preserve"> sostituiti</w:t>
      </w:r>
      <w:r w:rsidR="00412D3F" w:rsidRPr="00CB3350">
        <w:t xml:space="preserve">, riduce la secrezione acida gastrica mediante un meccanismo di azione altamente specializzato. </w:t>
      </w:r>
      <w:proofErr w:type="spellStart"/>
      <w:r w:rsidR="00412D3F" w:rsidRPr="00CB3350">
        <w:t>Omeprazolo</w:t>
      </w:r>
      <w:proofErr w:type="spellEnd"/>
      <w:r w:rsidR="00412D3F" w:rsidRPr="00CB3350">
        <w:t xml:space="preserve"> è un inibitore specifico di pompa protonica a livello delle cellule parietali gastriche. Agisce rapidamente e promuove un controllo reversibile dell’inibizione della secrezione acida gastrica</w:t>
      </w:r>
      <w:r w:rsidR="00412D3F">
        <w:t>.</w:t>
      </w:r>
    </w:p>
    <w:p w:rsidR="00412D3F" w:rsidRPr="00CB3350" w:rsidRDefault="00412D3F" w:rsidP="00412D3F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CB3350">
        <w:t>Omeprazolo</w:t>
      </w:r>
      <w:proofErr w:type="spellEnd"/>
      <w:r w:rsidRPr="00CB3350">
        <w:t xml:space="preserve"> è una base debole ed è concentrato e convertito nella forma attiva nell'ambiente fortemente acido dei canalicoli intracellulari all’interno delle cellule parietali, dove inibisce la </w:t>
      </w:r>
      <w:proofErr w:type="spellStart"/>
      <w:r w:rsidRPr="00CB3350">
        <w:t>H+</w:t>
      </w:r>
      <w:proofErr w:type="spellEnd"/>
      <w:r w:rsidRPr="00CB3350">
        <w:t xml:space="preserve"> </w:t>
      </w:r>
      <w:proofErr w:type="spellStart"/>
      <w:r w:rsidRPr="00CB3350">
        <w:t>K+</w:t>
      </w:r>
      <w:proofErr w:type="spellEnd"/>
      <w:r w:rsidRPr="00CB3350">
        <w:t xml:space="preserve"> </w:t>
      </w:r>
      <w:proofErr w:type="spellStart"/>
      <w:r w:rsidRPr="00CB3350">
        <w:t>-ATPasi</w:t>
      </w:r>
      <w:proofErr w:type="spellEnd"/>
      <w:r w:rsidRPr="00CB3350">
        <w:t xml:space="preserve"> - pompa protonica. Quest’azione sull'ultima tappa del processo di formazione dell'acido gastrico è dose-dipendente e provoca un'inibizione altamente efficace della secrezione acida, sia di quella basale, sia di quella stimolata, indipendentemente dallo stimolo utilizzato.</w:t>
      </w:r>
    </w:p>
    <w:p w:rsidR="005D40D3" w:rsidRDefault="005D40D3" w:rsidP="00412D3F">
      <w:pPr>
        <w:spacing w:after="0" w:line="240" w:lineRule="auto"/>
        <w:jc w:val="both"/>
        <w:rPr>
          <w:rFonts w:ascii="Calibri" w:hAnsi="Calibri"/>
          <w:color w:val="000000"/>
        </w:rPr>
      </w:pPr>
    </w:p>
    <w:p w:rsidR="00412D3F" w:rsidRPr="00452364" w:rsidRDefault="00412D3F" w:rsidP="00412D3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Opsardex</w:t>
      </w:r>
      <w:proofErr w:type="spellEnd"/>
      <w:r w:rsidRPr="00452364">
        <w:rPr>
          <w:rFonts w:eastAsia="Calibri" w:cs="Calibri"/>
          <w:color w:val="000000"/>
          <w:lang w:eastAsia="it-IT"/>
        </w:rPr>
        <w:t xml:space="preserve"> si usa:</w:t>
      </w:r>
    </w:p>
    <w:p w:rsidR="00412D3F" w:rsidRPr="00A539E9" w:rsidRDefault="00412D3F" w:rsidP="00412D3F">
      <w:pPr>
        <w:suppressAutoHyphens/>
        <w:spacing w:after="0" w:line="240" w:lineRule="auto"/>
        <w:jc w:val="both"/>
        <w:rPr>
          <w:i/>
        </w:rPr>
      </w:pPr>
      <w:r w:rsidRPr="00A539E9">
        <w:rPr>
          <w:i/>
        </w:rPr>
        <w:t>negli adulti</w:t>
      </w:r>
      <w:r>
        <w:t xml:space="preserve"> per</w:t>
      </w:r>
    </w:p>
    <w:p w:rsidR="00412D3F" w:rsidRPr="00CB3350" w:rsidRDefault="00412D3F" w:rsidP="00AD4716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284" w:hanging="142"/>
        <w:jc w:val="both"/>
      </w:pPr>
      <w:r w:rsidRPr="00CB3350">
        <w:t>Tra</w:t>
      </w:r>
      <w:r>
        <w:t>ttamento delle ulcere duodenali e p</w:t>
      </w:r>
      <w:r w:rsidRPr="00CB3350">
        <w:t>revenzione del</w:t>
      </w:r>
      <w:r>
        <w:t>le recidive;</w:t>
      </w:r>
    </w:p>
    <w:p w:rsidR="00412D3F" w:rsidRPr="00CB3350" w:rsidRDefault="00412D3F" w:rsidP="00AD4716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284" w:hanging="142"/>
        <w:jc w:val="both"/>
      </w:pPr>
      <w:r w:rsidRPr="00CB3350">
        <w:t>Trattamento delle ulcere ga</w:t>
      </w:r>
      <w:r>
        <w:t>striche e p</w:t>
      </w:r>
      <w:r w:rsidRPr="00CB3350">
        <w:t>revenzione del</w:t>
      </w:r>
      <w:r>
        <w:t>le recidive;</w:t>
      </w:r>
    </w:p>
    <w:p w:rsidR="00412D3F" w:rsidRPr="00CB3350" w:rsidRDefault="00412D3F" w:rsidP="00AD4716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284" w:hanging="142"/>
        <w:jc w:val="both"/>
      </w:pPr>
      <w:r w:rsidRPr="00CB3350">
        <w:t xml:space="preserve">Eradicazione di </w:t>
      </w:r>
      <w:proofErr w:type="spellStart"/>
      <w:r w:rsidRPr="00CB3350">
        <w:rPr>
          <w:i/>
        </w:rPr>
        <w:t>Helicobacter</w:t>
      </w:r>
      <w:proofErr w:type="spellEnd"/>
      <w:r w:rsidRPr="00CB3350">
        <w:rPr>
          <w:i/>
        </w:rPr>
        <w:t xml:space="preserve"> </w:t>
      </w:r>
      <w:proofErr w:type="spellStart"/>
      <w:r w:rsidRPr="00CB3350">
        <w:rPr>
          <w:i/>
        </w:rPr>
        <w:t>pylori</w:t>
      </w:r>
      <w:proofErr w:type="spellEnd"/>
      <w:r w:rsidRPr="00CB3350">
        <w:rPr>
          <w:i/>
        </w:rPr>
        <w:t xml:space="preserve"> (H. </w:t>
      </w:r>
      <w:proofErr w:type="spellStart"/>
      <w:r w:rsidRPr="00CB3350">
        <w:rPr>
          <w:i/>
        </w:rPr>
        <w:t>pylori</w:t>
      </w:r>
      <w:proofErr w:type="spellEnd"/>
      <w:r w:rsidRPr="00CB3350">
        <w:rPr>
          <w:i/>
        </w:rPr>
        <w:t>)</w:t>
      </w:r>
      <w:r w:rsidRPr="00CB3350">
        <w:t xml:space="preserve"> nell’ulcera peptica, in associazione a </w:t>
      </w:r>
      <w:r>
        <w:t>terapia antibiotica appropriata;</w:t>
      </w:r>
    </w:p>
    <w:p w:rsidR="00412D3F" w:rsidRPr="00CB3350" w:rsidRDefault="00412D3F" w:rsidP="00AD4716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284" w:hanging="142"/>
        <w:jc w:val="both"/>
      </w:pPr>
      <w:r w:rsidRPr="00CB3350">
        <w:t>Trattamento delle ulcere gastriche e duodenali associate all’assunzione di FANS</w:t>
      </w:r>
      <w:r>
        <w:t>;</w:t>
      </w:r>
    </w:p>
    <w:p w:rsidR="00412D3F" w:rsidRPr="00CB3350" w:rsidRDefault="00412D3F" w:rsidP="00AD4716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284" w:hanging="142"/>
        <w:jc w:val="both"/>
      </w:pPr>
      <w:r w:rsidRPr="00CB3350">
        <w:t>Prevenzione delle ulcere gastriche e duodenali associate all’assunzion</w:t>
      </w:r>
      <w:r>
        <w:t>e di FANS in pazienti a rischio;</w:t>
      </w:r>
    </w:p>
    <w:p w:rsidR="00412D3F" w:rsidRPr="00CB3350" w:rsidRDefault="00412D3F" w:rsidP="00AD4716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284" w:hanging="142"/>
        <w:jc w:val="both"/>
      </w:pPr>
      <w:r w:rsidRPr="00CB3350">
        <w:t>Trattam</w:t>
      </w:r>
      <w:r>
        <w:t>ento dell’esofagite da reflusso;</w:t>
      </w:r>
    </w:p>
    <w:p w:rsidR="00412D3F" w:rsidRPr="00CB3350" w:rsidRDefault="00412D3F" w:rsidP="00AD4716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284" w:hanging="142"/>
        <w:jc w:val="both"/>
      </w:pPr>
      <w:r w:rsidRPr="00CB3350">
        <w:t>Gestione a lungo termine dei pazienti con eso</w:t>
      </w:r>
      <w:r>
        <w:t>fagite da reflusso cicatrizzata;</w:t>
      </w:r>
    </w:p>
    <w:p w:rsidR="00412D3F" w:rsidRPr="00CB3350" w:rsidRDefault="00412D3F" w:rsidP="00AD4716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284" w:hanging="142"/>
        <w:jc w:val="both"/>
      </w:pPr>
      <w:r w:rsidRPr="00CB3350">
        <w:t>Trattamento della malattia sintomat</w:t>
      </w:r>
      <w:r>
        <w:t xml:space="preserve">ica da reflusso </w:t>
      </w:r>
      <w:proofErr w:type="spellStart"/>
      <w:r>
        <w:t>gastro-esofageo</w:t>
      </w:r>
      <w:proofErr w:type="spellEnd"/>
      <w:r>
        <w:t>;</w:t>
      </w:r>
    </w:p>
    <w:p w:rsidR="00412D3F" w:rsidRDefault="00412D3F" w:rsidP="00AD4716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567" w:hanging="425"/>
        <w:jc w:val="both"/>
      </w:pPr>
      <w:r w:rsidRPr="00CB3350">
        <w:t>Trattamento dell</w:t>
      </w:r>
      <w:r>
        <w:t xml:space="preserve">a sindrome di </w:t>
      </w:r>
      <w:proofErr w:type="spellStart"/>
      <w:r>
        <w:t>Zollinger-Ellison</w:t>
      </w:r>
      <w:proofErr w:type="spellEnd"/>
      <w:r>
        <w:t>;</w:t>
      </w:r>
    </w:p>
    <w:p w:rsidR="00412D3F" w:rsidRPr="00412D3F" w:rsidRDefault="00412D3F" w:rsidP="00412D3F">
      <w:pPr>
        <w:suppressAutoHyphens/>
        <w:spacing w:after="0" w:line="240" w:lineRule="auto"/>
        <w:jc w:val="both"/>
      </w:pPr>
      <w:r>
        <w:rPr>
          <w:i/>
        </w:rPr>
        <w:t>nei b</w:t>
      </w:r>
      <w:r w:rsidRPr="00CB3350">
        <w:rPr>
          <w:i/>
        </w:rPr>
        <w:t xml:space="preserve">ambini di età superiore ai 4 anni e adolescenti </w:t>
      </w:r>
      <w:r>
        <w:rPr>
          <w:i/>
        </w:rPr>
        <w:t>(12-18 anni)</w:t>
      </w:r>
      <w:r>
        <w:t xml:space="preserve"> per</w:t>
      </w:r>
    </w:p>
    <w:p w:rsidR="00412D3F" w:rsidRPr="00CB3350" w:rsidRDefault="00412D3F" w:rsidP="00AD4716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567" w:hanging="425"/>
        <w:jc w:val="both"/>
      </w:pPr>
      <w:r w:rsidRPr="00CB3350">
        <w:t xml:space="preserve">Trattamento dell’ulcera duodenale causata da </w:t>
      </w:r>
      <w:r w:rsidRPr="00CB3350">
        <w:rPr>
          <w:i/>
        </w:rPr>
        <w:t xml:space="preserve">H. </w:t>
      </w:r>
      <w:proofErr w:type="spellStart"/>
      <w:r w:rsidRPr="00CB3350">
        <w:rPr>
          <w:i/>
        </w:rPr>
        <w:t>pylori</w:t>
      </w:r>
      <w:proofErr w:type="spellEnd"/>
      <w:r w:rsidRPr="00CB3350">
        <w:t>, in ass</w:t>
      </w:r>
      <w:r>
        <w:t>ociazione a terapia antibiotica;</w:t>
      </w:r>
    </w:p>
    <w:p w:rsidR="00412D3F" w:rsidRPr="00412D3F" w:rsidRDefault="00412D3F" w:rsidP="00412D3F">
      <w:pPr>
        <w:suppressAutoHyphens/>
        <w:spacing w:after="0" w:line="240" w:lineRule="auto"/>
        <w:jc w:val="both"/>
      </w:pPr>
      <w:r>
        <w:rPr>
          <w:i/>
        </w:rPr>
        <w:t>nei b</w:t>
      </w:r>
      <w:r w:rsidRPr="00CB3350">
        <w:rPr>
          <w:i/>
        </w:rPr>
        <w:t>ambini di età superiore a 1 anno e con peso corporeo ≥ 10 kg</w:t>
      </w:r>
      <w:r>
        <w:t xml:space="preserve"> per</w:t>
      </w:r>
    </w:p>
    <w:p w:rsidR="00412D3F" w:rsidRPr="00CB3350" w:rsidRDefault="00412D3F" w:rsidP="00AD4716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567" w:hanging="425"/>
        <w:jc w:val="both"/>
      </w:pPr>
      <w:r w:rsidRPr="00CB3350">
        <w:t>Trattamento dell’esofagite da reflusso.</w:t>
      </w:r>
    </w:p>
    <w:p w:rsidR="00412D3F" w:rsidRPr="00CB3350" w:rsidRDefault="00412D3F" w:rsidP="00AD4716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567" w:hanging="425"/>
        <w:jc w:val="both"/>
      </w:pPr>
      <w:r w:rsidRPr="00CB3350">
        <w:t xml:space="preserve">Trattamento sintomatico della pirosi e del rigurgito acido nella malattia da reflusso </w:t>
      </w:r>
      <w:proofErr w:type="spellStart"/>
      <w:r w:rsidRPr="00CB3350">
        <w:t>gastro-esofageo</w:t>
      </w:r>
      <w:proofErr w:type="spellEnd"/>
      <w:r w:rsidRPr="00CB3350">
        <w:t>.</w:t>
      </w:r>
    </w:p>
    <w:p w:rsidR="005D40D3" w:rsidRPr="0002468C" w:rsidRDefault="005D40D3" w:rsidP="00412D3F">
      <w:pPr>
        <w:spacing w:after="0" w:line="240" w:lineRule="auto"/>
        <w:jc w:val="both"/>
      </w:pPr>
    </w:p>
    <w:p w:rsidR="005D40D3" w:rsidRDefault="005D40D3" w:rsidP="00412D3F">
      <w:pPr>
        <w:spacing w:after="0" w:line="240" w:lineRule="auto"/>
        <w:jc w:val="both"/>
      </w:pPr>
      <w:r w:rsidRPr="0002468C">
        <w:t xml:space="preserve">Poiché </w:t>
      </w:r>
      <w:proofErr w:type="spellStart"/>
      <w:r w:rsidR="00A539E9">
        <w:t>Opsardex</w:t>
      </w:r>
      <w:proofErr w:type="spellEnd"/>
      <w:r w:rsidRPr="0002468C">
        <w:t xml:space="preserve"> contiene </w:t>
      </w:r>
      <w:r>
        <w:t xml:space="preserve">un </w:t>
      </w:r>
      <w:r w:rsidRPr="0002468C">
        <w:t>principi</w:t>
      </w:r>
      <w:r>
        <w:t>o</w:t>
      </w:r>
      <w:r w:rsidRPr="0002468C">
        <w:t xml:space="preserve"> attiv</w:t>
      </w:r>
      <w:r>
        <w:t>o</w:t>
      </w:r>
      <w:r w:rsidRPr="0002468C">
        <w:t xml:space="preserve"> not</w:t>
      </w:r>
      <w:r>
        <w:t>o</w:t>
      </w:r>
      <w:r w:rsidRPr="0002468C">
        <w:t xml:space="preserve"> non sono stati forniti nuovi dati non clinici e clinici: questo approccio è accettabile poiché il medicinale di riferimento </w:t>
      </w:r>
      <w:proofErr w:type="spellStart"/>
      <w:r w:rsidR="00A539E9">
        <w:t>Losec</w:t>
      </w:r>
      <w:proofErr w:type="spellEnd"/>
      <w:r w:rsidRPr="0002468C">
        <w:t xml:space="preserve"> è autorizzato in Italia da oltre 10 anni.</w:t>
      </w:r>
    </w:p>
    <w:p w:rsidR="005D40D3" w:rsidRPr="0002468C" w:rsidRDefault="005D40D3" w:rsidP="00412D3F">
      <w:pPr>
        <w:spacing w:after="0" w:line="240" w:lineRule="auto"/>
        <w:jc w:val="both"/>
      </w:pPr>
      <w:r w:rsidRPr="0002468C">
        <w:t xml:space="preserve">La richiesta di AIC è supportata da uno studio di bioequivalenza che ha confrontato i profili farmacocinetici del medicinale test </w:t>
      </w:r>
      <w:proofErr w:type="spellStart"/>
      <w:r w:rsidR="00A539E9">
        <w:t>Opsardex</w:t>
      </w:r>
      <w:proofErr w:type="spellEnd"/>
      <w:r w:rsidRPr="0002468C">
        <w:t xml:space="preserve"> e quelli del medicinale di riferimento </w:t>
      </w:r>
      <w:proofErr w:type="spellStart"/>
      <w:r w:rsidR="00A539E9">
        <w:t>Losec</w:t>
      </w:r>
      <w:proofErr w:type="spellEnd"/>
      <w:r w:rsidRPr="0002468C">
        <w:t>.</w:t>
      </w:r>
    </w:p>
    <w:p w:rsidR="005D40D3" w:rsidRPr="00900C91" w:rsidRDefault="005D40D3" w:rsidP="00412D3F">
      <w:pPr>
        <w:spacing w:after="0" w:line="240" w:lineRule="auto"/>
        <w:jc w:val="both"/>
      </w:pPr>
      <w:r w:rsidRPr="00900C91">
        <w:t>Lo studio di bioequivalenza è stato condotto in conformità alle linee guida di Buona Pratica Clinica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Clinical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GCP).</w:t>
      </w:r>
    </w:p>
    <w:p w:rsidR="005D40D3" w:rsidRPr="00900C91" w:rsidRDefault="005D40D3" w:rsidP="00412D3F">
      <w:pPr>
        <w:spacing w:after="0" w:line="240" w:lineRule="auto"/>
        <w:jc w:val="both"/>
      </w:pPr>
    </w:p>
    <w:p w:rsidR="002457BF" w:rsidRDefault="005D40D3" w:rsidP="002457BF">
      <w:pPr>
        <w:spacing w:after="0" w:line="240" w:lineRule="auto"/>
        <w:jc w:val="both"/>
      </w:pPr>
      <w:r w:rsidRPr="00900C91">
        <w:t>Le officine coinvolte nella produzione sono conformi alle linee guida di Buona Pratica di Fabbricazione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Manufacturing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GMP). </w:t>
      </w:r>
      <w:r w:rsidR="002457BF">
        <w:t xml:space="preserve">Le autorità </w:t>
      </w:r>
      <w:r w:rsidR="002D14D6">
        <w:t>regolatorie</w:t>
      </w:r>
      <w:r w:rsidR="002457BF">
        <w:t xml:space="preserve"> europee competenti hanno rilasciato i certificati GMP per i siti di produzione.</w:t>
      </w:r>
    </w:p>
    <w:p w:rsidR="005D40D3" w:rsidRPr="00900C91" w:rsidRDefault="005D40D3" w:rsidP="005D40D3">
      <w:pPr>
        <w:spacing w:after="0" w:line="240" w:lineRule="auto"/>
        <w:jc w:val="both"/>
        <w:rPr>
          <w:highlight w:val="yellow"/>
        </w:rPr>
      </w:pPr>
    </w:p>
    <w:p w:rsidR="005D40D3" w:rsidRPr="00900C91" w:rsidRDefault="005D40D3" w:rsidP="005D40D3">
      <w:pPr>
        <w:spacing w:after="0" w:line="240" w:lineRule="auto"/>
        <w:jc w:val="both"/>
      </w:pPr>
      <w:r w:rsidRPr="00900C91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900C91">
        <w:rPr>
          <w:i/>
        </w:rPr>
        <w:t>Risk</w:t>
      </w:r>
      <w:proofErr w:type="spellEnd"/>
      <w:r w:rsidRPr="00900C91">
        <w:rPr>
          <w:i/>
        </w:rPr>
        <w:t xml:space="preserve"> Management </w:t>
      </w:r>
      <w:proofErr w:type="spellStart"/>
      <w:r w:rsidRPr="00900C91">
        <w:rPr>
          <w:i/>
        </w:rPr>
        <w:t>Plan</w:t>
      </w:r>
      <w:proofErr w:type="spellEnd"/>
      <w:r w:rsidRPr="00900C91">
        <w:t xml:space="preserve"> – RMP) accettabile.</w:t>
      </w:r>
    </w:p>
    <w:p w:rsidR="005D40D3" w:rsidRPr="00900C91" w:rsidRDefault="005D40D3" w:rsidP="005D40D3">
      <w:pPr>
        <w:spacing w:after="0" w:line="240" w:lineRule="auto"/>
        <w:jc w:val="both"/>
      </w:pPr>
    </w:p>
    <w:p w:rsidR="005D40D3" w:rsidRDefault="005D40D3" w:rsidP="005D40D3">
      <w:pPr>
        <w:spacing w:after="0" w:line="240" w:lineRule="auto"/>
        <w:jc w:val="both"/>
      </w:pPr>
      <w:r w:rsidRPr="00900C91">
        <w:lastRenderedPageBreak/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A539E9">
        <w:t>Opsardex</w:t>
      </w:r>
      <w:proofErr w:type="spellEnd"/>
      <w:r>
        <w:t xml:space="preserve"> </w:t>
      </w:r>
      <w:r w:rsidRPr="00900C91">
        <w:t xml:space="preserve">contiene </w:t>
      </w:r>
      <w:r w:rsidR="006E45EF">
        <w:t xml:space="preserve">un </w:t>
      </w:r>
      <w:r w:rsidRPr="00900C91">
        <w:t>principi</w:t>
      </w:r>
      <w:r w:rsidR="006E45EF">
        <w:t>o</w:t>
      </w:r>
      <w:r w:rsidRPr="00900C91">
        <w:t xml:space="preserve"> attiv</w:t>
      </w:r>
      <w:r w:rsidR="006E45EF">
        <w:t>o</w:t>
      </w:r>
      <w:r w:rsidRPr="00900C91">
        <w:t xml:space="preserve"> not</w:t>
      </w:r>
      <w:r w:rsidR="006E45EF">
        <w:t>o</w:t>
      </w:r>
      <w:r w:rsidRPr="00900C91">
        <w:t xml:space="preserve"> present</w:t>
      </w:r>
      <w:r w:rsidR="006E45EF">
        <w:t>e</w:t>
      </w:r>
      <w:r w:rsidRPr="00900C9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6E45EF" w:rsidRDefault="006E45EF" w:rsidP="005D40D3">
      <w:pPr>
        <w:spacing w:after="0" w:line="240" w:lineRule="auto"/>
        <w:jc w:val="both"/>
      </w:pPr>
    </w:p>
    <w:p w:rsidR="005D40D3" w:rsidRDefault="005D40D3" w:rsidP="005D40D3">
      <w:pPr>
        <w:spacing w:after="0" w:line="240" w:lineRule="auto"/>
        <w:jc w:val="both"/>
      </w:pPr>
    </w:p>
    <w:p w:rsidR="005D40D3" w:rsidRPr="0002468C" w:rsidRDefault="005D40D3" w:rsidP="005D40D3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02468C">
        <w:rPr>
          <w:b/>
        </w:rPr>
        <w:t xml:space="preserve">ASPETTI </w:t>
      </w:r>
      <w:proofErr w:type="spellStart"/>
      <w:r w:rsidRPr="0002468C">
        <w:rPr>
          <w:b/>
        </w:rPr>
        <w:t>DI</w:t>
      </w:r>
      <w:proofErr w:type="spellEnd"/>
      <w:r w:rsidRPr="0002468C">
        <w:rPr>
          <w:b/>
        </w:rPr>
        <w:t xml:space="preserve"> QUALITA’</w:t>
      </w:r>
    </w:p>
    <w:p w:rsidR="005D40D3" w:rsidRPr="00412D3F" w:rsidRDefault="005D40D3" w:rsidP="00FE0038">
      <w:pPr>
        <w:spacing w:after="0" w:line="240" w:lineRule="auto"/>
        <w:jc w:val="both"/>
      </w:pPr>
      <w:r w:rsidRPr="00412D3F">
        <w:rPr>
          <w:b/>
        </w:rPr>
        <w:t xml:space="preserve">II.1 PRINCIPIO ATTIVO </w:t>
      </w:r>
      <w:r w:rsidR="00A539E9" w:rsidRPr="00412D3F">
        <w:rPr>
          <w:b/>
        </w:rPr>
        <w:t>OMEPRAZOLO</w:t>
      </w:r>
    </w:p>
    <w:p w:rsidR="006E45EF" w:rsidRPr="00412D3F" w:rsidRDefault="005D40D3" w:rsidP="006E45EF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12D3F">
        <w:rPr>
          <w:u w:val="single"/>
        </w:rPr>
        <w:t>Nome chimico</w:t>
      </w:r>
      <w:r w:rsidRPr="00412D3F">
        <w:t>:</w:t>
      </w:r>
      <w:r w:rsidR="00FE0038" w:rsidRPr="00412D3F">
        <w:t xml:space="preserve"> </w:t>
      </w:r>
      <w:r w:rsidR="00412D3F" w:rsidRPr="00412D3F">
        <w:rPr>
          <w:rStyle w:val="s1"/>
          <w:rFonts w:asciiTheme="minorHAnsi" w:hAnsiTheme="minorHAnsi"/>
        </w:rPr>
        <w:t>5-Methoxy-2-[(</w:t>
      </w:r>
      <w:r w:rsidR="00412D3F" w:rsidRPr="00412D3F">
        <w:rPr>
          <w:rStyle w:val="s1"/>
          <w:rFonts w:asciiTheme="minorHAnsi" w:hAnsiTheme="minorHAnsi"/>
          <w:i/>
          <w:iCs/>
        </w:rPr>
        <w:t>RS</w:t>
      </w:r>
      <w:r w:rsidR="00412D3F" w:rsidRPr="00412D3F">
        <w:rPr>
          <w:rStyle w:val="s1"/>
          <w:rFonts w:asciiTheme="minorHAnsi" w:hAnsiTheme="minorHAnsi"/>
        </w:rPr>
        <w:t>)-[(4-methoxy-3,5-dimethylpyridin-2-yl)methyl]sulfinyl]-1</w:t>
      </w:r>
      <w:r w:rsidR="00412D3F" w:rsidRPr="00412D3F">
        <w:rPr>
          <w:rStyle w:val="s1"/>
          <w:rFonts w:asciiTheme="minorHAnsi" w:hAnsiTheme="minorHAnsi"/>
          <w:i/>
          <w:iCs/>
        </w:rPr>
        <w:t>H</w:t>
      </w:r>
      <w:r w:rsidR="00412D3F" w:rsidRPr="00412D3F">
        <w:rPr>
          <w:rStyle w:val="s1"/>
          <w:rFonts w:asciiTheme="minorHAnsi" w:hAnsiTheme="minorHAnsi"/>
        </w:rPr>
        <w:t>-benzimidazole</w:t>
      </w:r>
    </w:p>
    <w:p w:rsidR="005D40D3" w:rsidRPr="00412D3F" w:rsidRDefault="005D40D3" w:rsidP="00FE0038">
      <w:pPr>
        <w:spacing w:after="0" w:line="240" w:lineRule="auto"/>
        <w:jc w:val="both"/>
        <w:rPr>
          <w:noProof/>
          <w:lang w:eastAsia="it-IT"/>
        </w:rPr>
      </w:pPr>
      <w:r w:rsidRPr="00412D3F">
        <w:rPr>
          <w:u w:val="single"/>
        </w:rPr>
        <w:t>Struttura</w:t>
      </w:r>
      <w:r w:rsidRPr="00412D3F">
        <w:t>:</w:t>
      </w:r>
    </w:p>
    <w:p w:rsidR="00FE0038" w:rsidRPr="00412D3F" w:rsidRDefault="00412D3F" w:rsidP="00FE0038">
      <w:pPr>
        <w:spacing w:after="0" w:line="240" w:lineRule="auto"/>
        <w:jc w:val="center"/>
        <w:rPr>
          <w:highlight w:val="yellow"/>
        </w:rPr>
      </w:pPr>
      <w:r w:rsidRPr="00412D3F">
        <w:rPr>
          <w:rFonts w:cs="Arial"/>
          <w:noProof/>
          <w:lang w:eastAsia="it-IT"/>
        </w:rPr>
        <w:drawing>
          <wp:inline distT="0" distB="0" distL="0" distR="0">
            <wp:extent cx="2396490" cy="647978"/>
            <wp:effectExtent l="19050" t="0" r="3810" b="0"/>
            <wp:docPr id="4" name="Immagine 4" descr="P:\_dp\804\XML-IN\Images\cf0942-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:\_dp\804\XML-IN\Images\cf0942-e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065" cy="648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0038" w:rsidRPr="00412D3F" w:rsidRDefault="005D40D3" w:rsidP="00FE0038">
      <w:pPr>
        <w:spacing w:after="0" w:line="240" w:lineRule="auto"/>
        <w:jc w:val="both"/>
        <w:rPr>
          <w:rFonts w:cs="Arial"/>
          <w:color w:val="252525"/>
          <w:shd w:val="clear" w:color="auto" w:fill="F9F9F9"/>
        </w:rPr>
      </w:pPr>
      <w:r w:rsidRPr="00412D3F">
        <w:rPr>
          <w:u w:val="single"/>
        </w:rPr>
        <w:t>Formula molecolare</w:t>
      </w:r>
      <w:r w:rsidRPr="00412D3F">
        <w:t>:</w:t>
      </w:r>
      <w:r w:rsidR="00A074BE" w:rsidRPr="00412D3F">
        <w:rPr>
          <w:rFonts w:cs="Arial"/>
          <w:color w:val="252525"/>
          <w:shd w:val="clear" w:color="auto" w:fill="F9F9F9"/>
          <w:vertAlign w:val="subscript"/>
        </w:rPr>
        <w:t xml:space="preserve"> </w:t>
      </w:r>
      <w:r w:rsidR="00412D3F" w:rsidRPr="00412D3F">
        <w:rPr>
          <w:rStyle w:val="s1"/>
          <w:rFonts w:asciiTheme="minorHAnsi" w:hAnsiTheme="minorHAnsi"/>
        </w:rPr>
        <w:t>C</w:t>
      </w:r>
      <w:r w:rsidR="00412D3F" w:rsidRPr="00412D3F">
        <w:rPr>
          <w:rStyle w:val="s1"/>
          <w:rFonts w:asciiTheme="minorHAnsi" w:hAnsiTheme="minorHAnsi"/>
          <w:vertAlign w:val="subscript"/>
        </w:rPr>
        <w:t>17</w:t>
      </w:r>
      <w:r w:rsidR="00412D3F" w:rsidRPr="00412D3F">
        <w:rPr>
          <w:rStyle w:val="s1"/>
          <w:rFonts w:asciiTheme="minorHAnsi" w:hAnsiTheme="minorHAnsi"/>
        </w:rPr>
        <w:t>H</w:t>
      </w:r>
      <w:r w:rsidR="00412D3F" w:rsidRPr="00412D3F">
        <w:rPr>
          <w:rStyle w:val="s1"/>
          <w:rFonts w:asciiTheme="minorHAnsi" w:hAnsiTheme="minorHAnsi"/>
          <w:vertAlign w:val="subscript"/>
        </w:rPr>
        <w:t>19</w:t>
      </w:r>
      <w:r w:rsidR="00412D3F" w:rsidRPr="00412D3F">
        <w:rPr>
          <w:rStyle w:val="s1"/>
          <w:rFonts w:asciiTheme="minorHAnsi" w:hAnsiTheme="minorHAnsi"/>
        </w:rPr>
        <w:t>N</w:t>
      </w:r>
      <w:r w:rsidR="00412D3F" w:rsidRPr="00412D3F">
        <w:rPr>
          <w:rStyle w:val="s1"/>
          <w:rFonts w:asciiTheme="minorHAnsi" w:hAnsiTheme="minorHAnsi"/>
          <w:vertAlign w:val="subscript"/>
        </w:rPr>
        <w:t>3</w:t>
      </w:r>
      <w:r w:rsidR="00412D3F" w:rsidRPr="00412D3F">
        <w:rPr>
          <w:rStyle w:val="s1"/>
          <w:rFonts w:asciiTheme="minorHAnsi" w:hAnsiTheme="minorHAnsi"/>
        </w:rPr>
        <w:t>O</w:t>
      </w:r>
      <w:r w:rsidR="00412D3F" w:rsidRPr="00412D3F">
        <w:rPr>
          <w:rStyle w:val="s1"/>
          <w:rFonts w:asciiTheme="minorHAnsi" w:hAnsiTheme="minorHAnsi"/>
          <w:vertAlign w:val="subscript"/>
        </w:rPr>
        <w:t>3</w:t>
      </w:r>
      <w:r w:rsidR="00412D3F" w:rsidRPr="00412D3F">
        <w:rPr>
          <w:rStyle w:val="s1"/>
          <w:rFonts w:asciiTheme="minorHAnsi" w:hAnsiTheme="minorHAnsi"/>
        </w:rPr>
        <w:t>S</w:t>
      </w:r>
    </w:p>
    <w:p w:rsidR="005D40D3" w:rsidRPr="00412D3F" w:rsidRDefault="005D40D3" w:rsidP="00FE0038">
      <w:pPr>
        <w:spacing w:after="0" w:line="240" w:lineRule="auto"/>
        <w:jc w:val="both"/>
      </w:pPr>
      <w:r w:rsidRPr="00412D3F">
        <w:rPr>
          <w:u w:val="single"/>
        </w:rPr>
        <w:t>Peso molecolare</w:t>
      </w:r>
      <w:r w:rsidRPr="00412D3F">
        <w:t>:</w:t>
      </w:r>
      <w:r w:rsidRPr="00412D3F">
        <w:rPr>
          <w:rFonts w:cs="Arial"/>
          <w:color w:val="252525"/>
          <w:shd w:val="clear" w:color="auto" w:fill="F9F9F9"/>
        </w:rPr>
        <w:t xml:space="preserve"> </w:t>
      </w:r>
      <w:r w:rsidR="00412D3F" w:rsidRPr="00412D3F">
        <w:rPr>
          <w:rStyle w:val="s1"/>
          <w:rFonts w:asciiTheme="minorHAnsi" w:hAnsiTheme="minorHAnsi"/>
        </w:rPr>
        <w:t xml:space="preserve">345.4 </w:t>
      </w:r>
      <w:r w:rsidRPr="00412D3F">
        <w:rPr>
          <w:rStyle w:val="s1"/>
          <w:rFonts w:asciiTheme="minorHAnsi" w:hAnsiTheme="minorHAnsi"/>
        </w:rPr>
        <w:t>g/mol</w:t>
      </w:r>
    </w:p>
    <w:p w:rsidR="00A074BE" w:rsidRPr="00412D3F" w:rsidRDefault="005D40D3" w:rsidP="00A074BE">
      <w:pPr>
        <w:pStyle w:val="Titolo1"/>
        <w:shd w:val="clear" w:color="auto" w:fill="FFFFFF"/>
        <w:spacing w:before="0" w:beforeAutospacing="0" w:after="0" w:afterAutospacing="0"/>
        <w:rPr>
          <w:rStyle w:val="s1"/>
          <w:rFonts w:asciiTheme="minorHAnsi" w:hAnsiTheme="minorHAnsi"/>
          <w:b w:val="0"/>
          <w:sz w:val="22"/>
          <w:szCs w:val="22"/>
        </w:rPr>
      </w:pPr>
      <w:r w:rsidRPr="00412D3F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412D3F">
        <w:rPr>
          <w:rFonts w:asciiTheme="minorHAnsi" w:hAnsiTheme="minorHAnsi"/>
          <w:b w:val="0"/>
          <w:sz w:val="22"/>
          <w:szCs w:val="22"/>
        </w:rPr>
        <w:t xml:space="preserve">: </w:t>
      </w:r>
      <w:r w:rsidR="00A074BE" w:rsidRPr="00412D3F">
        <w:rPr>
          <w:rStyle w:val="s1"/>
          <w:rFonts w:asciiTheme="minorHAnsi" w:hAnsiTheme="minorHAnsi"/>
          <w:b w:val="0"/>
          <w:sz w:val="22"/>
          <w:szCs w:val="22"/>
        </w:rPr>
        <w:t>[</w:t>
      </w:r>
      <w:r w:rsidR="00412D3F" w:rsidRPr="00412D3F">
        <w:rPr>
          <w:rStyle w:val="s1"/>
          <w:rFonts w:asciiTheme="minorHAnsi" w:hAnsiTheme="minorHAnsi"/>
          <w:b w:val="0"/>
          <w:sz w:val="22"/>
          <w:szCs w:val="22"/>
        </w:rPr>
        <w:t>73590-58-6</w:t>
      </w:r>
      <w:r w:rsidR="00A074BE" w:rsidRPr="00412D3F">
        <w:rPr>
          <w:rStyle w:val="s1"/>
          <w:rFonts w:asciiTheme="minorHAnsi" w:hAnsiTheme="minorHAnsi"/>
          <w:b w:val="0"/>
          <w:sz w:val="22"/>
          <w:szCs w:val="22"/>
        </w:rPr>
        <w:t>]</w:t>
      </w:r>
    </w:p>
    <w:p w:rsidR="005D40D3" w:rsidRPr="00412D3F" w:rsidRDefault="005D40D3" w:rsidP="00A074BE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412D3F">
        <w:rPr>
          <w:rFonts w:asciiTheme="minorHAnsi" w:hAnsiTheme="minorHAnsi"/>
          <w:b w:val="0"/>
          <w:sz w:val="22"/>
          <w:szCs w:val="22"/>
          <w:u w:val="single"/>
        </w:rPr>
        <w:t>Aspetto</w:t>
      </w:r>
      <w:r w:rsidRPr="00412D3F">
        <w:rPr>
          <w:rFonts w:asciiTheme="minorHAnsi" w:hAnsiTheme="minorHAnsi"/>
          <w:b w:val="0"/>
          <w:sz w:val="22"/>
          <w:szCs w:val="22"/>
        </w:rPr>
        <w:t>: polvere bianca o quasi bianca</w:t>
      </w:r>
    </w:p>
    <w:p w:rsidR="006E45EF" w:rsidRPr="00412D3F" w:rsidRDefault="005D40D3" w:rsidP="006E45EF">
      <w:pPr>
        <w:spacing w:after="0" w:line="240" w:lineRule="auto"/>
        <w:jc w:val="both"/>
      </w:pPr>
      <w:r w:rsidRPr="00412D3F">
        <w:rPr>
          <w:u w:val="single"/>
        </w:rPr>
        <w:t>Solubilità</w:t>
      </w:r>
      <w:r w:rsidRPr="00412D3F">
        <w:t xml:space="preserve">: </w:t>
      </w:r>
      <w:r w:rsidR="006E45EF" w:rsidRPr="00412D3F">
        <w:t>molto</w:t>
      </w:r>
      <w:r w:rsidR="00412D3F">
        <w:t xml:space="preserve"> poco</w:t>
      </w:r>
      <w:r w:rsidR="006E45EF" w:rsidRPr="00412D3F">
        <w:t xml:space="preserve"> solubile in acqua</w:t>
      </w:r>
      <w:r w:rsidR="00AD4716">
        <w:t>, s</w:t>
      </w:r>
      <w:r w:rsidR="006E45EF" w:rsidRPr="00412D3F">
        <w:t>olubile in</w:t>
      </w:r>
      <w:r w:rsidR="00412D3F">
        <w:t xml:space="preserve"> metilene cloruro,</w:t>
      </w:r>
      <w:r w:rsidR="006E45EF" w:rsidRPr="00412D3F">
        <w:t xml:space="preserve"> </w:t>
      </w:r>
      <w:r w:rsidR="00412D3F">
        <w:t>poco solubile in etanolo 96% e metanolo</w:t>
      </w:r>
    </w:p>
    <w:p w:rsidR="005D40D3" w:rsidRPr="00A074BE" w:rsidRDefault="005D40D3" w:rsidP="00FE0038">
      <w:pPr>
        <w:spacing w:after="0" w:line="240" w:lineRule="auto"/>
        <w:jc w:val="both"/>
      </w:pPr>
      <w:r w:rsidRPr="00A074BE">
        <w:rPr>
          <w:u w:val="single"/>
        </w:rPr>
        <w:t>Polimorfism</w:t>
      </w:r>
      <w:r w:rsidR="00FE0038" w:rsidRPr="00A074BE">
        <w:rPr>
          <w:u w:val="single"/>
        </w:rPr>
        <w:t>o</w:t>
      </w:r>
      <w:r w:rsidR="00FE0038" w:rsidRPr="00A074BE">
        <w:t xml:space="preserve">: </w:t>
      </w:r>
      <w:proofErr w:type="spellStart"/>
      <w:r w:rsidR="00A539E9">
        <w:t>omeprazolo</w:t>
      </w:r>
      <w:proofErr w:type="spellEnd"/>
      <w:r w:rsidRPr="00A074BE">
        <w:rPr>
          <w:lang w:eastAsia="it-IT"/>
        </w:rPr>
        <w:t xml:space="preserve"> mostra polimorfismo</w:t>
      </w:r>
      <w:r w:rsidRPr="00A074BE">
        <w:t>.</w:t>
      </w:r>
    </w:p>
    <w:p w:rsidR="005D40D3" w:rsidRPr="000973AE" w:rsidRDefault="005D40D3" w:rsidP="00FE0038">
      <w:pPr>
        <w:spacing w:after="0" w:line="240" w:lineRule="auto"/>
        <w:jc w:val="both"/>
        <w:rPr>
          <w:highlight w:val="yellow"/>
        </w:rPr>
      </w:pPr>
    </w:p>
    <w:p w:rsidR="00C17EFD" w:rsidRDefault="005D40D3" w:rsidP="00FE0038">
      <w:pPr>
        <w:spacing w:after="0" w:line="240" w:lineRule="auto"/>
        <w:jc w:val="both"/>
      </w:pPr>
      <w:r w:rsidRPr="00A074BE">
        <w:t xml:space="preserve">Il principio attivo </w:t>
      </w:r>
      <w:proofErr w:type="spellStart"/>
      <w:r w:rsidR="00A539E9">
        <w:t>omeprazolo</w:t>
      </w:r>
      <w:proofErr w:type="spellEnd"/>
      <w:r w:rsidRPr="00A074BE">
        <w:t xml:space="preserve"> </w:t>
      </w:r>
      <w:r w:rsidR="00C17EFD" w:rsidRPr="00845AF1">
        <w:t xml:space="preserve">è presente in Farmacopea Europea e il </w:t>
      </w:r>
      <w:proofErr w:type="spellStart"/>
      <w:r w:rsidR="00C17EFD" w:rsidRPr="00845AF1">
        <w:t>Direttorato</w:t>
      </w:r>
      <w:proofErr w:type="spellEnd"/>
      <w:r w:rsidR="00C17EFD" w:rsidRPr="00845AF1">
        <w:t xml:space="preserve"> Europeo per la Qualità dei Medicinali (</w:t>
      </w:r>
      <w:proofErr w:type="spellStart"/>
      <w:r w:rsidR="00C17EFD" w:rsidRPr="00845AF1">
        <w:rPr>
          <w:i/>
        </w:rPr>
        <w:t>European</w:t>
      </w:r>
      <w:proofErr w:type="spellEnd"/>
      <w:r w:rsidR="00C17EFD" w:rsidRPr="00845AF1">
        <w:rPr>
          <w:i/>
        </w:rPr>
        <w:t xml:space="preserve"> </w:t>
      </w:r>
      <w:proofErr w:type="spellStart"/>
      <w:r w:rsidR="00C17EFD" w:rsidRPr="00845AF1">
        <w:rPr>
          <w:i/>
        </w:rPr>
        <w:t>Directorate</w:t>
      </w:r>
      <w:proofErr w:type="spellEnd"/>
      <w:r w:rsidR="00C17EFD" w:rsidRPr="00845AF1">
        <w:rPr>
          <w:i/>
        </w:rPr>
        <w:t xml:space="preserve"> </w:t>
      </w:r>
      <w:proofErr w:type="spellStart"/>
      <w:r w:rsidR="00C17EFD" w:rsidRPr="00845AF1">
        <w:rPr>
          <w:i/>
        </w:rPr>
        <w:t>for</w:t>
      </w:r>
      <w:proofErr w:type="spellEnd"/>
      <w:r w:rsidR="00C17EFD" w:rsidRPr="00845AF1">
        <w:rPr>
          <w:i/>
        </w:rPr>
        <w:t xml:space="preserve"> </w:t>
      </w:r>
      <w:proofErr w:type="spellStart"/>
      <w:r w:rsidR="00C17EFD" w:rsidRPr="00845AF1">
        <w:rPr>
          <w:i/>
        </w:rPr>
        <w:t>Quality</w:t>
      </w:r>
      <w:proofErr w:type="spellEnd"/>
      <w:r w:rsidR="00C17EFD" w:rsidRPr="00845AF1">
        <w:rPr>
          <w:i/>
        </w:rPr>
        <w:t xml:space="preserve"> </w:t>
      </w:r>
      <w:proofErr w:type="spellStart"/>
      <w:r w:rsidR="00C17EFD" w:rsidRPr="00845AF1">
        <w:rPr>
          <w:i/>
        </w:rPr>
        <w:t>of</w:t>
      </w:r>
      <w:proofErr w:type="spellEnd"/>
      <w:r w:rsidR="00C17EFD" w:rsidRPr="00845AF1">
        <w:rPr>
          <w:i/>
        </w:rPr>
        <w:t xml:space="preserve"> </w:t>
      </w:r>
      <w:proofErr w:type="spellStart"/>
      <w:r w:rsidR="00C17EFD" w:rsidRPr="00845AF1">
        <w:rPr>
          <w:i/>
        </w:rPr>
        <w:t>Medicnals</w:t>
      </w:r>
      <w:proofErr w:type="spellEnd"/>
      <w:r w:rsidR="00C17EFD" w:rsidRPr="00845AF1">
        <w:t xml:space="preserve"> – EDQM) ha rilasciato al produttore </w:t>
      </w:r>
      <w:r w:rsidR="00C17EFD">
        <w:t>due</w:t>
      </w:r>
      <w:r w:rsidR="00C17EFD" w:rsidRPr="00845AF1">
        <w:t xml:space="preserve"> certificat</w:t>
      </w:r>
      <w:r w:rsidR="00C17EFD">
        <w:t>i</w:t>
      </w:r>
      <w:r w:rsidR="00C17EFD" w:rsidRPr="00845AF1">
        <w:t xml:space="preserve"> di conformità alla Farmacopea Europea.</w:t>
      </w:r>
      <w:r w:rsidR="00C17EFD">
        <w:t xml:space="preserve">  </w:t>
      </w:r>
    </w:p>
    <w:p w:rsidR="00C17EFD" w:rsidRPr="00C17EFD" w:rsidRDefault="00C17EFD" w:rsidP="00C17EFD">
      <w:pPr>
        <w:spacing w:after="0" w:line="240" w:lineRule="auto"/>
        <w:jc w:val="both"/>
      </w:pPr>
      <w:r>
        <w:t xml:space="preserve">Tutti gli aspetti di qualità sono coperti dai due certificati di conformità; in un caso, il principio attivo è confezionato in due sacche di plastica poste in un contenitore esterno in fibra e il periodo di re-test è fissato </w:t>
      </w:r>
      <w:r w:rsidRPr="00C17EFD">
        <w:t xml:space="preserve">in 2 anni con conservazione in frigorifero (2-8°C); per il secondo certificato di conformità, il principio attivo è confezionato in sacche multistrato (polietilene tereftalato/alluminio/polietilene tereftalato/polietilene </w:t>
      </w:r>
      <w:r w:rsidR="005E1536" w:rsidRPr="00DA0B44">
        <w:t>poste in un contenitore esterno in cartone</w:t>
      </w:r>
      <w:r w:rsidR="005E1536" w:rsidRPr="00C17EFD">
        <w:t xml:space="preserve"> </w:t>
      </w:r>
      <w:r w:rsidRPr="00C17EFD">
        <w:t>e il periodo di re-test è fissato in 3 anni con conservazione in frigorifero (2-8°C).</w:t>
      </w:r>
    </w:p>
    <w:p w:rsidR="005D40D3" w:rsidRPr="00C17EFD" w:rsidRDefault="005D40D3" w:rsidP="00C17EFD">
      <w:pPr>
        <w:spacing w:after="0" w:line="240" w:lineRule="auto"/>
        <w:jc w:val="both"/>
      </w:pPr>
    </w:p>
    <w:p w:rsidR="00A810A3" w:rsidRPr="00C17EFD" w:rsidRDefault="00A810A3" w:rsidP="00C17EFD">
      <w:pPr>
        <w:spacing w:after="0" w:line="240" w:lineRule="auto"/>
        <w:jc w:val="both"/>
      </w:pPr>
    </w:p>
    <w:p w:rsidR="005D40D3" w:rsidRPr="00C17EFD" w:rsidRDefault="005D40D3" w:rsidP="00C17EFD">
      <w:pPr>
        <w:spacing w:after="0" w:line="240" w:lineRule="auto"/>
        <w:jc w:val="both"/>
        <w:rPr>
          <w:b/>
        </w:rPr>
      </w:pPr>
      <w:r w:rsidRPr="00C17EFD">
        <w:rPr>
          <w:b/>
        </w:rPr>
        <w:t>II.2 PRODOTTO FINITO</w:t>
      </w:r>
    </w:p>
    <w:p w:rsidR="005D40D3" w:rsidRPr="00FB35EE" w:rsidRDefault="005D40D3" w:rsidP="00FB35EE">
      <w:pPr>
        <w:spacing w:after="0" w:line="240" w:lineRule="auto"/>
        <w:jc w:val="both"/>
        <w:rPr>
          <w:b/>
        </w:rPr>
      </w:pPr>
      <w:r w:rsidRPr="00FB35EE">
        <w:rPr>
          <w:b/>
        </w:rPr>
        <w:t>Descrizione e composizione</w:t>
      </w:r>
    </w:p>
    <w:p w:rsidR="005D40D3" w:rsidRPr="00FB35EE" w:rsidRDefault="00A539E9" w:rsidP="00FB35EE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FB35EE">
        <w:rPr>
          <w:rFonts w:eastAsia="Calibri" w:cs="Calibri"/>
          <w:color w:val="000000"/>
          <w:lang w:eastAsia="it-IT"/>
        </w:rPr>
        <w:t>Opsardex</w:t>
      </w:r>
      <w:proofErr w:type="spellEnd"/>
      <w:r w:rsidR="005D40D3" w:rsidRPr="00FB35EE">
        <w:rPr>
          <w:rFonts w:eastAsia="Calibri" w:cs="Calibri"/>
          <w:color w:val="000000"/>
          <w:lang w:eastAsia="it-IT"/>
        </w:rPr>
        <w:t xml:space="preserve"> è disponibile in </w:t>
      </w:r>
      <w:r w:rsidR="00A95D6A" w:rsidRPr="00FB35EE">
        <w:rPr>
          <w:rFonts w:eastAsia="Calibri" w:cs="Calibri"/>
          <w:color w:val="000000"/>
          <w:lang w:eastAsia="it-IT"/>
        </w:rPr>
        <w:t>capsule</w:t>
      </w:r>
      <w:r w:rsidR="00C17EFD" w:rsidRPr="00FB35EE">
        <w:rPr>
          <w:rFonts w:eastAsia="Calibri" w:cs="Calibri"/>
          <w:color w:val="000000"/>
          <w:lang w:eastAsia="it-IT"/>
        </w:rPr>
        <w:t xml:space="preserve"> rigide</w:t>
      </w:r>
      <w:r w:rsidR="005D40D3" w:rsidRPr="00FB35EE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FE0038" w:rsidRPr="00FB35EE">
        <w:rPr>
          <w:rFonts w:eastAsia="Calibri" w:cs="Calibri"/>
          <w:color w:val="000000"/>
          <w:lang w:eastAsia="it-IT"/>
        </w:rPr>
        <w:t>gastroresistenti</w:t>
      </w:r>
      <w:proofErr w:type="spellEnd"/>
      <w:r w:rsidR="00FE0038" w:rsidRPr="00FB35EE">
        <w:rPr>
          <w:rFonts w:eastAsia="Calibri" w:cs="Calibri"/>
          <w:color w:val="000000"/>
          <w:lang w:eastAsia="it-IT"/>
        </w:rPr>
        <w:t xml:space="preserve"> </w:t>
      </w:r>
      <w:r w:rsidR="005D40D3" w:rsidRPr="00FB35EE">
        <w:rPr>
          <w:rFonts w:eastAsia="Calibri" w:cs="Calibri"/>
          <w:color w:val="000000"/>
          <w:lang w:eastAsia="it-IT"/>
        </w:rPr>
        <w:t xml:space="preserve">contenenti </w:t>
      </w:r>
      <w:r w:rsidR="00FE0038" w:rsidRPr="00FB35EE">
        <w:rPr>
          <w:rFonts w:eastAsia="Calibri" w:cs="Calibri"/>
          <w:color w:val="000000"/>
          <w:lang w:eastAsia="it-IT"/>
        </w:rPr>
        <w:t>1</w:t>
      </w:r>
      <w:r w:rsidR="005D40D3" w:rsidRPr="00FB35EE">
        <w:rPr>
          <w:rFonts w:eastAsia="Calibri" w:cs="Calibri"/>
          <w:color w:val="000000"/>
          <w:lang w:eastAsia="it-IT"/>
        </w:rPr>
        <w:t>0 mg</w:t>
      </w:r>
      <w:r w:rsidR="00C17EFD" w:rsidRPr="00FB35EE">
        <w:rPr>
          <w:rFonts w:eastAsia="Calibri" w:cs="Calibri"/>
          <w:color w:val="000000"/>
          <w:lang w:eastAsia="it-IT"/>
        </w:rPr>
        <w:t>,</w:t>
      </w:r>
      <w:r w:rsidR="00FE0038" w:rsidRPr="00FB35EE">
        <w:rPr>
          <w:rFonts w:eastAsia="Calibri" w:cs="Calibri"/>
          <w:color w:val="000000"/>
          <w:lang w:eastAsia="it-IT"/>
        </w:rPr>
        <w:t xml:space="preserve"> 20 mg</w:t>
      </w:r>
      <w:r w:rsidR="00C17EFD" w:rsidRPr="00FB35EE">
        <w:rPr>
          <w:rFonts w:eastAsia="Calibri" w:cs="Calibri"/>
          <w:color w:val="000000"/>
          <w:lang w:eastAsia="it-IT"/>
        </w:rPr>
        <w:t xml:space="preserve"> e 40 mg</w:t>
      </w:r>
      <w:r w:rsidR="006E45EF" w:rsidRPr="00FB35EE">
        <w:rPr>
          <w:rFonts w:eastAsia="Calibri" w:cs="Calibri"/>
          <w:color w:val="000000"/>
          <w:lang w:eastAsia="it-IT"/>
        </w:rPr>
        <w:t xml:space="preserve"> di </w:t>
      </w:r>
      <w:proofErr w:type="spellStart"/>
      <w:r w:rsidRPr="00FB35EE">
        <w:rPr>
          <w:rFonts w:eastAsia="Calibri" w:cs="Calibri"/>
          <w:color w:val="000000"/>
          <w:lang w:eastAsia="it-IT"/>
        </w:rPr>
        <w:t>omeprazolo</w:t>
      </w:r>
      <w:proofErr w:type="spellEnd"/>
      <w:r w:rsidR="005D40D3" w:rsidRPr="00FB35EE">
        <w:rPr>
          <w:rFonts w:eastAsia="Calibri" w:cs="Calibri"/>
          <w:color w:val="000000"/>
          <w:lang w:eastAsia="it-IT"/>
        </w:rPr>
        <w:t>.</w:t>
      </w:r>
    </w:p>
    <w:p w:rsidR="00FB35EE" w:rsidRPr="00FB35EE" w:rsidRDefault="00FB35EE" w:rsidP="00FB35EE">
      <w:pPr>
        <w:pStyle w:val="BodytextAgency"/>
        <w:spacing w:after="0" w:line="240" w:lineRule="auto"/>
        <w:jc w:val="both"/>
        <w:rPr>
          <w:rFonts w:asciiTheme="minorHAnsi" w:hAnsiTheme="minorHAnsi"/>
          <w:sz w:val="22"/>
          <w:szCs w:val="22"/>
          <w:lang w:val="it-IT"/>
        </w:rPr>
      </w:pPr>
      <w:r w:rsidRPr="00FB35EE">
        <w:rPr>
          <w:rFonts w:asciiTheme="minorHAnsi" w:hAnsiTheme="minorHAnsi"/>
          <w:sz w:val="22"/>
          <w:szCs w:val="22"/>
          <w:lang w:val="it-IT"/>
        </w:rPr>
        <w:t>Le capsule da 10 mg sono di gelatin</w:t>
      </w:r>
      <w:r w:rsidR="00596C12">
        <w:rPr>
          <w:rFonts w:asciiTheme="minorHAnsi" w:hAnsiTheme="minorHAnsi"/>
          <w:sz w:val="22"/>
          <w:szCs w:val="22"/>
          <w:lang w:val="it-IT"/>
        </w:rPr>
        <w:t>a</w:t>
      </w:r>
      <w:r w:rsidRPr="00FB35EE">
        <w:rPr>
          <w:rFonts w:asciiTheme="minorHAnsi" w:hAnsiTheme="minorHAnsi"/>
          <w:sz w:val="22"/>
          <w:szCs w:val="22"/>
          <w:lang w:val="it-IT"/>
        </w:rPr>
        <w:t xml:space="preserve"> rigida numero 3, con la testa rossa sulla quale è impressa con inchiostro</w:t>
      </w:r>
      <w:r>
        <w:rPr>
          <w:rFonts w:asciiTheme="minorHAnsi" w:hAnsiTheme="minorHAnsi"/>
          <w:sz w:val="22"/>
          <w:szCs w:val="22"/>
          <w:lang w:val="it-IT"/>
        </w:rPr>
        <w:t xml:space="preserve"> la lettera “O”</w:t>
      </w:r>
      <w:r w:rsidRPr="00FB35EE">
        <w:rPr>
          <w:rFonts w:asciiTheme="minorHAnsi" w:hAnsiTheme="minorHAnsi"/>
          <w:sz w:val="22"/>
          <w:szCs w:val="22"/>
          <w:lang w:val="it-IT"/>
        </w:rPr>
        <w:t xml:space="preserve"> e il corpo arancione</w:t>
      </w:r>
      <w:r>
        <w:rPr>
          <w:rFonts w:asciiTheme="minorHAnsi" w:hAnsiTheme="minorHAnsi"/>
          <w:sz w:val="22"/>
          <w:szCs w:val="22"/>
          <w:lang w:val="it-IT"/>
        </w:rPr>
        <w:t xml:space="preserve"> sul quale è impresso con inchiostro il numero “10”.</w:t>
      </w:r>
      <w:r w:rsidRPr="00FB35EE">
        <w:rPr>
          <w:rFonts w:asciiTheme="minorHAnsi" w:hAnsiTheme="minorHAnsi"/>
          <w:sz w:val="22"/>
          <w:szCs w:val="22"/>
          <w:lang w:val="it-IT"/>
        </w:rPr>
        <w:t xml:space="preserve"> </w:t>
      </w:r>
    </w:p>
    <w:p w:rsidR="00FB35EE" w:rsidRPr="00FB35EE" w:rsidRDefault="00FB35EE" w:rsidP="00FB35EE">
      <w:pPr>
        <w:pStyle w:val="BodytextAgency"/>
        <w:spacing w:after="0" w:line="240" w:lineRule="auto"/>
        <w:jc w:val="both"/>
        <w:rPr>
          <w:rFonts w:asciiTheme="minorHAnsi" w:hAnsiTheme="minorHAnsi"/>
          <w:sz w:val="22"/>
          <w:szCs w:val="22"/>
          <w:lang w:val="it-IT"/>
        </w:rPr>
      </w:pPr>
      <w:r w:rsidRPr="00FB35EE">
        <w:rPr>
          <w:rFonts w:asciiTheme="minorHAnsi" w:hAnsiTheme="minorHAnsi"/>
          <w:sz w:val="22"/>
          <w:szCs w:val="22"/>
          <w:lang w:val="it-IT"/>
        </w:rPr>
        <w:t xml:space="preserve">Le capsule da </w:t>
      </w:r>
      <w:r>
        <w:rPr>
          <w:rFonts w:asciiTheme="minorHAnsi" w:hAnsiTheme="minorHAnsi"/>
          <w:sz w:val="22"/>
          <w:szCs w:val="22"/>
          <w:lang w:val="it-IT"/>
        </w:rPr>
        <w:t>2</w:t>
      </w:r>
      <w:r w:rsidRPr="00FB35EE">
        <w:rPr>
          <w:rFonts w:asciiTheme="minorHAnsi" w:hAnsiTheme="minorHAnsi"/>
          <w:sz w:val="22"/>
          <w:szCs w:val="22"/>
          <w:lang w:val="it-IT"/>
        </w:rPr>
        <w:t>0 mg sono di gelatin</w:t>
      </w:r>
      <w:r w:rsidR="00596C12">
        <w:rPr>
          <w:rFonts w:asciiTheme="minorHAnsi" w:hAnsiTheme="minorHAnsi"/>
          <w:sz w:val="22"/>
          <w:szCs w:val="22"/>
          <w:lang w:val="it-IT"/>
        </w:rPr>
        <w:t>a</w:t>
      </w:r>
      <w:r w:rsidRPr="00FB35EE">
        <w:rPr>
          <w:rFonts w:asciiTheme="minorHAnsi" w:hAnsiTheme="minorHAnsi"/>
          <w:sz w:val="22"/>
          <w:szCs w:val="22"/>
          <w:lang w:val="it-IT"/>
        </w:rPr>
        <w:t xml:space="preserve"> rigida numero </w:t>
      </w:r>
      <w:r>
        <w:rPr>
          <w:rFonts w:asciiTheme="minorHAnsi" w:hAnsiTheme="minorHAnsi"/>
          <w:sz w:val="22"/>
          <w:szCs w:val="22"/>
          <w:lang w:val="it-IT"/>
        </w:rPr>
        <w:t>2</w:t>
      </w:r>
      <w:r w:rsidRPr="00FB35EE">
        <w:rPr>
          <w:rFonts w:asciiTheme="minorHAnsi" w:hAnsiTheme="minorHAnsi"/>
          <w:sz w:val="22"/>
          <w:szCs w:val="22"/>
          <w:lang w:val="it-IT"/>
        </w:rPr>
        <w:t xml:space="preserve">, con la testa </w:t>
      </w:r>
      <w:r>
        <w:rPr>
          <w:rFonts w:asciiTheme="minorHAnsi" w:hAnsiTheme="minorHAnsi"/>
          <w:sz w:val="22"/>
          <w:szCs w:val="22"/>
          <w:lang w:val="it-IT"/>
        </w:rPr>
        <w:t>blu</w:t>
      </w:r>
      <w:r w:rsidRPr="00FB35EE">
        <w:rPr>
          <w:rFonts w:asciiTheme="minorHAnsi" w:hAnsiTheme="minorHAnsi"/>
          <w:sz w:val="22"/>
          <w:szCs w:val="22"/>
          <w:lang w:val="it-IT"/>
        </w:rPr>
        <w:t xml:space="preserve"> sulla quale è impressa con inchiostro</w:t>
      </w:r>
      <w:r>
        <w:rPr>
          <w:rFonts w:asciiTheme="minorHAnsi" w:hAnsiTheme="minorHAnsi"/>
          <w:sz w:val="22"/>
          <w:szCs w:val="22"/>
          <w:lang w:val="it-IT"/>
        </w:rPr>
        <w:t xml:space="preserve"> la lettera “O”</w:t>
      </w:r>
      <w:r w:rsidRPr="00FB35EE">
        <w:rPr>
          <w:rFonts w:asciiTheme="minorHAnsi" w:hAnsiTheme="minorHAnsi"/>
          <w:sz w:val="22"/>
          <w:szCs w:val="22"/>
          <w:lang w:val="it-IT"/>
        </w:rPr>
        <w:t xml:space="preserve"> e il corpo arancione</w:t>
      </w:r>
      <w:r>
        <w:rPr>
          <w:rFonts w:asciiTheme="minorHAnsi" w:hAnsiTheme="minorHAnsi"/>
          <w:sz w:val="22"/>
          <w:szCs w:val="22"/>
          <w:lang w:val="it-IT"/>
        </w:rPr>
        <w:t xml:space="preserve"> sul quale è impresso con inchiostro il numero “20”.</w:t>
      </w:r>
      <w:r w:rsidRPr="00FB35EE">
        <w:rPr>
          <w:rFonts w:asciiTheme="minorHAnsi" w:hAnsiTheme="minorHAnsi"/>
          <w:sz w:val="22"/>
          <w:szCs w:val="22"/>
          <w:lang w:val="it-IT"/>
        </w:rPr>
        <w:t xml:space="preserve"> </w:t>
      </w:r>
    </w:p>
    <w:p w:rsidR="00FB35EE" w:rsidRPr="00FB35EE" w:rsidRDefault="00FB35EE" w:rsidP="00FB35EE">
      <w:pPr>
        <w:pStyle w:val="BodytextAgency"/>
        <w:spacing w:after="0" w:line="240" w:lineRule="auto"/>
        <w:jc w:val="both"/>
        <w:rPr>
          <w:rFonts w:asciiTheme="minorHAnsi" w:hAnsiTheme="minorHAnsi"/>
          <w:sz w:val="22"/>
          <w:szCs w:val="22"/>
          <w:lang w:val="it-IT"/>
        </w:rPr>
      </w:pPr>
      <w:r w:rsidRPr="00FB35EE">
        <w:rPr>
          <w:rFonts w:asciiTheme="minorHAnsi" w:hAnsiTheme="minorHAnsi"/>
          <w:sz w:val="22"/>
          <w:szCs w:val="22"/>
          <w:lang w:val="it-IT"/>
        </w:rPr>
        <w:t xml:space="preserve">Le capsule da </w:t>
      </w:r>
      <w:r w:rsidR="005E1536">
        <w:rPr>
          <w:rFonts w:asciiTheme="minorHAnsi" w:hAnsiTheme="minorHAnsi"/>
          <w:sz w:val="22"/>
          <w:szCs w:val="22"/>
          <w:lang w:val="it-IT"/>
        </w:rPr>
        <w:t>4</w:t>
      </w:r>
      <w:r w:rsidRPr="00FB35EE">
        <w:rPr>
          <w:rFonts w:asciiTheme="minorHAnsi" w:hAnsiTheme="minorHAnsi"/>
          <w:sz w:val="22"/>
          <w:szCs w:val="22"/>
          <w:lang w:val="it-IT"/>
        </w:rPr>
        <w:t>0 mg sono di gelatin</w:t>
      </w:r>
      <w:r w:rsidR="00596C12">
        <w:rPr>
          <w:rFonts w:asciiTheme="minorHAnsi" w:hAnsiTheme="minorHAnsi"/>
          <w:sz w:val="22"/>
          <w:szCs w:val="22"/>
          <w:lang w:val="it-IT"/>
        </w:rPr>
        <w:t>a</w:t>
      </w:r>
      <w:r w:rsidRPr="00FB35EE">
        <w:rPr>
          <w:rFonts w:asciiTheme="minorHAnsi" w:hAnsiTheme="minorHAnsi"/>
          <w:sz w:val="22"/>
          <w:szCs w:val="22"/>
          <w:lang w:val="it-IT"/>
        </w:rPr>
        <w:t xml:space="preserve"> rigida numero </w:t>
      </w:r>
      <w:r>
        <w:rPr>
          <w:rFonts w:asciiTheme="minorHAnsi" w:hAnsiTheme="minorHAnsi"/>
          <w:sz w:val="22"/>
          <w:szCs w:val="22"/>
          <w:lang w:val="it-IT"/>
        </w:rPr>
        <w:t>0</w:t>
      </w:r>
      <w:r w:rsidRPr="00FB35EE">
        <w:rPr>
          <w:rFonts w:asciiTheme="minorHAnsi" w:hAnsiTheme="minorHAnsi"/>
          <w:sz w:val="22"/>
          <w:szCs w:val="22"/>
          <w:lang w:val="it-IT"/>
        </w:rPr>
        <w:t xml:space="preserve">, con la testa </w:t>
      </w:r>
      <w:r>
        <w:rPr>
          <w:rFonts w:asciiTheme="minorHAnsi" w:hAnsiTheme="minorHAnsi"/>
          <w:sz w:val="22"/>
          <w:szCs w:val="22"/>
          <w:lang w:val="it-IT"/>
        </w:rPr>
        <w:t>blu</w:t>
      </w:r>
      <w:r w:rsidRPr="00FB35EE">
        <w:rPr>
          <w:rFonts w:asciiTheme="minorHAnsi" w:hAnsiTheme="minorHAnsi"/>
          <w:sz w:val="22"/>
          <w:szCs w:val="22"/>
          <w:lang w:val="it-IT"/>
        </w:rPr>
        <w:t xml:space="preserve"> sulla quale è impressa con inchiostro</w:t>
      </w:r>
      <w:r>
        <w:rPr>
          <w:rFonts w:asciiTheme="minorHAnsi" w:hAnsiTheme="minorHAnsi"/>
          <w:sz w:val="22"/>
          <w:szCs w:val="22"/>
          <w:lang w:val="it-IT"/>
        </w:rPr>
        <w:t xml:space="preserve"> la lettera “O”</w:t>
      </w:r>
      <w:r w:rsidRPr="00FB35EE">
        <w:rPr>
          <w:rFonts w:asciiTheme="minorHAnsi" w:hAnsiTheme="minorHAnsi"/>
          <w:sz w:val="22"/>
          <w:szCs w:val="22"/>
          <w:lang w:val="it-IT"/>
        </w:rPr>
        <w:t xml:space="preserve"> e il corpo arancione</w:t>
      </w:r>
      <w:r>
        <w:rPr>
          <w:rFonts w:asciiTheme="minorHAnsi" w:hAnsiTheme="minorHAnsi"/>
          <w:sz w:val="22"/>
          <w:szCs w:val="22"/>
          <w:lang w:val="it-IT"/>
        </w:rPr>
        <w:t xml:space="preserve"> sul quale è impresso con inchiostro il numero “40”.</w:t>
      </w:r>
      <w:r w:rsidRPr="00FB35EE">
        <w:rPr>
          <w:rFonts w:asciiTheme="minorHAnsi" w:hAnsiTheme="minorHAnsi"/>
          <w:sz w:val="22"/>
          <w:szCs w:val="22"/>
          <w:lang w:val="it-IT"/>
        </w:rPr>
        <w:t xml:space="preserve"> </w:t>
      </w:r>
    </w:p>
    <w:p w:rsidR="005D40D3" w:rsidRPr="00FB35EE" w:rsidRDefault="005D40D3" w:rsidP="00FB35EE">
      <w:pPr>
        <w:spacing w:after="0" w:line="240" w:lineRule="auto"/>
        <w:jc w:val="both"/>
      </w:pPr>
      <w:r w:rsidRPr="00FB35EE">
        <w:t>Gli eccipienti sono i seguenti:</w:t>
      </w:r>
    </w:p>
    <w:p w:rsidR="00FE0038" w:rsidRPr="00FB35EE" w:rsidRDefault="00A95D6A" w:rsidP="00FB35EE">
      <w:pPr>
        <w:tabs>
          <w:tab w:val="left" w:pos="0"/>
        </w:tabs>
        <w:spacing w:after="0" w:line="240" w:lineRule="auto"/>
        <w:jc w:val="both"/>
        <w:rPr>
          <w:bCs/>
          <w:i/>
          <w:u w:val="single"/>
        </w:rPr>
      </w:pPr>
      <w:r w:rsidRPr="00FB35EE">
        <w:rPr>
          <w:bCs/>
          <w:i/>
          <w:u w:val="single"/>
        </w:rPr>
        <w:t>capsule</w:t>
      </w:r>
      <w:r w:rsidR="00FE0038" w:rsidRPr="00FB35EE">
        <w:rPr>
          <w:bCs/>
          <w:i/>
          <w:u w:val="single"/>
        </w:rPr>
        <w:t xml:space="preserve"> 10 mg</w:t>
      </w:r>
    </w:p>
    <w:p w:rsidR="00C17EFD" w:rsidRPr="00FB35EE" w:rsidRDefault="001213EB" w:rsidP="00FB35EE">
      <w:pPr>
        <w:tabs>
          <w:tab w:val="left" w:pos="4934"/>
        </w:tabs>
        <w:suppressAutoHyphens/>
        <w:spacing w:after="0" w:line="240" w:lineRule="auto"/>
        <w:jc w:val="both"/>
        <w:rPr>
          <w:noProof/>
        </w:rPr>
      </w:pPr>
      <w:bookmarkStart w:id="4" w:name="OLE_LINK47"/>
      <w:bookmarkStart w:id="5" w:name="OLE_LINK48"/>
      <w:r>
        <w:rPr>
          <w:i/>
          <w:noProof/>
        </w:rPr>
        <w:t>g</w:t>
      </w:r>
      <w:r w:rsidR="00C17EFD" w:rsidRPr="00FB35EE">
        <w:rPr>
          <w:i/>
          <w:noProof/>
        </w:rPr>
        <w:t>ranuli gastroresistenti</w:t>
      </w:r>
      <w:r w:rsidR="00C17EFD" w:rsidRPr="00FB35EE">
        <w:rPr>
          <w:noProof/>
        </w:rPr>
        <w:t>: sfere di zucchero (saccarosio e amido di mais), carbossimetilamido sodico (Tipo A), sodio laurilsolfato, povidone, fosfato trisodio dodecaidrato, ipromellosa, copolimero acido metacrilico–etil acrilato (1:1), trietile citrato, sodio idrossido, titanio diossido (E171), talco</w:t>
      </w:r>
      <w:r w:rsidR="00FB35EE" w:rsidRPr="00FB35EE">
        <w:rPr>
          <w:noProof/>
        </w:rPr>
        <w:t>.</w:t>
      </w:r>
    </w:p>
    <w:p w:rsidR="00C17EFD" w:rsidRPr="00FB35EE" w:rsidRDefault="00C17EFD" w:rsidP="00FB35EE">
      <w:pPr>
        <w:suppressAutoHyphens/>
        <w:spacing w:after="0" w:line="240" w:lineRule="auto"/>
        <w:jc w:val="both"/>
        <w:rPr>
          <w:noProof/>
        </w:rPr>
      </w:pPr>
      <w:r w:rsidRPr="00FB35EE">
        <w:rPr>
          <w:i/>
          <w:noProof/>
        </w:rPr>
        <w:t>cappuccio della capsula</w:t>
      </w:r>
      <w:r w:rsidR="001213EB">
        <w:rPr>
          <w:noProof/>
        </w:rPr>
        <w:t>: ossido di ferro rosso (E172)</w:t>
      </w:r>
      <w:r w:rsidR="00FB35EE" w:rsidRPr="00FB35EE">
        <w:rPr>
          <w:noProof/>
        </w:rPr>
        <w:t>, e</w:t>
      </w:r>
      <w:r w:rsidRPr="00FB35EE">
        <w:rPr>
          <w:noProof/>
        </w:rPr>
        <w:t>ritrosina (E127)</w:t>
      </w:r>
      <w:r w:rsidR="00FB35EE" w:rsidRPr="00FB35EE">
        <w:rPr>
          <w:noProof/>
        </w:rPr>
        <w:t>, t</w:t>
      </w:r>
      <w:r w:rsidRPr="00FB35EE">
        <w:rPr>
          <w:noProof/>
        </w:rPr>
        <w:t>itanio diossido (E171)</w:t>
      </w:r>
      <w:r w:rsidR="00FB35EE" w:rsidRPr="00FB35EE">
        <w:rPr>
          <w:noProof/>
        </w:rPr>
        <w:t>, g</w:t>
      </w:r>
      <w:r w:rsidRPr="00FB35EE">
        <w:rPr>
          <w:noProof/>
        </w:rPr>
        <w:t>elatina</w:t>
      </w:r>
      <w:r w:rsidR="00FB35EE" w:rsidRPr="00FB35EE">
        <w:rPr>
          <w:noProof/>
        </w:rPr>
        <w:t>.</w:t>
      </w:r>
    </w:p>
    <w:p w:rsidR="00C17EFD" w:rsidRPr="00FB35EE" w:rsidRDefault="00FB35EE" w:rsidP="00FB35EE">
      <w:pPr>
        <w:suppressAutoHyphens/>
        <w:spacing w:after="0" w:line="240" w:lineRule="auto"/>
        <w:jc w:val="both"/>
        <w:rPr>
          <w:noProof/>
        </w:rPr>
      </w:pPr>
      <w:r w:rsidRPr="00FB35EE">
        <w:rPr>
          <w:i/>
          <w:noProof/>
        </w:rPr>
        <w:t>c</w:t>
      </w:r>
      <w:r w:rsidR="00C17EFD" w:rsidRPr="00FB35EE">
        <w:rPr>
          <w:i/>
          <w:noProof/>
        </w:rPr>
        <w:t>orpo della capsula</w:t>
      </w:r>
      <w:r w:rsidRPr="00FB35EE">
        <w:rPr>
          <w:noProof/>
        </w:rPr>
        <w:t>: g</w:t>
      </w:r>
      <w:r w:rsidR="00C17EFD" w:rsidRPr="00FB35EE">
        <w:rPr>
          <w:noProof/>
        </w:rPr>
        <w:t>iallo di chinolina (E104)</w:t>
      </w:r>
      <w:r w:rsidRPr="00FB35EE">
        <w:rPr>
          <w:noProof/>
        </w:rPr>
        <w:t xml:space="preserve">, eritrosina (E127), </w:t>
      </w:r>
      <w:bookmarkStart w:id="6" w:name="OLE_LINK122"/>
      <w:bookmarkStart w:id="7" w:name="OLE_LINK123"/>
      <w:r w:rsidRPr="00FB35EE">
        <w:rPr>
          <w:noProof/>
        </w:rPr>
        <w:t>t</w:t>
      </w:r>
      <w:r w:rsidR="00C17EFD" w:rsidRPr="00FB35EE">
        <w:rPr>
          <w:noProof/>
        </w:rPr>
        <w:t>itanio diossido (E171)</w:t>
      </w:r>
      <w:bookmarkEnd w:id="6"/>
      <w:bookmarkEnd w:id="7"/>
      <w:r w:rsidRPr="00FB35EE">
        <w:rPr>
          <w:noProof/>
        </w:rPr>
        <w:t>, g</w:t>
      </w:r>
      <w:r w:rsidR="00C17EFD" w:rsidRPr="00FB35EE">
        <w:rPr>
          <w:noProof/>
        </w:rPr>
        <w:t>elatina</w:t>
      </w:r>
      <w:r w:rsidR="001213EB">
        <w:rPr>
          <w:noProof/>
        </w:rPr>
        <w:t>.</w:t>
      </w:r>
    </w:p>
    <w:p w:rsidR="00C17EFD" w:rsidRPr="00FB35EE" w:rsidRDefault="00C17EFD" w:rsidP="00FB35EE">
      <w:pPr>
        <w:suppressAutoHyphens/>
        <w:spacing w:after="0" w:line="240" w:lineRule="auto"/>
        <w:jc w:val="both"/>
        <w:rPr>
          <w:noProof/>
        </w:rPr>
      </w:pPr>
      <w:r w:rsidRPr="00FB35EE">
        <w:rPr>
          <w:i/>
          <w:noProof/>
        </w:rPr>
        <w:t>Inchiostro di stampa</w:t>
      </w:r>
      <w:r w:rsidR="00FB35EE" w:rsidRPr="00FB35EE">
        <w:rPr>
          <w:noProof/>
        </w:rPr>
        <w:t xml:space="preserve">: </w:t>
      </w:r>
      <w:bookmarkStart w:id="8" w:name="OLE_LINK41"/>
      <w:bookmarkStart w:id="9" w:name="OLE_LINK42"/>
      <w:r w:rsidR="00FB35EE" w:rsidRPr="00FB35EE">
        <w:rPr>
          <w:noProof/>
        </w:rPr>
        <w:t>g</w:t>
      </w:r>
      <w:r w:rsidRPr="00FB35EE">
        <w:rPr>
          <w:noProof/>
        </w:rPr>
        <w:t>omma lacca</w:t>
      </w:r>
      <w:r w:rsidR="00FB35EE" w:rsidRPr="00FB35EE">
        <w:rPr>
          <w:noProof/>
        </w:rPr>
        <w:t>, p</w:t>
      </w:r>
      <w:r w:rsidRPr="00FB35EE">
        <w:rPr>
          <w:noProof/>
        </w:rPr>
        <w:t>ovidone</w:t>
      </w:r>
      <w:r w:rsidR="00FB35EE" w:rsidRPr="00FB35EE">
        <w:rPr>
          <w:noProof/>
        </w:rPr>
        <w:t>, g</w:t>
      </w:r>
      <w:r w:rsidRPr="00FB35EE">
        <w:rPr>
          <w:noProof/>
        </w:rPr>
        <w:t>licole propilenico</w:t>
      </w:r>
      <w:r w:rsidR="00FB35EE" w:rsidRPr="00FB35EE">
        <w:rPr>
          <w:noProof/>
        </w:rPr>
        <w:t>, s</w:t>
      </w:r>
      <w:r w:rsidRPr="00FB35EE">
        <w:rPr>
          <w:noProof/>
        </w:rPr>
        <w:t>odio idrossido</w:t>
      </w:r>
      <w:r w:rsidR="00FB35EE" w:rsidRPr="00FB35EE">
        <w:rPr>
          <w:noProof/>
        </w:rPr>
        <w:t>, t</w:t>
      </w:r>
      <w:r w:rsidRPr="00FB35EE">
        <w:rPr>
          <w:noProof/>
        </w:rPr>
        <w:t>itanio diossido (E171)</w:t>
      </w:r>
      <w:r w:rsidR="00FB35EE" w:rsidRPr="00FB35EE">
        <w:rPr>
          <w:noProof/>
        </w:rPr>
        <w:t>.</w:t>
      </w:r>
    </w:p>
    <w:bookmarkEnd w:id="4"/>
    <w:bookmarkEnd w:id="5"/>
    <w:bookmarkEnd w:id="8"/>
    <w:bookmarkEnd w:id="9"/>
    <w:p w:rsidR="00FE0038" w:rsidRPr="00FB35EE" w:rsidRDefault="00FE0038" w:rsidP="00FB35EE">
      <w:pPr>
        <w:tabs>
          <w:tab w:val="left" w:pos="0"/>
        </w:tabs>
        <w:spacing w:after="0" w:line="240" w:lineRule="auto"/>
        <w:ind w:hanging="567"/>
        <w:jc w:val="both"/>
        <w:rPr>
          <w:bCs/>
          <w:i/>
          <w:u w:val="single"/>
        </w:rPr>
      </w:pPr>
      <w:r w:rsidRPr="00FB35EE">
        <w:rPr>
          <w:bCs/>
        </w:rPr>
        <w:tab/>
      </w:r>
      <w:r w:rsidR="00A95D6A" w:rsidRPr="00FB35EE">
        <w:rPr>
          <w:bCs/>
          <w:i/>
          <w:u w:val="single"/>
        </w:rPr>
        <w:t>capsule</w:t>
      </w:r>
      <w:r w:rsidRPr="00FB35EE">
        <w:rPr>
          <w:bCs/>
          <w:i/>
          <w:u w:val="single"/>
        </w:rPr>
        <w:t xml:space="preserve"> 20 mg</w:t>
      </w:r>
    </w:p>
    <w:p w:rsidR="00FB35EE" w:rsidRPr="00FB35EE" w:rsidRDefault="001213EB" w:rsidP="00FB35EE">
      <w:pPr>
        <w:tabs>
          <w:tab w:val="left" w:pos="4934"/>
        </w:tabs>
        <w:suppressAutoHyphens/>
        <w:spacing w:after="0" w:line="240" w:lineRule="auto"/>
        <w:jc w:val="both"/>
        <w:rPr>
          <w:noProof/>
        </w:rPr>
      </w:pPr>
      <w:r>
        <w:rPr>
          <w:i/>
          <w:noProof/>
        </w:rPr>
        <w:t>g</w:t>
      </w:r>
      <w:r w:rsidR="00FB35EE" w:rsidRPr="00FB35EE">
        <w:rPr>
          <w:i/>
          <w:noProof/>
        </w:rPr>
        <w:t>ranuli gastroresistenti</w:t>
      </w:r>
      <w:r w:rsidR="00FB35EE" w:rsidRPr="00FB35EE">
        <w:rPr>
          <w:noProof/>
        </w:rPr>
        <w:t>: sfere di zucchero (saccarosio e amido di mais), carbossimetilamido sodico (Tipo A), sodio laurilsolfato, povidone, fosfato trisodio dodecaidrato, ipromellosa, copolimero acido metacrilico–etil acrilato (1:1), trietile citrato, sodio idrossido, titanio diossido (E171), talco.</w:t>
      </w:r>
    </w:p>
    <w:p w:rsidR="00FB35EE" w:rsidRPr="00FB35EE" w:rsidRDefault="00FB35EE" w:rsidP="00FB35EE">
      <w:pPr>
        <w:suppressAutoHyphens/>
        <w:spacing w:after="0" w:line="240" w:lineRule="auto"/>
        <w:jc w:val="both"/>
        <w:rPr>
          <w:noProof/>
        </w:rPr>
      </w:pPr>
      <w:r w:rsidRPr="00FB35EE">
        <w:rPr>
          <w:i/>
          <w:noProof/>
        </w:rPr>
        <w:t>cappuccio della capsula</w:t>
      </w:r>
      <w:r w:rsidRPr="00FB35EE">
        <w:rPr>
          <w:noProof/>
        </w:rPr>
        <w:t xml:space="preserve">: eritrosina </w:t>
      </w:r>
      <w:r w:rsidR="001213EB">
        <w:rPr>
          <w:noProof/>
        </w:rPr>
        <w:t>(E127), indigotina (E132)</w:t>
      </w:r>
      <w:r w:rsidRPr="00FB35EE">
        <w:rPr>
          <w:noProof/>
        </w:rPr>
        <w:t>, titanio diossido (E171), gelatina.</w:t>
      </w:r>
    </w:p>
    <w:p w:rsidR="00FB35EE" w:rsidRPr="00FB35EE" w:rsidRDefault="00FB35EE" w:rsidP="00FB35EE">
      <w:pPr>
        <w:suppressAutoHyphens/>
        <w:spacing w:after="0" w:line="240" w:lineRule="auto"/>
        <w:jc w:val="both"/>
        <w:rPr>
          <w:noProof/>
        </w:rPr>
      </w:pPr>
      <w:r w:rsidRPr="00FB35EE">
        <w:rPr>
          <w:i/>
          <w:noProof/>
        </w:rPr>
        <w:lastRenderedPageBreak/>
        <w:t>corpo della capsula</w:t>
      </w:r>
      <w:r w:rsidRPr="00FB35EE">
        <w:rPr>
          <w:noProof/>
        </w:rPr>
        <w:t>: giallo di chinolina (E104), eritrosina (E127), titanio diossido (E171), gelatina</w:t>
      </w:r>
      <w:r w:rsidR="001213EB">
        <w:rPr>
          <w:noProof/>
        </w:rPr>
        <w:t>.</w:t>
      </w:r>
    </w:p>
    <w:p w:rsidR="00FB35EE" w:rsidRPr="00FB35EE" w:rsidRDefault="00FB35EE" w:rsidP="00FB35EE">
      <w:pPr>
        <w:suppressAutoHyphens/>
        <w:spacing w:after="0" w:line="240" w:lineRule="auto"/>
        <w:jc w:val="both"/>
        <w:rPr>
          <w:noProof/>
        </w:rPr>
      </w:pPr>
      <w:r w:rsidRPr="00FB35EE">
        <w:rPr>
          <w:i/>
          <w:noProof/>
        </w:rPr>
        <w:t>Inchiostro di stampa</w:t>
      </w:r>
      <w:r w:rsidRPr="00FB35EE">
        <w:rPr>
          <w:noProof/>
        </w:rPr>
        <w:t>: gomma lacca, povidone, glicole propilenico, sodio idrossido, titanio diossido (E171).</w:t>
      </w:r>
    </w:p>
    <w:p w:rsidR="00FB35EE" w:rsidRPr="00FB35EE" w:rsidRDefault="0096052D" w:rsidP="00FB35EE">
      <w:pPr>
        <w:tabs>
          <w:tab w:val="left" w:pos="0"/>
        </w:tabs>
        <w:spacing w:after="0" w:line="240" w:lineRule="auto"/>
        <w:ind w:hanging="567"/>
        <w:jc w:val="both"/>
        <w:rPr>
          <w:bCs/>
          <w:i/>
          <w:u w:val="single"/>
        </w:rPr>
      </w:pPr>
      <w:r w:rsidRPr="00FB35EE">
        <w:rPr>
          <w:noProof/>
        </w:rPr>
        <w:tab/>
      </w:r>
      <w:r w:rsidR="00FB35EE" w:rsidRPr="00FB35EE">
        <w:rPr>
          <w:bCs/>
          <w:i/>
          <w:u w:val="single"/>
        </w:rPr>
        <w:t>capsule 40 mg</w:t>
      </w:r>
    </w:p>
    <w:p w:rsidR="00FB35EE" w:rsidRPr="00FB35EE" w:rsidRDefault="001213EB" w:rsidP="00FB35EE">
      <w:pPr>
        <w:tabs>
          <w:tab w:val="left" w:pos="4934"/>
        </w:tabs>
        <w:suppressAutoHyphens/>
        <w:spacing w:after="0" w:line="240" w:lineRule="auto"/>
        <w:jc w:val="both"/>
        <w:rPr>
          <w:noProof/>
        </w:rPr>
      </w:pPr>
      <w:r>
        <w:rPr>
          <w:i/>
          <w:noProof/>
        </w:rPr>
        <w:t>g</w:t>
      </w:r>
      <w:r w:rsidR="00FB35EE" w:rsidRPr="00FB35EE">
        <w:rPr>
          <w:i/>
          <w:noProof/>
        </w:rPr>
        <w:t>ranuli gastroresistenti</w:t>
      </w:r>
      <w:r w:rsidR="00FB35EE" w:rsidRPr="00FB35EE">
        <w:rPr>
          <w:noProof/>
        </w:rPr>
        <w:t>: sfere di zucchero (saccarosio e amido di mais), carbossimetilamido sodico (Tipo A), sodio laurilsolfato, povidone, fosfato trisodio dodecaidrato, ipromellosa, copolimero acido metacrilico–etil acrilato (1:1), trietile citrato, sodio idrossido, titanio diossido (E171), talco.</w:t>
      </w:r>
    </w:p>
    <w:p w:rsidR="00FB35EE" w:rsidRPr="00FB35EE" w:rsidRDefault="00FB35EE" w:rsidP="00FB35EE">
      <w:pPr>
        <w:suppressAutoHyphens/>
        <w:spacing w:after="0" w:line="240" w:lineRule="auto"/>
        <w:jc w:val="both"/>
        <w:rPr>
          <w:noProof/>
        </w:rPr>
      </w:pPr>
      <w:r w:rsidRPr="00FB35EE">
        <w:rPr>
          <w:i/>
          <w:noProof/>
        </w:rPr>
        <w:t>cappuccio della capsula</w:t>
      </w:r>
      <w:r w:rsidRPr="00FB35EE">
        <w:rPr>
          <w:noProof/>
        </w:rPr>
        <w:t>: eritrosina (E127), indigotina (E132), titanio diossido (E171), gelatina.</w:t>
      </w:r>
    </w:p>
    <w:p w:rsidR="00FB35EE" w:rsidRPr="00FB35EE" w:rsidRDefault="00FB35EE" w:rsidP="00FB35EE">
      <w:pPr>
        <w:suppressAutoHyphens/>
        <w:spacing w:after="0" w:line="240" w:lineRule="auto"/>
        <w:jc w:val="both"/>
        <w:rPr>
          <w:noProof/>
        </w:rPr>
      </w:pPr>
      <w:r w:rsidRPr="00FB35EE">
        <w:rPr>
          <w:i/>
          <w:noProof/>
        </w:rPr>
        <w:t>corpo della capsula</w:t>
      </w:r>
      <w:r w:rsidRPr="00FB35EE">
        <w:rPr>
          <w:noProof/>
        </w:rPr>
        <w:t>: giallo di chinolina (E104), eritrosina (E127), titanio diossido (E171), gelatina</w:t>
      </w:r>
    </w:p>
    <w:p w:rsidR="00FB35EE" w:rsidRPr="00FB35EE" w:rsidRDefault="00FB35EE" w:rsidP="00FB35EE">
      <w:pPr>
        <w:suppressAutoHyphens/>
        <w:spacing w:after="0" w:line="240" w:lineRule="auto"/>
        <w:jc w:val="both"/>
        <w:rPr>
          <w:noProof/>
        </w:rPr>
      </w:pPr>
      <w:r w:rsidRPr="00FB35EE">
        <w:rPr>
          <w:i/>
          <w:noProof/>
        </w:rPr>
        <w:t>Inchiostro di stampa</w:t>
      </w:r>
      <w:r w:rsidRPr="00FB35EE">
        <w:rPr>
          <w:noProof/>
        </w:rPr>
        <w:t>: gomma lacca, povidone, glicole propilenico, sodio idrossido, titanio diossido (E171).</w:t>
      </w:r>
    </w:p>
    <w:p w:rsidR="001213EB" w:rsidRDefault="00FB35EE" w:rsidP="00FB35EE">
      <w:pPr>
        <w:tabs>
          <w:tab w:val="left" w:pos="0"/>
        </w:tabs>
        <w:spacing w:after="0" w:line="240" w:lineRule="auto"/>
        <w:ind w:hanging="567"/>
        <w:jc w:val="both"/>
        <w:rPr>
          <w:noProof/>
        </w:rPr>
      </w:pPr>
      <w:r w:rsidRPr="00FB35EE">
        <w:rPr>
          <w:noProof/>
        </w:rPr>
        <w:tab/>
      </w:r>
      <w:r w:rsidR="005D40D3" w:rsidRPr="00FB35EE">
        <w:t>Tutti gli</w:t>
      </w:r>
      <w:r w:rsidR="005D40D3" w:rsidRPr="00C17EFD">
        <w:t xml:space="preserve"> eccipienti sono conformi alla relativa monografia di Farmacopea Europea, ad eccezione</w:t>
      </w:r>
      <w:r w:rsidR="00615C10" w:rsidRPr="00C17EFD">
        <w:t xml:space="preserve"> </w:t>
      </w:r>
      <w:r>
        <w:t xml:space="preserve">del </w:t>
      </w:r>
      <w:r w:rsidRPr="00FB35EE">
        <w:rPr>
          <w:noProof/>
        </w:rPr>
        <w:t>fosfato trisodio dodecaidrato</w:t>
      </w:r>
      <w:r>
        <w:rPr>
          <w:noProof/>
        </w:rPr>
        <w:t xml:space="preserve"> la cui monografia è presente nella Far</w:t>
      </w:r>
      <w:r w:rsidR="001213EB">
        <w:rPr>
          <w:noProof/>
        </w:rPr>
        <w:t xml:space="preserve">macopea degli Stati Uniti (USP) e dei coloranti </w:t>
      </w:r>
      <w:r w:rsidR="001213EB" w:rsidRPr="001213EB">
        <w:rPr>
          <w:noProof/>
        </w:rPr>
        <w:t>ossido di ferro rosso, eritrosina, giallo di chinolina, indigotina</w:t>
      </w:r>
      <w:r w:rsidR="001213EB">
        <w:rPr>
          <w:noProof/>
        </w:rPr>
        <w:t xml:space="preserve"> per i quali il produttore ha definito adeguatamente le specifiche di qualità.</w:t>
      </w:r>
    </w:p>
    <w:p w:rsidR="001213EB" w:rsidRDefault="001213EB" w:rsidP="001213EB">
      <w:pPr>
        <w:spacing w:after="0" w:line="240" w:lineRule="auto"/>
        <w:jc w:val="both"/>
        <w:rPr>
          <w:noProof/>
        </w:rPr>
      </w:pPr>
      <w:r w:rsidRPr="00F93450">
        <w:t xml:space="preserve">Il solo eccipiente di originale animale è </w:t>
      </w:r>
      <w:r>
        <w:t>la gelatina</w:t>
      </w:r>
      <w:r w:rsidRPr="00F93450">
        <w:t xml:space="preserve">; </w:t>
      </w:r>
      <w:r>
        <w:t xml:space="preserve">a tutti i produttori di gelatina utilizzati </w:t>
      </w:r>
      <w:r w:rsidRPr="00845AF1">
        <w:t xml:space="preserve">il </w:t>
      </w:r>
      <w:proofErr w:type="spellStart"/>
      <w:r w:rsidRPr="00845AF1">
        <w:t>Direttorato</w:t>
      </w:r>
      <w:proofErr w:type="spellEnd"/>
      <w:r w:rsidRPr="00845AF1">
        <w:t xml:space="preserve"> Europeo per la Qualità dei Medicinali (</w:t>
      </w:r>
      <w:proofErr w:type="spellStart"/>
      <w:r w:rsidRPr="00845AF1">
        <w:rPr>
          <w:i/>
        </w:rPr>
        <w:t>European</w:t>
      </w:r>
      <w:proofErr w:type="spellEnd"/>
      <w:r w:rsidRPr="00845AF1">
        <w:rPr>
          <w:i/>
        </w:rPr>
        <w:t xml:space="preserve"> </w:t>
      </w:r>
      <w:proofErr w:type="spellStart"/>
      <w:r w:rsidRPr="00845AF1">
        <w:rPr>
          <w:i/>
        </w:rPr>
        <w:t>Directorate</w:t>
      </w:r>
      <w:proofErr w:type="spellEnd"/>
      <w:r w:rsidRPr="00845AF1">
        <w:rPr>
          <w:i/>
        </w:rPr>
        <w:t xml:space="preserve"> </w:t>
      </w:r>
      <w:proofErr w:type="spellStart"/>
      <w:r w:rsidRPr="00845AF1">
        <w:rPr>
          <w:i/>
        </w:rPr>
        <w:t>for</w:t>
      </w:r>
      <w:proofErr w:type="spellEnd"/>
      <w:r w:rsidRPr="00845AF1">
        <w:rPr>
          <w:i/>
        </w:rPr>
        <w:t xml:space="preserve"> </w:t>
      </w:r>
      <w:proofErr w:type="spellStart"/>
      <w:r w:rsidRPr="00845AF1">
        <w:rPr>
          <w:i/>
        </w:rPr>
        <w:t>Quality</w:t>
      </w:r>
      <w:proofErr w:type="spellEnd"/>
      <w:r w:rsidRPr="00845AF1">
        <w:rPr>
          <w:i/>
        </w:rPr>
        <w:t xml:space="preserve"> </w:t>
      </w:r>
      <w:proofErr w:type="spellStart"/>
      <w:r w:rsidRPr="00845AF1">
        <w:rPr>
          <w:i/>
        </w:rPr>
        <w:t>of</w:t>
      </w:r>
      <w:proofErr w:type="spellEnd"/>
      <w:r w:rsidRPr="00845AF1">
        <w:rPr>
          <w:i/>
        </w:rPr>
        <w:t xml:space="preserve"> </w:t>
      </w:r>
      <w:proofErr w:type="spellStart"/>
      <w:r w:rsidRPr="00845AF1">
        <w:rPr>
          <w:i/>
        </w:rPr>
        <w:t>Medicnals</w:t>
      </w:r>
      <w:proofErr w:type="spellEnd"/>
      <w:r w:rsidRPr="00845AF1">
        <w:t xml:space="preserve"> – EDQM) ha </w:t>
      </w:r>
      <w:r w:rsidR="008E4143">
        <w:t xml:space="preserve">rilasciato </w:t>
      </w:r>
      <w:r>
        <w:t>i</w:t>
      </w:r>
      <w:r w:rsidRPr="00845AF1">
        <w:t xml:space="preserve"> certificat</w:t>
      </w:r>
      <w:r>
        <w:t>i</w:t>
      </w:r>
      <w:r w:rsidRPr="00845AF1">
        <w:t xml:space="preserve"> di conformità alla Farmacopea Europea</w:t>
      </w:r>
      <w:r>
        <w:t xml:space="preserve"> che ne certificano la sicurezza d’uso.</w:t>
      </w:r>
      <w:r>
        <w:rPr>
          <w:noProof/>
        </w:rPr>
        <w:t xml:space="preserve"> </w:t>
      </w:r>
    </w:p>
    <w:p w:rsidR="005D40D3" w:rsidRDefault="005D40D3" w:rsidP="00C17EFD">
      <w:pPr>
        <w:spacing w:after="0" w:line="240" w:lineRule="auto"/>
        <w:jc w:val="both"/>
      </w:pPr>
      <w:r w:rsidRPr="00C17EFD">
        <w:t>Nessun eccipiente è ottenuto da organismi geneticamente modificati; non sono presenti eccipienti mai utilizzati nell’uomo.</w:t>
      </w:r>
    </w:p>
    <w:p w:rsidR="001213EB" w:rsidRPr="00C17EFD" w:rsidRDefault="001213EB" w:rsidP="00C17EFD">
      <w:pPr>
        <w:spacing w:after="0" w:line="240" w:lineRule="auto"/>
        <w:jc w:val="both"/>
      </w:pPr>
    </w:p>
    <w:p w:rsidR="005D40D3" w:rsidRPr="00C17EFD" w:rsidRDefault="005D40D3" w:rsidP="00C17EFD">
      <w:pPr>
        <w:spacing w:after="0" w:line="240" w:lineRule="auto"/>
        <w:jc w:val="both"/>
        <w:rPr>
          <w:b/>
        </w:rPr>
      </w:pPr>
      <w:r w:rsidRPr="00C17EFD">
        <w:rPr>
          <w:b/>
        </w:rPr>
        <w:t>Sviluppo farmaceutico</w:t>
      </w:r>
    </w:p>
    <w:p w:rsidR="005D40D3" w:rsidRPr="00C17EFD" w:rsidRDefault="005D40D3" w:rsidP="00C17EFD">
      <w:pPr>
        <w:spacing w:after="0" w:line="240" w:lineRule="auto"/>
        <w:jc w:val="both"/>
      </w:pPr>
      <w:r w:rsidRPr="00C17EFD">
        <w:t>Sono stati forniti dettagli dello sviluppo farmaceutico e questi sono stati ritenuti soddisfacenti.</w:t>
      </w:r>
    </w:p>
    <w:p w:rsidR="005D40D3" w:rsidRPr="00C17EFD" w:rsidRDefault="005D40D3" w:rsidP="00C17EFD">
      <w:pPr>
        <w:spacing w:after="0" w:line="240" w:lineRule="auto"/>
        <w:jc w:val="both"/>
      </w:pPr>
      <w:r w:rsidRPr="00C17EFD">
        <w:t xml:space="preserve">Lo scopo era quello di ottenere un medicinale </w:t>
      </w:r>
      <w:proofErr w:type="spellStart"/>
      <w:r w:rsidRPr="00C17EFD">
        <w:t>bioequivalente</w:t>
      </w:r>
      <w:proofErr w:type="spellEnd"/>
      <w:r w:rsidRPr="00C17EFD">
        <w:t xml:space="preserve"> al medicinale di riferimento </w:t>
      </w:r>
      <w:proofErr w:type="spellStart"/>
      <w:r w:rsidR="00A539E9" w:rsidRPr="00C17EFD">
        <w:t>Losec</w:t>
      </w:r>
      <w:proofErr w:type="spellEnd"/>
      <w:r w:rsidRPr="00C17EFD">
        <w:t>.</w:t>
      </w:r>
    </w:p>
    <w:p w:rsidR="005D40D3" w:rsidRPr="00C17EFD" w:rsidRDefault="005D40D3" w:rsidP="00C17EFD">
      <w:pPr>
        <w:spacing w:after="0" w:line="240" w:lineRule="auto"/>
        <w:jc w:val="both"/>
      </w:pPr>
      <w:r w:rsidRPr="00C17EFD">
        <w:t>Sono stati forniti dati comparativi relativi al profilo di dissoluzione e al profilo di impurezze rispetto al medicinale di riferimento. I dati sono soddisfacenti.</w:t>
      </w:r>
    </w:p>
    <w:p w:rsidR="005D40D3" w:rsidRPr="00C17EFD" w:rsidRDefault="005D40D3" w:rsidP="00C17EFD">
      <w:pPr>
        <w:spacing w:after="0" w:line="240" w:lineRule="auto"/>
        <w:jc w:val="both"/>
      </w:pPr>
    </w:p>
    <w:p w:rsidR="005D40D3" w:rsidRPr="00C17EFD" w:rsidRDefault="005D40D3" w:rsidP="00C17EFD">
      <w:pPr>
        <w:spacing w:after="0" w:line="240" w:lineRule="auto"/>
        <w:jc w:val="both"/>
        <w:rPr>
          <w:b/>
        </w:rPr>
      </w:pPr>
      <w:r w:rsidRPr="00C17EFD">
        <w:rPr>
          <w:b/>
        </w:rPr>
        <w:t xml:space="preserve">Produzione </w:t>
      </w:r>
    </w:p>
    <w:p w:rsidR="005D40D3" w:rsidRPr="00C17EFD" w:rsidRDefault="005D40D3" w:rsidP="00C17EFD">
      <w:pPr>
        <w:spacing w:after="0" w:line="240" w:lineRule="auto"/>
        <w:jc w:val="both"/>
      </w:pPr>
      <w:r w:rsidRPr="00C17EFD">
        <w:t>Sono stati forniti una descrizione del metodo di produzione e la relativa flow-chart.</w:t>
      </w:r>
    </w:p>
    <w:p w:rsidR="005D40D3" w:rsidRPr="00C17EFD" w:rsidRDefault="005D40D3" w:rsidP="00C17EFD">
      <w:pPr>
        <w:spacing w:after="0" w:line="240" w:lineRule="auto"/>
        <w:jc w:val="both"/>
      </w:pPr>
      <w:r w:rsidRPr="00C17EFD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5D40D3" w:rsidRPr="00C17EFD" w:rsidRDefault="005D40D3" w:rsidP="00C17EFD">
      <w:pPr>
        <w:spacing w:after="0" w:line="240" w:lineRule="auto"/>
        <w:jc w:val="both"/>
      </w:pPr>
    </w:p>
    <w:p w:rsidR="005D40D3" w:rsidRPr="00C17EFD" w:rsidRDefault="005D40D3" w:rsidP="00C17EFD">
      <w:pPr>
        <w:spacing w:after="0" w:line="240" w:lineRule="auto"/>
        <w:jc w:val="both"/>
        <w:rPr>
          <w:b/>
        </w:rPr>
      </w:pPr>
      <w:r w:rsidRPr="00C17EFD">
        <w:rPr>
          <w:b/>
        </w:rPr>
        <w:t>Specifiche del prodotto finito</w:t>
      </w:r>
    </w:p>
    <w:p w:rsidR="005D40D3" w:rsidRPr="00C97A20" w:rsidRDefault="005D40D3" w:rsidP="00C17EFD">
      <w:pPr>
        <w:spacing w:after="0" w:line="240" w:lineRule="auto"/>
        <w:jc w:val="both"/>
      </w:pPr>
      <w:r w:rsidRPr="00C17EFD">
        <w:t>So</w:t>
      </w:r>
      <w:r w:rsidRPr="00C97A20">
        <w:t>no state fornite adeguate specifiche di controllo per il prodotto finito al rilascio e alla fine della validità. I metodi analitici sono stati descritti e adeguatamente convalidati. Sono stati forniti, inoltre, dati analitici per tutti i dosaggi del prodotto finito: questi dati dimostrano che i lotti prodotti sono in accordo alle specifiche proposte. Sono stati forniti, infine, certificati analitici per gli standard di riferimento utilizzati.</w:t>
      </w:r>
    </w:p>
    <w:p w:rsidR="005D40D3" w:rsidRPr="00C97A20" w:rsidRDefault="005D40D3" w:rsidP="0096052D">
      <w:pPr>
        <w:spacing w:after="0" w:line="240" w:lineRule="auto"/>
        <w:jc w:val="both"/>
        <w:rPr>
          <w:b/>
        </w:rPr>
      </w:pPr>
    </w:p>
    <w:p w:rsidR="005D40D3" w:rsidRPr="00C97A20" w:rsidRDefault="005D40D3" w:rsidP="0096052D">
      <w:pPr>
        <w:spacing w:after="0" w:line="240" w:lineRule="auto"/>
        <w:jc w:val="both"/>
        <w:rPr>
          <w:b/>
        </w:rPr>
      </w:pPr>
      <w:r w:rsidRPr="00C97A20">
        <w:rPr>
          <w:b/>
        </w:rPr>
        <w:t>Contenitore</w:t>
      </w:r>
    </w:p>
    <w:p w:rsidR="005D40D3" w:rsidRDefault="00A539E9" w:rsidP="0096052D">
      <w:pPr>
        <w:spacing w:after="0" w:line="240" w:lineRule="auto"/>
        <w:jc w:val="both"/>
      </w:pPr>
      <w:proofErr w:type="spellStart"/>
      <w:r>
        <w:t>Opsardex</w:t>
      </w:r>
      <w:proofErr w:type="spellEnd"/>
      <w:r w:rsidR="005D40D3" w:rsidRPr="005D5D07">
        <w:t xml:space="preserve"> è confezionato in blister </w:t>
      </w:r>
      <w:r w:rsidR="005D5D07" w:rsidRPr="005D5D07">
        <w:t xml:space="preserve">di </w:t>
      </w:r>
      <w:r w:rsidR="00615C10" w:rsidRPr="00192251">
        <w:rPr>
          <w:noProof/>
        </w:rPr>
        <w:t>Al</w:t>
      </w:r>
      <w:r w:rsidR="00615C10">
        <w:rPr>
          <w:noProof/>
        </w:rPr>
        <w:t>luminio</w:t>
      </w:r>
      <w:r w:rsidR="00615C10" w:rsidRPr="00192251">
        <w:rPr>
          <w:noProof/>
        </w:rPr>
        <w:t>/Al</w:t>
      </w:r>
      <w:r w:rsidR="00615C10">
        <w:rPr>
          <w:noProof/>
        </w:rPr>
        <w:t>luminio</w:t>
      </w:r>
      <w:r w:rsidR="005D40D3" w:rsidRPr="005D5D07">
        <w:t>. Sono state fornite specifiche e certificati analitici per tutti i componenti del confezionamento primario, che è adeguato per il medicinale.</w:t>
      </w:r>
    </w:p>
    <w:p w:rsidR="005D40D3" w:rsidRPr="00C97A20" w:rsidRDefault="005D40D3" w:rsidP="005D40D3">
      <w:pPr>
        <w:spacing w:after="0" w:line="240" w:lineRule="auto"/>
        <w:jc w:val="both"/>
      </w:pPr>
    </w:p>
    <w:p w:rsidR="005D40D3" w:rsidRPr="00C97A20" w:rsidRDefault="005D40D3" w:rsidP="005D40D3">
      <w:pPr>
        <w:spacing w:after="0" w:line="240" w:lineRule="auto"/>
        <w:jc w:val="both"/>
        <w:rPr>
          <w:b/>
        </w:rPr>
      </w:pPr>
      <w:r w:rsidRPr="00C97A20">
        <w:rPr>
          <w:b/>
        </w:rPr>
        <w:t>Stabilità</w:t>
      </w:r>
    </w:p>
    <w:p w:rsidR="005D40D3" w:rsidRPr="00C97A20" w:rsidRDefault="005D40D3" w:rsidP="005D40D3">
      <w:pPr>
        <w:spacing w:after="0" w:line="240" w:lineRule="auto"/>
        <w:jc w:val="both"/>
      </w:pPr>
      <w:r w:rsidRPr="005D5D07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5D5D07" w:rsidRPr="005D5D07">
        <w:t>2</w:t>
      </w:r>
      <w:r w:rsidRPr="005D5D07">
        <w:t xml:space="preserve"> anni </w:t>
      </w:r>
      <w:r w:rsidR="005D5D07" w:rsidRPr="005D5D07">
        <w:t>con</w:t>
      </w:r>
      <w:r w:rsidRPr="005D5D07">
        <w:t xml:space="preserve"> conservazione</w:t>
      </w:r>
      <w:r w:rsidR="005D5D07" w:rsidRPr="005D5D07">
        <w:t xml:space="preserve"> a temperatura inferiore a </w:t>
      </w:r>
      <w:r w:rsidR="001213EB">
        <w:t>30</w:t>
      </w:r>
      <w:r w:rsidR="005D5D07" w:rsidRPr="005D5D07">
        <w:t>°C</w:t>
      </w:r>
      <w:r w:rsidR="00615C10">
        <w:t xml:space="preserve"> ed al riparo d</w:t>
      </w:r>
      <w:r w:rsidR="005E1536">
        <w:t>a</w:t>
      </w:r>
      <w:r w:rsidR="00615C10">
        <w:t>ll’umidità</w:t>
      </w:r>
      <w:r w:rsidR="005D5D07" w:rsidRPr="005D5D07">
        <w:t>.</w:t>
      </w:r>
    </w:p>
    <w:p w:rsidR="005D40D3" w:rsidRPr="00C97A20" w:rsidRDefault="005D40D3" w:rsidP="005D40D3">
      <w:pPr>
        <w:spacing w:after="0" w:line="240" w:lineRule="auto"/>
        <w:jc w:val="both"/>
      </w:pPr>
    </w:p>
    <w:p w:rsidR="005D40D3" w:rsidRPr="00DF7B22" w:rsidRDefault="005D40D3" w:rsidP="005D40D3">
      <w:pPr>
        <w:spacing w:after="0" w:line="240" w:lineRule="auto"/>
        <w:jc w:val="both"/>
        <w:rPr>
          <w:b/>
        </w:rPr>
      </w:pPr>
      <w:r w:rsidRPr="00DF7B22">
        <w:rPr>
          <w:b/>
        </w:rPr>
        <w:t>II.3 Discussione sugli aspetti di qualità</w:t>
      </w:r>
    </w:p>
    <w:p w:rsidR="005D40D3" w:rsidRDefault="005D40D3" w:rsidP="005D40D3">
      <w:pPr>
        <w:spacing w:after="0" w:line="240" w:lineRule="auto"/>
        <w:jc w:val="both"/>
      </w:pPr>
      <w:r>
        <w:t xml:space="preserve">Tutte le criticità evidenziate nel corso della valutazione sono state risolte e la qualità di </w:t>
      </w:r>
      <w:proofErr w:type="spellStart"/>
      <w:r w:rsidR="00A539E9">
        <w:t>Opsardex</w:t>
      </w:r>
      <w:proofErr w:type="spellEnd"/>
      <w:r>
        <w:t xml:space="preserve"> è considerata adeguata. Non ci sono obiezioni per l’approvazione di </w:t>
      </w:r>
      <w:proofErr w:type="spellStart"/>
      <w:r w:rsidR="00A539E9">
        <w:t>Opsardex</w:t>
      </w:r>
      <w:proofErr w:type="spellEnd"/>
      <w:r>
        <w:t xml:space="preserve"> dal punto di vista chimico-farmaceutico.</w:t>
      </w:r>
    </w:p>
    <w:p w:rsidR="005D40D3" w:rsidRDefault="005D40D3" w:rsidP="005D40D3">
      <w:pPr>
        <w:spacing w:after="0" w:line="240" w:lineRule="auto"/>
        <w:jc w:val="both"/>
      </w:pPr>
    </w:p>
    <w:p w:rsidR="005D40D3" w:rsidRDefault="005D40D3" w:rsidP="005D40D3">
      <w:pPr>
        <w:spacing w:after="0" w:line="240" w:lineRule="auto"/>
        <w:jc w:val="both"/>
      </w:pPr>
    </w:p>
    <w:p w:rsidR="005D40D3" w:rsidRPr="00DF7B22" w:rsidRDefault="005D40D3" w:rsidP="005D40D3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5D40D3" w:rsidRDefault="005D40D3" w:rsidP="005D40D3">
      <w:pPr>
        <w:spacing w:after="0" w:line="240" w:lineRule="auto"/>
        <w:jc w:val="both"/>
      </w:pPr>
      <w:r>
        <w:t xml:space="preserve">Non sono stati condotti specifici studi non clinici, in quanto </w:t>
      </w:r>
      <w:proofErr w:type="spellStart"/>
      <w:r w:rsidR="00A539E9">
        <w:t>Opsardex</w:t>
      </w:r>
      <w:proofErr w:type="spellEnd"/>
      <w:r>
        <w:t xml:space="preserve"> contiene un principio attivo noto: questo approccio è accettabile poiché il medicinale di riferimento </w:t>
      </w:r>
      <w:proofErr w:type="spellStart"/>
      <w:r w:rsidR="00A539E9">
        <w:t>Losec</w:t>
      </w:r>
      <w:proofErr w:type="spellEnd"/>
      <w:r>
        <w:t xml:space="preserve"> è autorizzato in Italia da oltre 10 anni.</w:t>
      </w:r>
    </w:p>
    <w:p w:rsidR="005D40D3" w:rsidRDefault="005D40D3" w:rsidP="005D40D3">
      <w:pPr>
        <w:spacing w:after="0" w:line="240" w:lineRule="auto"/>
        <w:jc w:val="both"/>
      </w:pPr>
      <w:r>
        <w:lastRenderedPageBreak/>
        <w:t>Non ci sono obiezioni per l’approvazione dal punto di vista non clinico.</w:t>
      </w:r>
    </w:p>
    <w:p w:rsidR="005D40D3" w:rsidRDefault="005D40D3" w:rsidP="005D40D3">
      <w:pPr>
        <w:spacing w:after="0" w:line="240" w:lineRule="auto"/>
        <w:jc w:val="both"/>
      </w:pPr>
    </w:p>
    <w:p w:rsidR="005D40D3" w:rsidRPr="005A38F5" w:rsidRDefault="005D40D3" w:rsidP="005D40D3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45530D" w:rsidRPr="00C43444" w:rsidRDefault="00A539E9" w:rsidP="0045530D">
      <w:pPr>
        <w:spacing w:after="0" w:line="240" w:lineRule="auto"/>
        <w:rPr>
          <w:rFonts w:ascii="Calibri" w:hAnsi="Calibri"/>
        </w:rPr>
      </w:pPr>
      <w:proofErr w:type="spellStart"/>
      <w:r>
        <w:t>Opsardex</w:t>
      </w:r>
      <w:proofErr w:type="spellEnd"/>
      <w:r w:rsidR="005D40D3">
        <w:t xml:space="preserve"> </w:t>
      </w:r>
      <w:r w:rsidR="005D40D3" w:rsidRPr="00A34141">
        <w:t>è utilizzato</w:t>
      </w:r>
      <w:r w:rsidR="0045530D" w:rsidRPr="00C43444">
        <w:rPr>
          <w:rFonts w:ascii="Calibri" w:hAnsi="Calibri"/>
        </w:rPr>
        <w:t>:</w:t>
      </w:r>
    </w:p>
    <w:p w:rsidR="001213EB" w:rsidRPr="00A539E9" w:rsidRDefault="001213EB" w:rsidP="001213EB">
      <w:pPr>
        <w:suppressAutoHyphens/>
        <w:spacing w:after="0" w:line="240" w:lineRule="auto"/>
        <w:jc w:val="both"/>
        <w:rPr>
          <w:i/>
        </w:rPr>
      </w:pPr>
      <w:r w:rsidRPr="00A539E9">
        <w:rPr>
          <w:i/>
        </w:rPr>
        <w:t>negli adulti</w:t>
      </w:r>
      <w:r>
        <w:t xml:space="preserve"> per</w:t>
      </w:r>
    </w:p>
    <w:p w:rsidR="001213EB" w:rsidRPr="00CB3350" w:rsidRDefault="001213EB" w:rsidP="008E4143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284" w:hanging="142"/>
        <w:jc w:val="both"/>
      </w:pPr>
      <w:r w:rsidRPr="00CB3350">
        <w:t>Tra</w:t>
      </w:r>
      <w:r>
        <w:t>ttamento delle ulcere duodenali e p</w:t>
      </w:r>
      <w:r w:rsidRPr="00CB3350">
        <w:t>revenzione del</w:t>
      </w:r>
      <w:r>
        <w:t>le recidive;</w:t>
      </w:r>
    </w:p>
    <w:p w:rsidR="001213EB" w:rsidRPr="00CB3350" w:rsidRDefault="001213EB" w:rsidP="008E4143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284" w:hanging="142"/>
        <w:jc w:val="both"/>
      </w:pPr>
      <w:r w:rsidRPr="00CB3350">
        <w:t>Trattamento delle ulcere ga</w:t>
      </w:r>
      <w:r>
        <w:t>striche e p</w:t>
      </w:r>
      <w:r w:rsidRPr="00CB3350">
        <w:t>revenzione del</w:t>
      </w:r>
      <w:r>
        <w:t>le recidive;</w:t>
      </w:r>
    </w:p>
    <w:p w:rsidR="001213EB" w:rsidRPr="00CB3350" w:rsidRDefault="001213EB" w:rsidP="008E4143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284" w:hanging="142"/>
        <w:jc w:val="both"/>
      </w:pPr>
      <w:r w:rsidRPr="00CB3350">
        <w:t xml:space="preserve">Eradicazione di </w:t>
      </w:r>
      <w:proofErr w:type="spellStart"/>
      <w:r w:rsidRPr="00CB3350">
        <w:rPr>
          <w:i/>
        </w:rPr>
        <w:t>Helicobacter</w:t>
      </w:r>
      <w:proofErr w:type="spellEnd"/>
      <w:r w:rsidRPr="00CB3350">
        <w:rPr>
          <w:i/>
        </w:rPr>
        <w:t xml:space="preserve"> </w:t>
      </w:r>
      <w:proofErr w:type="spellStart"/>
      <w:r w:rsidRPr="00CB3350">
        <w:rPr>
          <w:i/>
        </w:rPr>
        <w:t>pylori</w:t>
      </w:r>
      <w:proofErr w:type="spellEnd"/>
      <w:r w:rsidRPr="00CB3350">
        <w:rPr>
          <w:i/>
        </w:rPr>
        <w:t xml:space="preserve"> (H. </w:t>
      </w:r>
      <w:proofErr w:type="spellStart"/>
      <w:r w:rsidRPr="00CB3350">
        <w:rPr>
          <w:i/>
        </w:rPr>
        <w:t>pylori</w:t>
      </w:r>
      <w:proofErr w:type="spellEnd"/>
      <w:r w:rsidRPr="00CB3350">
        <w:rPr>
          <w:i/>
        </w:rPr>
        <w:t>)</w:t>
      </w:r>
      <w:r w:rsidRPr="00CB3350">
        <w:t xml:space="preserve"> nell’ulcera peptica, in associazione a </w:t>
      </w:r>
      <w:r>
        <w:t>terapia antibiotica appropriata;</w:t>
      </w:r>
    </w:p>
    <w:p w:rsidR="001213EB" w:rsidRPr="00CB3350" w:rsidRDefault="001213EB" w:rsidP="008E4143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284" w:hanging="142"/>
        <w:jc w:val="both"/>
      </w:pPr>
      <w:r w:rsidRPr="00CB3350">
        <w:t>Trattamento delle ulcere gastriche e duodenali associate all’assunzione di FANS</w:t>
      </w:r>
      <w:r>
        <w:t>;</w:t>
      </w:r>
    </w:p>
    <w:p w:rsidR="001213EB" w:rsidRPr="00CB3350" w:rsidRDefault="001213EB" w:rsidP="008E4143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284" w:hanging="142"/>
        <w:jc w:val="both"/>
      </w:pPr>
      <w:r w:rsidRPr="00CB3350">
        <w:t>Prevenzione delle ulcere gastriche e duodenali associate all’assunzion</w:t>
      </w:r>
      <w:r>
        <w:t>e di FANS in pazienti a rischio;</w:t>
      </w:r>
    </w:p>
    <w:p w:rsidR="001213EB" w:rsidRPr="00CB3350" w:rsidRDefault="001213EB" w:rsidP="008E4143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284" w:hanging="142"/>
        <w:jc w:val="both"/>
      </w:pPr>
      <w:r w:rsidRPr="00CB3350">
        <w:t>Trattam</w:t>
      </w:r>
      <w:r>
        <w:t>ento dell’esofagite da reflusso;</w:t>
      </w:r>
    </w:p>
    <w:p w:rsidR="001213EB" w:rsidRPr="00CB3350" w:rsidRDefault="001213EB" w:rsidP="008E4143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284" w:hanging="142"/>
        <w:jc w:val="both"/>
      </w:pPr>
      <w:r w:rsidRPr="00CB3350">
        <w:t>Gestione a lungo termine dei pazienti con eso</w:t>
      </w:r>
      <w:r>
        <w:t>fagite da reflusso cicatrizzata;</w:t>
      </w:r>
    </w:p>
    <w:p w:rsidR="001213EB" w:rsidRPr="00CB3350" w:rsidRDefault="001213EB" w:rsidP="008E4143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284" w:hanging="142"/>
        <w:jc w:val="both"/>
      </w:pPr>
      <w:r w:rsidRPr="00CB3350">
        <w:t>Trattamento della malattia sintomat</w:t>
      </w:r>
      <w:r>
        <w:t xml:space="preserve">ica da reflusso </w:t>
      </w:r>
      <w:proofErr w:type="spellStart"/>
      <w:r>
        <w:t>gastro-esofageo</w:t>
      </w:r>
      <w:proofErr w:type="spellEnd"/>
      <w:r>
        <w:t>;</w:t>
      </w:r>
    </w:p>
    <w:p w:rsidR="001213EB" w:rsidRDefault="001213EB" w:rsidP="008E4143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567" w:hanging="425"/>
        <w:jc w:val="both"/>
      </w:pPr>
      <w:r w:rsidRPr="00CB3350">
        <w:t>Trattamento dell</w:t>
      </w:r>
      <w:r>
        <w:t xml:space="preserve">a sindrome di </w:t>
      </w:r>
      <w:proofErr w:type="spellStart"/>
      <w:r>
        <w:t>Zollinger-Ellison</w:t>
      </w:r>
      <w:proofErr w:type="spellEnd"/>
      <w:r>
        <w:t>;</w:t>
      </w:r>
    </w:p>
    <w:p w:rsidR="001213EB" w:rsidRPr="00412D3F" w:rsidRDefault="001213EB" w:rsidP="001213EB">
      <w:pPr>
        <w:suppressAutoHyphens/>
        <w:spacing w:after="0" w:line="240" w:lineRule="auto"/>
        <w:jc w:val="both"/>
      </w:pPr>
      <w:r>
        <w:rPr>
          <w:i/>
        </w:rPr>
        <w:t>nei b</w:t>
      </w:r>
      <w:r w:rsidRPr="00CB3350">
        <w:rPr>
          <w:i/>
        </w:rPr>
        <w:t xml:space="preserve">ambini di età superiore ai 4 anni e adolescenti </w:t>
      </w:r>
      <w:r>
        <w:rPr>
          <w:i/>
        </w:rPr>
        <w:t>(12-18 anni)</w:t>
      </w:r>
      <w:r>
        <w:t xml:space="preserve"> per</w:t>
      </w:r>
    </w:p>
    <w:p w:rsidR="001213EB" w:rsidRPr="00CB3350" w:rsidRDefault="001213EB" w:rsidP="008E4143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567" w:hanging="425"/>
        <w:jc w:val="both"/>
      </w:pPr>
      <w:r w:rsidRPr="00CB3350">
        <w:t xml:space="preserve">Trattamento dell’ulcera duodenale causata da </w:t>
      </w:r>
      <w:r w:rsidRPr="00CB3350">
        <w:rPr>
          <w:i/>
        </w:rPr>
        <w:t xml:space="preserve">H. </w:t>
      </w:r>
      <w:proofErr w:type="spellStart"/>
      <w:r w:rsidRPr="00CB3350">
        <w:rPr>
          <w:i/>
        </w:rPr>
        <w:t>pylori</w:t>
      </w:r>
      <w:proofErr w:type="spellEnd"/>
      <w:r w:rsidRPr="00CB3350">
        <w:t>, in ass</w:t>
      </w:r>
      <w:r>
        <w:t>ociazione a terapia antibiotica;</w:t>
      </w:r>
    </w:p>
    <w:p w:rsidR="001213EB" w:rsidRPr="00412D3F" w:rsidRDefault="001213EB" w:rsidP="001213EB">
      <w:pPr>
        <w:suppressAutoHyphens/>
        <w:spacing w:after="0" w:line="240" w:lineRule="auto"/>
        <w:jc w:val="both"/>
      </w:pPr>
      <w:r>
        <w:rPr>
          <w:i/>
        </w:rPr>
        <w:t>nei b</w:t>
      </w:r>
      <w:r w:rsidRPr="00CB3350">
        <w:rPr>
          <w:i/>
        </w:rPr>
        <w:t>ambini di età superiore a 1 anno e con peso corporeo ≥ 10 kg</w:t>
      </w:r>
      <w:r>
        <w:t xml:space="preserve"> per</w:t>
      </w:r>
    </w:p>
    <w:p w:rsidR="001213EB" w:rsidRPr="00CB3350" w:rsidRDefault="001213EB" w:rsidP="001213EB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567" w:hanging="425"/>
        <w:jc w:val="both"/>
      </w:pPr>
      <w:r w:rsidRPr="00CB3350">
        <w:t>Trattamento dell’esofagite da reflusso.</w:t>
      </w:r>
    </w:p>
    <w:p w:rsidR="001213EB" w:rsidRPr="00CB3350" w:rsidRDefault="001213EB" w:rsidP="001213EB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567" w:hanging="425"/>
        <w:jc w:val="both"/>
      </w:pPr>
      <w:r w:rsidRPr="00CB3350">
        <w:t xml:space="preserve">Trattamento sintomatico della pirosi e del rigurgito acido nella malattia da reflusso </w:t>
      </w:r>
      <w:proofErr w:type="spellStart"/>
      <w:r w:rsidRPr="00CB3350">
        <w:t>gastro-esofageo</w:t>
      </w:r>
      <w:proofErr w:type="spellEnd"/>
      <w:r w:rsidRPr="00CB3350">
        <w:t>.</w:t>
      </w:r>
    </w:p>
    <w:p w:rsidR="001213EB" w:rsidRDefault="001213EB" w:rsidP="005D40D3">
      <w:pPr>
        <w:spacing w:after="0" w:line="240" w:lineRule="auto"/>
        <w:ind w:right="6"/>
        <w:jc w:val="both"/>
        <w:rPr>
          <w:b/>
        </w:rPr>
      </w:pPr>
    </w:p>
    <w:p w:rsidR="005D40D3" w:rsidRPr="002B6D26" w:rsidRDefault="005D40D3" w:rsidP="005D40D3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:rsidR="005D40D3" w:rsidRDefault="005D40D3" w:rsidP="005D40D3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t>Le informazioni sulla posologia e sulle modalità di somministrazione sono riportate nel Riassunto delle Caratteristiche del Prodotto pubblicato sul sito dell’Agenz</w:t>
      </w:r>
      <w:r w:rsidR="006842F2">
        <w:t xml:space="preserve">ia Italiana del Farmaco - AIFA </w:t>
      </w:r>
      <w:r>
        <w:rPr>
          <w:rFonts w:eastAsia="Calibri" w:cs="Calibri"/>
          <w:lang w:eastAsia="it-IT"/>
        </w:rPr>
        <w:t>(</w:t>
      </w:r>
      <w:hyperlink r:id="rId8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5D40D3" w:rsidRDefault="005D40D3" w:rsidP="005D40D3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5D40D3" w:rsidRPr="002B6D26" w:rsidRDefault="005D40D3" w:rsidP="005D40D3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2B6D26">
        <w:rPr>
          <w:rFonts w:eastAsia="Calibri" w:cs="Calibri"/>
          <w:b/>
          <w:lang w:eastAsia="it-IT"/>
        </w:rPr>
        <w:t>Tossicologia</w:t>
      </w:r>
    </w:p>
    <w:p w:rsidR="005D40D3" w:rsidRDefault="005D40D3" w:rsidP="005D40D3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tossicologia di </w:t>
      </w:r>
      <w:proofErr w:type="spellStart"/>
      <w:r w:rsidR="00A539E9">
        <w:t>omeprazolo</w:t>
      </w:r>
      <w:proofErr w:type="spellEnd"/>
      <w:r>
        <w:t xml:space="preserve"> </w:t>
      </w:r>
      <w:r>
        <w:rPr>
          <w:rFonts w:eastAsia="Calibri" w:cs="Calibri"/>
          <w:lang w:eastAsia="it-IT"/>
        </w:rPr>
        <w:t>è ben conosciuta; non è stato necessario presentare ulteriori dati.</w:t>
      </w:r>
    </w:p>
    <w:p w:rsidR="005D40D3" w:rsidRDefault="005D40D3" w:rsidP="005D40D3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5D40D3" w:rsidRPr="006556D6" w:rsidRDefault="005D40D3" w:rsidP="005D40D3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5D40D3" w:rsidRDefault="005D40D3" w:rsidP="005D40D3">
      <w:pPr>
        <w:spacing w:after="0" w:line="240" w:lineRule="auto"/>
        <w:jc w:val="both"/>
      </w:pPr>
      <w:r>
        <w:rPr>
          <w:rFonts w:eastAsia="Calibri" w:cs="Calibri"/>
          <w:lang w:eastAsia="it-IT"/>
        </w:rPr>
        <w:t xml:space="preserve">La farmacologia clinica di </w:t>
      </w:r>
      <w:proofErr w:type="spellStart"/>
      <w:r w:rsidR="00A539E9">
        <w:t>omeprazolo</w:t>
      </w:r>
      <w:proofErr w:type="spellEnd"/>
      <w:r>
        <w:t xml:space="preserve"> </w:t>
      </w:r>
      <w:r>
        <w:rPr>
          <w:rFonts w:eastAsia="Calibri" w:cs="Calibri"/>
          <w:lang w:eastAsia="it-IT"/>
        </w:rPr>
        <w:t>è ben conosciuta.</w:t>
      </w:r>
      <w:r w:rsidRPr="00A34141">
        <w:t xml:space="preserve"> </w:t>
      </w:r>
      <w:r>
        <w:t>Con l’eccezione dello studio di bioequivalenza, n</w:t>
      </w:r>
      <w:r w:rsidRPr="00A34141">
        <w:t xml:space="preserve">on sono stati condotti </w:t>
      </w:r>
      <w:r>
        <w:t>nuovi</w:t>
      </w:r>
      <w:r w:rsidRPr="00A34141">
        <w:t xml:space="preserve"> studi clinici</w:t>
      </w:r>
      <w:r>
        <w:t xml:space="preserve"> di farmacodinamica e farmacocinetica</w:t>
      </w:r>
      <w:r w:rsidRPr="00A34141">
        <w:t xml:space="preserve">, in quanto </w:t>
      </w:r>
      <w:proofErr w:type="spellStart"/>
      <w:r w:rsidR="00A539E9">
        <w:t>Opsardex</w:t>
      </w:r>
      <w:proofErr w:type="spellEnd"/>
      <w:r>
        <w:t xml:space="preserve"> </w:t>
      </w:r>
      <w:r w:rsidRPr="00A34141">
        <w:t xml:space="preserve">contiene </w:t>
      </w:r>
      <w:r>
        <w:t>un</w:t>
      </w:r>
      <w:r w:rsidRPr="00A34141">
        <w:t xml:space="preserve"> principi</w:t>
      </w:r>
      <w:r>
        <w:t>o</w:t>
      </w:r>
      <w:r w:rsidRPr="00A34141">
        <w:t xml:space="preserve"> attiv</w:t>
      </w:r>
      <w:r>
        <w:t>o</w:t>
      </w:r>
      <w:r w:rsidRPr="00A34141">
        <w:t xml:space="preserve"> not</w:t>
      </w:r>
      <w:r>
        <w:t>o</w:t>
      </w:r>
      <w:r w:rsidRPr="00A34141">
        <w:t xml:space="preserve"> e present</w:t>
      </w:r>
      <w:r>
        <w:t>e</w:t>
      </w:r>
      <w:r w:rsidRPr="00A34141">
        <w:t xml:space="preserve"> </w:t>
      </w:r>
      <w:r>
        <w:t>nel</w:t>
      </w:r>
      <w:r w:rsidRPr="00A34141">
        <w:t xml:space="preserve"> medicinal</w:t>
      </w:r>
      <w:r>
        <w:t>e</w:t>
      </w:r>
      <w:r w:rsidRPr="00A34141">
        <w:t xml:space="preserve"> </w:t>
      </w:r>
      <w:proofErr w:type="spellStart"/>
      <w:r w:rsidR="00A539E9">
        <w:t>Losec</w:t>
      </w:r>
      <w:proofErr w:type="spellEnd"/>
      <w:r w:rsidRPr="00A34141">
        <w:t xml:space="preserve"> autorizzat</w:t>
      </w:r>
      <w:r>
        <w:t xml:space="preserve">o in Italia </w:t>
      </w:r>
      <w:r w:rsidRPr="00A34141">
        <w:t>da più di 10 anni.</w:t>
      </w:r>
    </w:p>
    <w:p w:rsidR="005D40D3" w:rsidRDefault="005D40D3" w:rsidP="005D40D3">
      <w:pPr>
        <w:spacing w:after="0" w:line="240" w:lineRule="auto"/>
        <w:jc w:val="both"/>
      </w:pPr>
    </w:p>
    <w:p w:rsidR="005D40D3" w:rsidRPr="006556D6" w:rsidRDefault="005D40D3" w:rsidP="005D40D3">
      <w:pPr>
        <w:spacing w:after="0" w:line="240" w:lineRule="auto"/>
        <w:jc w:val="both"/>
        <w:rPr>
          <w:b/>
        </w:rPr>
      </w:pPr>
      <w:r w:rsidRPr="006556D6">
        <w:rPr>
          <w:b/>
        </w:rPr>
        <w:t>Studio di bioequivalenza</w:t>
      </w:r>
    </w:p>
    <w:p w:rsidR="000973AE" w:rsidRDefault="000973AE" w:rsidP="000973AE">
      <w:pPr>
        <w:spacing w:after="0" w:line="240" w:lineRule="auto"/>
        <w:jc w:val="both"/>
      </w:pPr>
      <w:r>
        <w:t xml:space="preserve">La richiesta di AIC è supportata da uno studio di bioequivalenza che ha confrontato i profili farmacocinetici di </w:t>
      </w:r>
      <w:proofErr w:type="spellStart"/>
      <w:r>
        <w:t>Opsardex</w:t>
      </w:r>
      <w:proofErr w:type="spellEnd"/>
      <w:r>
        <w:t xml:space="preserve"> e quelli del medicinale di riferimento </w:t>
      </w:r>
      <w:proofErr w:type="spellStart"/>
      <w:r>
        <w:rPr>
          <w:bCs/>
        </w:rPr>
        <w:t>Losec</w:t>
      </w:r>
      <w:proofErr w:type="spellEnd"/>
      <w:r>
        <w:t>.</w:t>
      </w:r>
    </w:p>
    <w:p w:rsidR="000973AE" w:rsidRDefault="000973AE" w:rsidP="000973AE">
      <w:pPr>
        <w:pStyle w:val="Paragrafoelenco"/>
        <w:spacing w:after="0" w:line="240" w:lineRule="auto"/>
        <w:ind w:left="0"/>
        <w:jc w:val="both"/>
      </w:pPr>
      <w:r>
        <w:t>Lo studio era caratterizzato da un appropriato disegno ed è stato condotto in accordo ai principi GCP. Sono stati forniti certificati analitici per medicinale test e medicinale di riferimento.</w:t>
      </w:r>
    </w:p>
    <w:p w:rsidR="000973AE" w:rsidRDefault="000973AE" w:rsidP="000973AE">
      <w:pPr>
        <w:spacing w:after="0" w:line="240" w:lineRule="auto"/>
        <w:jc w:val="both"/>
      </w:pPr>
      <w:r>
        <w:t>Lo studio di bioequivalenza è stato condotto, su 36 volontari sani di entrambi i sessi, in due fasi:</w:t>
      </w:r>
    </w:p>
    <w:p w:rsidR="000973AE" w:rsidRDefault="000973AE" w:rsidP="000973AE">
      <w:pPr>
        <w:pStyle w:val="Paragrafoelenco"/>
        <w:numPr>
          <w:ilvl w:val="0"/>
          <w:numId w:val="8"/>
        </w:numPr>
        <w:spacing w:after="0" w:line="240" w:lineRule="auto"/>
        <w:ind w:left="426" w:hanging="284"/>
        <w:jc w:val="both"/>
      </w:pPr>
      <w:r>
        <w:t xml:space="preserve">nella prima fase è stato utilizzato un disegno di studio comparativo in replicato, randomizzato, con somministrazione di una dose singola a stomaco pieno, 4 periodi,  cross </w:t>
      </w:r>
      <w:proofErr w:type="spellStart"/>
      <w:r>
        <w:t>over</w:t>
      </w:r>
      <w:proofErr w:type="spellEnd"/>
      <w:r>
        <w:t>;</w:t>
      </w:r>
    </w:p>
    <w:p w:rsidR="000973AE" w:rsidRDefault="000973AE" w:rsidP="000973AE">
      <w:pPr>
        <w:pStyle w:val="Paragrafoelenco"/>
        <w:numPr>
          <w:ilvl w:val="0"/>
          <w:numId w:val="8"/>
        </w:numPr>
        <w:spacing w:after="0" w:line="240" w:lineRule="auto"/>
        <w:ind w:left="426" w:hanging="284"/>
        <w:jc w:val="both"/>
      </w:pPr>
      <w:r>
        <w:t>nella seconda fase è stata utilizzato un disegno di studio comparativo, randomizzato, con somministrazione di  dose s</w:t>
      </w:r>
      <w:r w:rsidR="005E1536">
        <w:t xml:space="preserve">ingola (1 x 40 mg) a digiuno, 2 </w:t>
      </w:r>
      <w:r>
        <w:t xml:space="preserve">periodi, crossover. </w:t>
      </w:r>
    </w:p>
    <w:p w:rsidR="000973AE" w:rsidRDefault="000973AE" w:rsidP="000973AE">
      <w:pPr>
        <w:spacing w:after="0" w:line="240" w:lineRule="auto"/>
        <w:jc w:val="both"/>
      </w:pPr>
      <w:r>
        <w:t xml:space="preserve">Un soddisfacente periodo di wash-out di </w:t>
      </w:r>
      <w:r>
        <w:rPr>
          <w:rFonts w:cs="Arial"/>
        </w:rPr>
        <w:t>7 giorni è stato previsto tra le somministrazioni in ogni gruppo.</w:t>
      </w:r>
    </w:p>
    <w:p w:rsidR="000973AE" w:rsidRDefault="000973AE" w:rsidP="000973AE">
      <w:pPr>
        <w:pStyle w:val="Paragrafoelenco"/>
        <w:spacing w:after="0" w:line="240" w:lineRule="auto"/>
        <w:ind w:left="0"/>
        <w:jc w:val="both"/>
        <w:rPr>
          <w:rFonts w:cs="Arial"/>
        </w:rPr>
      </w:pPr>
      <w:r>
        <w:rPr>
          <w:rFonts w:cs="Arial"/>
        </w:rPr>
        <w:t>Campioni di sangue sono stati prelevati al tempo zero (</w:t>
      </w:r>
      <w:proofErr w:type="spellStart"/>
      <w:r>
        <w:rPr>
          <w:rFonts w:cs="Arial"/>
        </w:rPr>
        <w:t>pre-dose</w:t>
      </w:r>
      <w:proofErr w:type="spellEnd"/>
      <w:r>
        <w:rPr>
          <w:rFonts w:cs="Arial"/>
        </w:rPr>
        <w:t>) e a specificati tempi fino a 24 ore dopo la somministrazione per la prima fase e fino a 14 ore per la seconda fase. I livelli plasmatici dei due principi attivi sono stati determinati mediante un metodo analitico HPLC-MS-MS opportunamente convalidato.</w:t>
      </w:r>
    </w:p>
    <w:p w:rsidR="000973AE" w:rsidRDefault="000973AE" w:rsidP="000973AE">
      <w:pPr>
        <w:pStyle w:val="Paragrafoelenco"/>
        <w:spacing w:after="0" w:line="240" w:lineRule="auto"/>
        <w:ind w:left="0"/>
        <w:jc w:val="both"/>
        <w:rPr>
          <w:rFonts w:cs="Arial"/>
        </w:rPr>
      </w:pPr>
      <w:r>
        <w:rPr>
          <w:rFonts w:cs="Arial"/>
        </w:rPr>
        <w:t xml:space="preserve">Le variabili farmacocinetiche definite per i due studi sono state: </w:t>
      </w:r>
      <w:proofErr w:type="spellStart"/>
      <w:r>
        <w:rPr>
          <w:rFonts w:cs="Arial"/>
        </w:rPr>
        <w:t>C</w:t>
      </w:r>
      <w:r>
        <w:rPr>
          <w:rFonts w:cs="Arial"/>
          <w:vertAlign w:val="subscript"/>
        </w:rPr>
        <w:t>max</w:t>
      </w:r>
      <w:proofErr w:type="spellEnd"/>
      <w:r>
        <w:rPr>
          <w:rFonts w:cs="Arial"/>
        </w:rPr>
        <w:t>, AUC</w:t>
      </w:r>
      <w:r>
        <w:rPr>
          <w:rFonts w:cs="Arial"/>
          <w:vertAlign w:val="subscript"/>
        </w:rPr>
        <w:t>0-t</w:t>
      </w:r>
      <w:r>
        <w:rPr>
          <w:rFonts w:cs="Arial"/>
        </w:rPr>
        <w:t>,, AUC</w:t>
      </w:r>
      <w:r>
        <w:rPr>
          <w:rFonts w:cs="Arial"/>
          <w:vertAlign w:val="subscript"/>
        </w:rPr>
        <w:t>0-</w:t>
      </w:r>
      <w:r>
        <w:rPr>
          <w:rFonts w:cs="Arial"/>
          <w:vertAlign w:val="subscript"/>
          <w:lang w:val="en-GB"/>
        </w:rPr>
        <w:sym w:font="Symbol" w:char="00A5"/>
      </w:r>
      <w:r>
        <w:rPr>
          <w:rFonts w:cs="Arial"/>
        </w:rPr>
        <w:t xml:space="preserve">, </w:t>
      </w:r>
      <w:proofErr w:type="spellStart"/>
      <w:r>
        <w:rPr>
          <w:rFonts w:cs="Arial"/>
        </w:rPr>
        <w:t>t</w:t>
      </w:r>
      <w:r>
        <w:rPr>
          <w:rFonts w:cs="Arial"/>
          <w:vertAlign w:val="subscript"/>
        </w:rPr>
        <w:t>max</w:t>
      </w:r>
      <w:proofErr w:type="spellEnd"/>
      <w:r>
        <w:rPr>
          <w:rFonts w:cs="Arial"/>
        </w:rPr>
        <w:t xml:space="preserve">, </w:t>
      </w:r>
      <w:proofErr w:type="spellStart"/>
      <w:r>
        <w:rPr>
          <w:rFonts w:cs="Arial"/>
        </w:rPr>
        <w:t>t½</w:t>
      </w:r>
      <w:proofErr w:type="spellEnd"/>
      <w:r>
        <w:rPr>
          <w:rFonts w:cs="Arial"/>
        </w:rPr>
        <w:t xml:space="preserve"> e AUC estrapolata. La bioequivalenza tra medicinale test e medicinale di riferimento è dimostrata se gli intervalli di confidenza al 90% per la trasformata logaritmica di </w:t>
      </w:r>
      <w:proofErr w:type="spellStart"/>
      <w:r>
        <w:rPr>
          <w:rFonts w:cs="Arial"/>
        </w:rPr>
        <w:t>C</w:t>
      </w:r>
      <w:r>
        <w:rPr>
          <w:rFonts w:cs="Arial"/>
          <w:vertAlign w:val="subscript"/>
        </w:rPr>
        <w:t>max</w:t>
      </w:r>
      <w:r>
        <w:rPr>
          <w:rFonts w:cs="Arial"/>
        </w:rPr>
        <w:t>e</w:t>
      </w:r>
      <w:proofErr w:type="spellEnd"/>
      <w:r>
        <w:rPr>
          <w:rFonts w:cs="Arial"/>
        </w:rPr>
        <w:t xml:space="preserve"> AUC</w:t>
      </w:r>
      <w:r>
        <w:rPr>
          <w:rFonts w:cs="Arial"/>
          <w:vertAlign w:val="subscript"/>
        </w:rPr>
        <w:t>0-t</w:t>
      </w:r>
      <w:r w:rsidR="005E1536">
        <w:rPr>
          <w:rFonts w:cs="Arial"/>
        </w:rPr>
        <w:t xml:space="preserve">, </w:t>
      </w:r>
      <w:r>
        <w:rPr>
          <w:rFonts w:cs="Arial"/>
        </w:rPr>
        <w:t xml:space="preserve">cadono nel </w:t>
      </w:r>
      <w:proofErr w:type="spellStart"/>
      <w:r>
        <w:rPr>
          <w:rFonts w:cs="Arial"/>
        </w:rPr>
        <w:t>range</w:t>
      </w:r>
      <w:proofErr w:type="spellEnd"/>
      <w:r>
        <w:rPr>
          <w:rFonts w:cs="Arial"/>
        </w:rPr>
        <w:t xml:space="preserve"> di accettabilità di 0.80-1.25 (80%-125%).</w:t>
      </w:r>
    </w:p>
    <w:p w:rsidR="000973AE" w:rsidRDefault="000973AE" w:rsidP="000973AE">
      <w:pPr>
        <w:pStyle w:val="Paragrafoelenco"/>
        <w:spacing w:after="0" w:line="240" w:lineRule="auto"/>
        <w:ind w:left="0"/>
        <w:jc w:val="both"/>
        <w:rPr>
          <w:highlight w:val="cyan"/>
        </w:rPr>
      </w:pPr>
    </w:p>
    <w:p w:rsidR="000973AE" w:rsidRDefault="000973AE" w:rsidP="000973AE">
      <w:pPr>
        <w:pStyle w:val="Paragrafoelenco"/>
        <w:spacing w:after="0" w:line="240" w:lineRule="auto"/>
        <w:ind w:left="0"/>
        <w:jc w:val="both"/>
        <w:rPr>
          <w:highlight w:val="cyan"/>
        </w:rPr>
      </w:pPr>
    </w:p>
    <w:p w:rsidR="000973AE" w:rsidRDefault="000973AE" w:rsidP="000973AE">
      <w:pPr>
        <w:pStyle w:val="Paragrafoelenco"/>
        <w:spacing w:after="0" w:line="240" w:lineRule="auto"/>
        <w:ind w:left="0"/>
        <w:jc w:val="both"/>
        <w:rPr>
          <w:u w:val="single"/>
        </w:rPr>
      </w:pPr>
      <w:r>
        <w:rPr>
          <w:u w:val="single"/>
        </w:rPr>
        <w:t>Risultati</w:t>
      </w:r>
    </w:p>
    <w:p w:rsidR="000973AE" w:rsidRDefault="000973AE" w:rsidP="000973AE">
      <w:pPr>
        <w:spacing w:after="0" w:line="240" w:lineRule="auto"/>
        <w:jc w:val="both"/>
      </w:pPr>
      <w:r>
        <w:rPr>
          <w:rFonts w:cs="Arial"/>
        </w:rPr>
        <w:t xml:space="preserve">36 volontari sani sono stati arruolati nello studio. </w:t>
      </w:r>
      <w:r w:rsidR="00823C6C">
        <w:t xml:space="preserve">36 </w:t>
      </w:r>
      <w:r>
        <w:t>soggetti hanno completato la fase clinica e sono stati analizzati nella prima fase dello studio, mentre 35 soggetti hanno completato la seconda fase dello studio e sono stati analizzati.</w:t>
      </w:r>
    </w:p>
    <w:p w:rsidR="000973AE" w:rsidRDefault="000973AE" w:rsidP="000973AE">
      <w:pPr>
        <w:pStyle w:val="Paragrafoelenco"/>
        <w:spacing w:after="0" w:line="240" w:lineRule="auto"/>
        <w:ind w:left="0"/>
        <w:jc w:val="both"/>
        <w:rPr>
          <w:rFonts w:cs="Arial"/>
          <w:b/>
          <w:i/>
          <w:highlight w:val="cyan"/>
        </w:rPr>
      </w:pPr>
    </w:p>
    <w:p w:rsidR="000973AE" w:rsidRDefault="000973AE" w:rsidP="000973AE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>
        <w:rPr>
          <w:rFonts w:asciiTheme="minorHAnsi" w:hAnsiTheme="minorHAnsi" w:cs="Arial"/>
          <w:b w:val="0"/>
          <w:i/>
          <w:sz w:val="22"/>
          <w:szCs w:val="22"/>
          <w:lang w:val="it-IT"/>
        </w:rPr>
        <w:t>Sicurezza</w:t>
      </w:r>
    </w:p>
    <w:p w:rsidR="000973AE" w:rsidRDefault="000973AE" w:rsidP="000973AE">
      <w:pPr>
        <w:spacing w:after="0" w:line="240" w:lineRule="auto"/>
        <w:jc w:val="both"/>
      </w:pPr>
      <w:r>
        <w:rPr>
          <w:rFonts w:cs="Arial"/>
        </w:rPr>
        <w:t>Nel corso dello studio, non sono stati riscontrati</w:t>
      </w:r>
      <w:r>
        <w:t xml:space="preserve"> eventi avversi correlati con le formulazioni in studio.</w:t>
      </w:r>
    </w:p>
    <w:p w:rsidR="000973AE" w:rsidRDefault="000973AE" w:rsidP="000973AE">
      <w:pPr>
        <w:spacing w:after="0" w:line="240" w:lineRule="auto"/>
        <w:rPr>
          <w:highlight w:val="cyan"/>
        </w:rPr>
      </w:pPr>
    </w:p>
    <w:p w:rsidR="000973AE" w:rsidRDefault="000973AE" w:rsidP="000973AE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0973AE" w:rsidRDefault="000973AE" w:rsidP="000973AE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0973AE" w:rsidRDefault="000973AE" w:rsidP="000973AE">
      <w:pPr>
        <w:spacing w:after="0" w:line="240" w:lineRule="auto"/>
      </w:pPr>
    </w:p>
    <w:tbl>
      <w:tblPr>
        <w:tblW w:w="44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4A0"/>
      </w:tblPr>
      <w:tblGrid>
        <w:gridCol w:w="1213"/>
        <w:gridCol w:w="1780"/>
        <w:gridCol w:w="2035"/>
        <w:gridCol w:w="1934"/>
        <w:gridCol w:w="1921"/>
      </w:tblGrid>
      <w:tr w:rsidR="000973AE" w:rsidTr="000973AE">
        <w:trPr>
          <w:jc w:val="center"/>
        </w:trPr>
        <w:tc>
          <w:tcPr>
            <w:tcW w:w="8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73AE" w:rsidRDefault="000973AE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OMEPRAZOLO </w:t>
            </w:r>
          </w:p>
        </w:tc>
      </w:tr>
      <w:tr w:rsidR="000973AE" w:rsidTr="000973AE">
        <w:trPr>
          <w:jc w:val="center"/>
        </w:trPr>
        <w:tc>
          <w:tcPr>
            <w:tcW w:w="8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73AE" w:rsidRDefault="000973AE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FASE I</w:t>
            </w:r>
          </w:p>
        </w:tc>
      </w:tr>
      <w:tr w:rsidR="000973AE" w:rsidTr="000973AE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73AE" w:rsidRDefault="000973A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73AE" w:rsidRDefault="000973A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Test </w:t>
            </w:r>
            <w:r>
              <w:rPr>
                <w:rFonts w:cs="Arial"/>
                <w:b/>
                <w:sz w:val="20"/>
                <w:szCs w:val="20"/>
              </w:rPr>
              <w:t>[LSM]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73AE" w:rsidRDefault="000973A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Reference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</w:rPr>
              <w:t>[LSM]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73AE" w:rsidRDefault="000973A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T/R </w:t>
            </w:r>
            <w:proofErr w:type="spellStart"/>
            <w:r>
              <w:rPr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73AE" w:rsidRDefault="000973A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90% C.I.</w:t>
            </w:r>
          </w:p>
        </w:tc>
      </w:tr>
      <w:tr w:rsidR="000973AE" w:rsidTr="000973AE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73AE" w:rsidRDefault="000973A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AUC</w:t>
            </w:r>
            <w:r>
              <w:rPr>
                <w:b/>
                <w:sz w:val="20"/>
                <w:szCs w:val="20"/>
                <w:vertAlign w:val="subscript"/>
              </w:rPr>
              <w:t>0-t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73AE" w:rsidRDefault="000973A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eastAsia="it-IT"/>
              </w:rPr>
              <w:t xml:space="preserve">           1251.60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73AE" w:rsidRDefault="000973A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eastAsia="it-IT"/>
              </w:rPr>
              <w:t>1332.70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73AE" w:rsidRDefault="000973A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93.91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73AE" w:rsidRDefault="000973A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GB"/>
              </w:rPr>
              <w:t>88.59 – 99.56</w:t>
            </w:r>
          </w:p>
        </w:tc>
      </w:tr>
      <w:tr w:rsidR="000973AE" w:rsidTr="000973AE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73AE" w:rsidRDefault="000973A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AUC</w:t>
            </w:r>
            <w:r>
              <w:rPr>
                <w:b/>
                <w:sz w:val="20"/>
                <w:szCs w:val="20"/>
                <w:vertAlign w:val="subscript"/>
              </w:rPr>
              <w:t>0-∞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73AE" w:rsidRDefault="000973A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eastAsia="it-IT"/>
              </w:rPr>
              <w:t>1305.10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73AE" w:rsidRDefault="000973A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1354.70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73AE" w:rsidRDefault="000973A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94.34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73AE" w:rsidRDefault="000973A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GB"/>
              </w:rPr>
              <w:t>89.08 – 99.92</w:t>
            </w:r>
          </w:p>
        </w:tc>
      </w:tr>
      <w:tr w:rsidR="000973AE" w:rsidTr="000973AE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73AE" w:rsidRDefault="000973A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</w:t>
            </w:r>
            <w:r>
              <w:rPr>
                <w:b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73AE" w:rsidRDefault="000973A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eastAsia="it-IT"/>
              </w:rPr>
              <w:t>530.57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73AE" w:rsidRDefault="000973A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eastAsia="it-IT"/>
              </w:rPr>
              <w:t>566.74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73AE" w:rsidRDefault="000973A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93.62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73AE" w:rsidRDefault="000973A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GB"/>
              </w:rPr>
              <w:t xml:space="preserve">  84.58 -  103.62</w:t>
            </w:r>
          </w:p>
        </w:tc>
      </w:tr>
      <w:tr w:rsidR="000973AE" w:rsidTr="000973AE">
        <w:trPr>
          <w:jc w:val="center"/>
        </w:trPr>
        <w:tc>
          <w:tcPr>
            <w:tcW w:w="8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3AE" w:rsidRDefault="000973A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FASE II</w:t>
            </w:r>
          </w:p>
        </w:tc>
      </w:tr>
      <w:tr w:rsidR="000973AE" w:rsidTr="000973AE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73AE" w:rsidRDefault="000973A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73AE" w:rsidRDefault="000973A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Test </w:t>
            </w:r>
            <w:r>
              <w:rPr>
                <w:rFonts w:cs="Arial"/>
                <w:b/>
                <w:sz w:val="20"/>
                <w:szCs w:val="20"/>
              </w:rPr>
              <w:t>[LSM]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73AE" w:rsidRDefault="000973A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Reference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</w:rPr>
              <w:t>[LSM]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73AE" w:rsidRDefault="000973A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T/R </w:t>
            </w:r>
            <w:proofErr w:type="spellStart"/>
            <w:r>
              <w:rPr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73AE" w:rsidRDefault="000973A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90% C.I.</w:t>
            </w:r>
          </w:p>
        </w:tc>
      </w:tr>
      <w:tr w:rsidR="000973AE" w:rsidTr="000973AE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73AE" w:rsidRDefault="000973A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AUC</w:t>
            </w:r>
            <w:r>
              <w:rPr>
                <w:b/>
                <w:sz w:val="20"/>
                <w:szCs w:val="20"/>
                <w:vertAlign w:val="subscript"/>
              </w:rPr>
              <w:t>0-t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73AE" w:rsidRDefault="000973A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eastAsia="it-IT"/>
              </w:rPr>
              <w:t>1492.30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73AE" w:rsidRDefault="000973A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eastAsia="it-IT"/>
              </w:rPr>
              <w:t>1601.45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73AE" w:rsidRDefault="000973A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93.91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73AE" w:rsidRDefault="000973A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GB"/>
              </w:rPr>
              <w:t>88.33 – 98.24</w:t>
            </w:r>
          </w:p>
        </w:tc>
      </w:tr>
      <w:tr w:rsidR="000973AE" w:rsidTr="000973AE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73AE" w:rsidRDefault="000973A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AUC</w:t>
            </w:r>
            <w:r>
              <w:rPr>
                <w:b/>
                <w:sz w:val="20"/>
                <w:szCs w:val="20"/>
                <w:vertAlign w:val="subscript"/>
              </w:rPr>
              <w:t>0-∞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73AE" w:rsidRDefault="000973A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eastAsia="it-IT"/>
              </w:rPr>
              <w:t>1513.60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73AE" w:rsidRDefault="000973A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eastAsia="it-IT"/>
              </w:rPr>
              <w:t>1619.04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73AE" w:rsidRDefault="000973A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94.34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73AE" w:rsidRDefault="000973A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GB"/>
              </w:rPr>
              <w:t>88.60 – 98.57</w:t>
            </w:r>
          </w:p>
        </w:tc>
      </w:tr>
      <w:tr w:rsidR="000973AE" w:rsidTr="000973AE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73AE" w:rsidRDefault="000973A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</w:t>
            </w:r>
            <w:r>
              <w:rPr>
                <w:b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73AE" w:rsidRDefault="000973A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eastAsia="it-IT"/>
              </w:rPr>
              <w:t>764.90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73AE" w:rsidRDefault="000973A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eastAsia="it-IT"/>
              </w:rPr>
              <w:t>858.86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73AE" w:rsidRDefault="000973A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93.62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73AE" w:rsidRDefault="000973A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80.07 -  99.07</w:t>
            </w:r>
          </w:p>
        </w:tc>
      </w:tr>
    </w:tbl>
    <w:p w:rsidR="000973AE" w:rsidRDefault="000973AE" w:rsidP="000973AE">
      <w:pPr>
        <w:spacing w:after="0" w:line="240" w:lineRule="auto"/>
        <w:rPr>
          <w:highlight w:val="cyan"/>
        </w:rPr>
      </w:pPr>
    </w:p>
    <w:p w:rsidR="000973AE" w:rsidRDefault="000973AE" w:rsidP="000973AE">
      <w:pPr>
        <w:spacing w:after="0" w:line="240" w:lineRule="auto"/>
        <w:rPr>
          <w:rFonts w:cs="Arial"/>
        </w:rPr>
      </w:pPr>
      <w:r>
        <w:rPr>
          <w:rFonts w:cs="Arial"/>
          <w:i/>
        </w:rPr>
        <w:t>Conclusioni sulla bioequivalenza</w:t>
      </w:r>
      <w:r>
        <w:rPr>
          <w:rFonts w:cs="Arial"/>
        </w:rPr>
        <w:t>.</w:t>
      </w:r>
    </w:p>
    <w:p w:rsidR="000973AE" w:rsidRDefault="000973AE" w:rsidP="000973AE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I risultati dello studio di bioequivalenza mostrano che gli intervalli di confidenza dei parametri farmacocinetici studiati cadono nel </w:t>
      </w:r>
      <w:proofErr w:type="spellStart"/>
      <w:r>
        <w:rPr>
          <w:rFonts w:cs="Arial"/>
        </w:rPr>
        <w:t>range</w:t>
      </w:r>
      <w:proofErr w:type="spellEnd"/>
      <w:r>
        <w:rPr>
          <w:rFonts w:cs="Arial"/>
        </w:rPr>
        <w:t xml:space="preserve"> di accettabilità di 80-125%, in accordo con le linee guida correnti.</w:t>
      </w:r>
    </w:p>
    <w:p w:rsidR="005D40D3" w:rsidRPr="00D1324F" w:rsidRDefault="005D40D3" w:rsidP="005D40D3">
      <w:pPr>
        <w:spacing w:after="0" w:line="240" w:lineRule="auto"/>
        <w:jc w:val="both"/>
        <w:rPr>
          <w:rFonts w:cs="Arial"/>
        </w:rPr>
      </w:pPr>
    </w:p>
    <w:p w:rsidR="005D40D3" w:rsidRPr="000B3C59" w:rsidRDefault="005D40D3" w:rsidP="005D40D3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5D40D3" w:rsidRPr="00D1324F" w:rsidRDefault="005D40D3" w:rsidP="005D40D3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="00A539E9">
        <w:rPr>
          <w:rFonts w:cs="Arial"/>
        </w:rPr>
        <w:t>Opsardex</w:t>
      </w:r>
      <w:proofErr w:type="spellEnd"/>
      <w:r w:rsidR="007E322A">
        <w:rPr>
          <w:rFonts w:cs="Arial"/>
        </w:rPr>
        <w:t xml:space="preserve"> </w:t>
      </w:r>
      <w:r>
        <w:rPr>
          <w:rFonts w:cs="Arial"/>
        </w:rPr>
        <w:t xml:space="preserve">è ben conosciuto. </w:t>
      </w:r>
    </w:p>
    <w:p w:rsidR="005D40D3" w:rsidRPr="00D1324F" w:rsidRDefault="005D40D3" w:rsidP="005D40D3">
      <w:pPr>
        <w:pStyle w:val="Paragrafoelenco"/>
        <w:spacing w:after="0" w:line="240" w:lineRule="auto"/>
        <w:ind w:left="0"/>
        <w:jc w:val="both"/>
      </w:pPr>
    </w:p>
    <w:p w:rsidR="005D40D3" w:rsidRPr="00D1324F" w:rsidRDefault="005D40D3" w:rsidP="005D40D3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</w:t>
      </w:r>
      <w:proofErr w:type="spellStart"/>
      <w:r w:rsidRPr="00D1324F">
        <w:rPr>
          <w:b/>
          <w:i/>
        </w:rPr>
        <w:t>Plan</w:t>
      </w:r>
      <w:proofErr w:type="spellEnd"/>
      <w:r w:rsidRPr="00D1324F">
        <w:rPr>
          <w:b/>
        </w:rPr>
        <w:t xml:space="preserve"> - RMP)</w:t>
      </w:r>
    </w:p>
    <w:p w:rsidR="005D40D3" w:rsidRPr="00D1324F" w:rsidRDefault="005D40D3" w:rsidP="005D40D3">
      <w:pPr>
        <w:pStyle w:val="Paragrafoelenco"/>
        <w:spacing w:after="0" w:line="240" w:lineRule="auto"/>
        <w:ind w:left="0"/>
        <w:jc w:val="both"/>
      </w:pPr>
      <w:r w:rsidRPr="00D1324F">
        <w:t xml:space="preserve">E’ stato presentato un RMP in accordo a quanto previsto dalla Direttiva 2001/83/EU </w:t>
      </w:r>
      <w:proofErr w:type="spellStart"/>
      <w:r w:rsidRPr="00D1324F">
        <w:t>s.m.i.</w:t>
      </w:r>
      <w:proofErr w:type="spellEnd"/>
      <w:r w:rsidRPr="00D1324F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A539E9">
        <w:t>Opsardex</w:t>
      </w:r>
      <w:proofErr w:type="spellEnd"/>
      <w:r w:rsidRPr="00D1324F">
        <w:t>.</w:t>
      </w:r>
    </w:p>
    <w:p w:rsidR="005E1536" w:rsidRDefault="005E1536" w:rsidP="005E1536">
      <w:pPr>
        <w:pStyle w:val="Paragrafoelenco"/>
        <w:spacing w:after="0" w:line="240" w:lineRule="auto"/>
        <w:ind w:left="0"/>
        <w:jc w:val="both"/>
      </w:pPr>
      <w:r w:rsidRPr="00820466">
        <w:t>Il riassunto delle problematiche di sicurezza è riportato nella tabella seguente.</w:t>
      </w:r>
    </w:p>
    <w:p w:rsidR="005E1536" w:rsidRPr="00E812E0" w:rsidRDefault="005E1536" w:rsidP="005E1536">
      <w:pPr>
        <w:pStyle w:val="Paragrafoelenco"/>
        <w:spacing w:after="0" w:line="240" w:lineRule="auto"/>
        <w:ind w:left="0"/>
        <w:jc w:val="both"/>
      </w:pPr>
    </w:p>
    <w:tbl>
      <w:tblPr>
        <w:tblW w:w="44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5E0"/>
      </w:tblPr>
      <w:tblGrid>
        <w:gridCol w:w="2957"/>
        <w:gridCol w:w="5976"/>
      </w:tblGrid>
      <w:tr w:rsidR="005E1536" w:rsidRPr="00984E3F" w:rsidTr="00B420CE">
        <w:trPr>
          <w:trHeight w:val="2261"/>
          <w:jc w:val="center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hideMark/>
          </w:tcPr>
          <w:p w:rsidR="005E1536" w:rsidRPr="00E812E0" w:rsidRDefault="005E1536" w:rsidP="00B420CE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E812E0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E812E0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E812E0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E812E0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E812E0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345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hideMark/>
          </w:tcPr>
          <w:p w:rsidR="005E1536" w:rsidRPr="00BE0B11" w:rsidRDefault="005E1536" w:rsidP="00B420CE">
            <w:pPr>
              <w:pStyle w:val="BodytextAgency"/>
              <w:spacing w:after="0" w:line="240" w:lineRule="auto"/>
              <w:rPr>
                <w:rFonts w:asciiTheme="minorHAnsi" w:hAnsiTheme="minorHAnsi"/>
                <w:sz w:val="20"/>
                <w:szCs w:val="20"/>
                <w:lang w:val="it-IT"/>
              </w:rPr>
            </w:pPr>
            <w:proofErr w:type="spellStart"/>
            <w:r>
              <w:rPr>
                <w:rFonts w:asciiTheme="minorHAnsi" w:hAnsiTheme="minorHAnsi"/>
                <w:sz w:val="20"/>
                <w:szCs w:val="20"/>
                <w:lang w:val="it-IT"/>
              </w:rPr>
              <w:t>Ipomagnesemia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val="it-IT"/>
              </w:rPr>
              <w:t xml:space="preserve"> </w:t>
            </w:r>
          </w:p>
          <w:p w:rsidR="005E1536" w:rsidRPr="00897AB7" w:rsidRDefault="005E1536" w:rsidP="00B420CE">
            <w:pPr>
              <w:pStyle w:val="BodytextAgency"/>
              <w:spacing w:after="0" w:line="240" w:lineRule="auto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Frattura di anca, polso e vertebre </w:t>
            </w:r>
          </w:p>
          <w:p w:rsidR="005E1536" w:rsidRDefault="005E1536" w:rsidP="00B420CE">
            <w:pPr>
              <w:pStyle w:val="BodytextAgency"/>
              <w:spacing w:after="0" w:line="240" w:lineRule="auto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Riduzione della biodisponibilità di </w:t>
            </w:r>
            <w:proofErr w:type="spellStart"/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>atazanavir</w:t>
            </w:r>
            <w:proofErr w:type="spellEnd"/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 e  altri medicinali per HIV</w:t>
            </w:r>
          </w:p>
          <w:p w:rsidR="005E1536" w:rsidRPr="00897AB7" w:rsidRDefault="005E1536" w:rsidP="00B420CE">
            <w:pPr>
              <w:pStyle w:val="BodytextAgency"/>
              <w:spacing w:after="0" w:line="240" w:lineRule="auto"/>
              <w:rPr>
                <w:rFonts w:asciiTheme="minorHAnsi" w:hAnsiTheme="minorHAnsi"/>
                <w:sz w:val="20"/>
                <w:szCs w:val="20"/>
                <w:lang w:val="it-IT"/>
              </w:rPr>
            </w:pPr>
            <w:r>
              <w:rPr>
                <w:rFonts w:asciiTheme="minorHAnsi" w:hAnsiTheme="minorHAnsi"/>
                <w:sz w:val="20"/>
                <w:szCs w:val="20"/>
                <w:lang w:val="it-IT"/>
              </w:rPr>
              <w:t>Ridotto assorbimento di vitamina B12</w:t>
            </w:r>
          </w:p>
          <w:p w:rsidR="005E1536" w:rsidRDefault="005E1536" w:rsidP="00B420CE">
            <w:pPr>
              <w:pStyle w:val="BodytextAgency"/>
              <w:spacing w:after="0" w:line="240" w:lineRule="auto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>Infezioni gastrointesti</w:t>
            </w:r>
            <w:r>
              <w:rPr>
                <w:rFonts w:asciiTheme="minorHAnsi" w:hAnsiTheme="minorHAnsi"/>
                <w:sz w:val="20"/>
                <w:szCs w:val="20"/>
                <w:lang w:val="it-IT"/>
              </w:rPr>
              <w:t>n</w:t>
            </w:r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ali </w:t>
            </w:r>
          </w:p>
          <w:p w:rsidR="005E1536" w:rsidRDefault="005E1536" w:rsidP="00B420CE">
            <w:pPr>
              <w:pStyle w:val="BodytextAgency"/>
              <w:spacing w:after="0" w:line="240" w:lineRule="auto"/>
              <w:rPr>
                <w:rFonts w:asciiTheme="minorHAnsi" w:hAnsiTheme="minorHAnsi"/>
                <w:sz w:val="20"/>
                <w:szCs w:val="20"/>
                <w:lang w:val="it-IT"/>
              </w:rPr>
            </w:pPr>
            <w:r>
              <w:rPr>
                <w:rFonts w:asciiTheme="minorHAnsi" w:hAnsiTheme="minorHAnsi"/>
                <w:sz w:val="20"/>
                <w:szCs w:val="20"/>
                <w:lang w:val="it-IT"/>
              </w:rPr>
              <w:t>Modifica dell’assorbimento di medicinali con biodisponibilità dipendente dal pH gastrico</w:t>
            </w:r>
          </w:p>
          <w:p w:rsidR="005E1536" w:rsidRPr="00897AB7" w:rsidRDefault="005E1536" w:rsidP="00B420CE">
            <w:pPr>
              <w:pStyle w:val="BodytextAgency"/>
              <w:spacing w:after="0" w:line="240" w:lineRule="auto"/>
              <w:rPr>
                <w:rFonts w:asciiTheme="minorHAnsi" w:hAnsiTheme="minorHAnsi"/>
                <w:sz w:val="20"/>
                <w:szCs w:val="20"/>
                <w:lang w:val="it-IT"/>
              </w:rPr>
            </w:pPr>
            <w:r>
              <w:rPr>
                <w:rFonts w:asciiTheme="minorHAnsi" w:hAnsiTheme="minorHAnsi"/>
                <w:sz w:val="20"/>
                <w:szCs w:val="20"/>
                <w:lang w:val="it-IT"/>
              </w:rPr>
              <w:t>Vertigini e disturbi della vista</w:t>
            </w:r>
          </w:p>
          <w:p w:rsidR="005E1536" w:rsidRPr="00897AB7" w:rsidRDefault="005E1536" w:rsidP="00B420CE">
            <w:pPr>
              <w:pStyle w:val="BodytextAgency"/>
              <w:spacing w:after="0" w:line="240" w:lineRule="auto"/>
              <w:rPr>
                <w:rFonts w:asciiTheme="minorHAnsi" w:hAnsiTheme="minorHAnsi"/>
                <w:sz w:val="20"/>
                <w:szCs w:val="20"/>
                <w:highlight w:val="green"/>
                <w:lang w:val="it-IT"/>
              </w:rPr>
            </w:pPr>
            <w:r>
              <w:rPr>
                <w:rFonts w:asciiTheme="minorHAnsi" w:hAnsiTheme="minorHAnsi"/>
                <w:sz w:val="20"/>
                <w:szCs w:val="20"/>
                <w:lang w:val="it-IT"/>
              </w:rPr>
              <w:t>Aumento dei livelli plasmatici di</w:t>
            </w:r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>metotressato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val="it-IT"/>
              </w:rPr>
              <w:t xml:space="preserve"> per u</w:t>
            </w:r>
            <w:r w:rsidRPr="00897AB7">
              <w:rPr>
                <w:rFonts w:asciiTheme="minorHAnsi" w:hAnsiTheme="minorHAnsi"/>
                <w:sz w:val="20"/>
                <w:szCs w:val="20"/>
                <w:lang w:val="it-IT"/>
              </w:rPr>
              <w:t>so concomitante</w:t>
            </w:r>
          </w:p>
        </w:tc>
      </w:tr>
      <w:tr w:rsidR="005E1536" w:rsidRPr="00E812E0" w:rsidTr="00B420CE">
        <w:trPr>
          <w:trHeight w:val="732"/>
          <w:jc w:val="center"/>
        </w:trPr>
        <w:tc>
          <w:tcPr>
            <w:tcW w:w="1655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5E1536" w:rsidRPr="00820466" w:rsidRDefault="005E1536" w:rsidP="00B420CE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820466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820466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820466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820466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820466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  <w:proofErr w:type="spellEnd"/>
          </w:p>
        </w:tc>
        <w:tc>
          <w:tcPr>
            <w:tcW w:w="3345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5E1536" w:rsidRPr="00820466" w:rsidRDefault="005E1536" w:rsidP="00B420CE">
            <w:pPr>
              <w:pStyle w:val="BodytextAgency"/>
              <w:spacing w:after="0" w:line="240" w:lineRule="auto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820466">
              <w:rPr>
                <w:rFonts w:asciiTheme="minorHAnsi" w:hAnsiTheme="minorHAnsi"/>
                <w:sz w:val="20"/>
                <w:szCs w:val="20"/>
                <w:lang w:val="it-IT"/>
              </w:rPr>
              <w:t>Ipersensibilità</w:t>
            </w:r>
          </w:p>
          <w:p w:rsidR="005E1536" w:rsidRPr="00820466" w:rsidRDefault="005E1536" w:rsidP="00B420CE">
            <w:pPr>
              <w:pStyle w:val="BodytextAgency"/>
              <w:spacing w:after="0" w:line="240" w:lineRule="auto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820466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Aumento </w:t>
            </w:r>
            <w:r>
              <w:rPr>
                <w:rFonts w:asciiTheme="minorHAnsi" w:hAnsiTheme="minorHAnsi"/>
                <w:sz w:val="20"/>
                <w:szCs w:val="20"/>
                <w:lang w:val="it-IT"/>
              </w:rPr>
              <w:t>dell’attività</w:t>
            </w:r>
            <w:r w:rsidRPr="00820466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 di </w:t>
            </w:r>
            <w:proofErr w:type="spellStart"/>
            <w:r w:rsidRPr="00820466">
              <w:rPr>
                <w:rFonts w:asciiTheme="minorHAnsi" w:hAnsiTheme="minorHAnsi"/>
                <w:sz w:val="20"/>
                <w:szCs w:val="20"/>
                <w:lang w:val="it-IT"/>
              </w:rPr>
              <w:t>warfarin</w:t>
            </w:r>
            <w:proofErr w:type="spellEnd"/>
            <w:r w:rsidRPr="00820466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 e altri inibitori di vitamina K per uso concomitante</w:t>
            </w:r>
          </w:p>
          <w:p w:rsidR="005E1536" w:rsidRPr="00820466" w:rsidRDefault="005E1536" w:rsidP="00B420CE">
            <w:pPr>
              <w:pStyle w:val="BodytextAgency"/>
              <w:spacing w:after="0" w:line="240" w:lineRule="auto"/>
              <w:rPr>
                <w:rFonts w:asciiTheme="minorHAnsi" w:hAnsiTheme="minorHAnsi"/>
                <w:sz w:val="20"/>
                <w:szCs w:val="20"/>
                <w:lang w:val="it-IT"/>
              </w:rPr>
            </w:pPr>
            <w:r>
              <w:rPr>
                <w:rFonts w:asciiTheme="minorHAnsi" w:hAnsiTheme="minorHAnsi"/>
                <w:sz w:val="20"/>
                <w:szCs w:val="20"/>
                <w:lang w:val="it-IT"/>
              </w:rPr>
              <w:t>Diminuzione</w:t>
            </w:r>
            <w:r w:rsidRPr="00820466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  <w:lang w:val="it-IT"/>
              </w:rPr>
              <w:t>dell’attività</w:t>
            </w:r>
            <w:r w:rsidRPr="00820466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 di </w:t>
            </w:r>
            <w:proofErr w:type="spellStart"/>
            <w:r>
              <w:rPr>
                <w:rFonts w:asciiTheme="minorHAnsi" w:hAnsiTheme="minorHAnsi"/>
                <w:sz w:val="20"/>
                <w:szCs w:val="20"/>
                <w:lang w:val="it-IT"/>
              </w:rPr>
              <w:t>clopidogrel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val="it-IT"/>
              </w:rPr>
              <w:t xml:space="preserve"> </w:t>
            </w:r>
            <w:r w:rsidRPr="00820466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 per uso concomitante</w:t>
            </w:r>
          </w:p>
        </w:tc>
      </w:tr>
      <w:tr w:rsidR="005E1536" w:rsidRPr="00E812E0" w:rsidTr="00B420CE">
        <w:trPr>
          <w:jc w:val="center"/>
        </w:trPr>
        <w:tc>
          <w:tcPr>
            <w:tcW w:w="165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1536" w:rsidRPr="00E812E0" w:rsidRDefault="005E1536" w:rsidP="00B420CE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E812E0">
              <w:rPr>
                <w:rFonts w:asciiTheme="minorHAnsi" w:hAnsiTheme="minorHAnsi"/>
                <w:sz w:val="20"/>
                <w:szCs w:val="20"/>
                <w:lang w:eastAsia="en-GB"/>
              </w:rPr>
              <w:t>Informazioni</w:t>
            </w:r>
            <w:proofErr w:type="spellEnd"/>
            <w:r w:rsidRPr="00E812E0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E812E0">
              <w:rPr>
                <w:rFonts w:asciiTheme="minorHAnsi" w:hAnsiTheme="minorHAnsi"/>
                <w:sz w:val="20"/>
                <w:szCs w:val="20"/>
                <w:lang w:eastAsia="en-GB"/>
              </w:rPr>
              <w:t>mancanti</w:t>
            </w:r>
            <w:proofErr w:type="spellEnd"/>
          </w:p>
        </w:tc>
        <w:tc>
          <w:tcPr>
            <w:tcW w:w="334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1536" w:rsidRPr="00E812E0" w:rsidRDefault="005E1536" w:rsidP="00B420CE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highlight w:val="green"/>
                <w:lang w:eastAsia="en-GB"/>
              </w:rPr>
            </w:pPr>
            <w:r>
              <w:rPr>
                <w:rFonts w:asciiTheme="minorHAnsi" w:hAnsiTheme="minorHAnsi"/>
                <w:sz w:val="20"/>
                <w:szCs w:val="20"/>
                <w:lang w:val="it-IT" w:eastAsia="en-GB"/>
              </w:rPr>
              <w:t>NA</w:t>
            </w:r>
          </w:p>
        </w:tc>
      </w:tr>
    </w:tbl>
    <w:p w:rsidR="005E1536" w:rsidRPr="00E812E0" w:rsidRDefault="005E1536" w:rsidP="005E1536">
      <w:pPr>
        <w:pStyle w:val="Paragrafoelenco"/>
        <w:spacing w:after="0" w:line="240" w:lineRule="auto"/>
        <w:ind w:left="0"/>
        <w:jc w:val="both"/>
        <w:rPr>
          <w:lang w:val="en-US"/>
        </w:rPr>
      </w:pPr>
    </w:p>
    <w:p w:rsidR="005D40D3" w:rsidRDefault="005D40D3" w:rsidP="005D40D3">
      <w:pPr>
        <w:pStyle w:val="Paragrafoelenco"/>
        <w:spacing w:after="0" w:line="240" w:lineRule="auto"/>
        <w:ind w:left="0"/>
        <w:jc w:val="both"/>
      </w:pPr>
      <w:r w:rsidRPr="009A2805">
        <w:lastRenderedPageBreak/>
        <w:t xml:space="preserve">Azioni </w:t>
      </w:r>
      <w:proofErr w:type="spellStart"/>
      <w:r w:rsidRPr="009A2805">
        <w:t>routinarie</w:t>
      </w:r>
      <w:proofErr w:type="spellEnd"/>
      <w:r w:rsidRPr="009A2805">
        <w:t xml:space="preserve"> di farmacovigilanza e di </w:t>
      </w:r>
      <w:r>
        <w:t>minimizzazione del rischio sono proposte per tutte le problematiche di sicurezza.</w:t>
      </w:r>
    </w:p>
    <w:p w:rsidR="005D40D3" w:rsidRDefault="005D40D3" w:rsidP="005D40D3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</w:p>
    <w:p w:rsidR="005D40D3" w:rsidRDefault="005D40D3" w:rsidP="005D40D3">
      <w:pPr>
        <w:pStyle w:val="Paragrafoelenco"/>
        <w:spacing w:after="0" w:line="240" w:lineRule="auto"/>
        <w:ind w:left="0"/>
        <w:jc w:val="both"/>
      </w:pPr>
    </w:p>
    <w:p w:rsidR="005D40D3" w:rsidRPr="002E4DCB" w:rsidRDefault="005D40D3" w:rsidP="005D40D3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5D40D3" w:rsidRDefault="005D40D3" w:rsidP="005D40D3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 w:rsidR="00A539E9">
        <w:t>Opsardex</w:t>
      </w:r>
      <w:proofErr w:type="spellEnd"/>
      <w:r>
        <w:t xml:space="preserve"> sono state presentate sufficienti informazioni cliniche.</w:t>
      </w:r>
    </w:p>
    <w:p w:rsidR="005D40D3" w:rsidRDefault="005D40D3" w:rsidP="005D40D3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="00A539E9">
        <w:t>Opsardex</w:t>
      </w:r>
      <w:proofErr w:type="spellEnd"/>
      <w:r>
        <w:t xml:space="preserve"> è considerato favorevole dal punto di vista clinico.</w:t>
      </w:r>
    </w:p>
    <w:p w:rsidR="00EA5E1B" w:rsidRDefault="00EA5E1B" w:rsidP="005D40D3">
      <w:pPr>
        <w:pStyle w:val="Paragrafoelenco"/>
        <w:spacing w:after="0" w:line="240" w:lineRule="auto"/>
        <w:ind w:left="0"/>
        <w:jc w:val="both"/>
      </w:pPr>
    </w:p>
    <w:p w:rsidR="005D40D3" w:rsidRDefault="005D40D3" w:rsidP="005D40D3">
      <w:pPr>
        <w:pStyle w:val="Paragrafoelenco"/>
        <w:spacing w:after="0" w:line="240" w:lineRule="auto"/>
        <w:ind w:left="0"/>
        <w:jc w:val="both"/>
      </w:pPr>
    </w:p>
    <w:p w:rsidR="00966AD3" w:rsidRDefault="00966AD3" w:rsidP="005D40D3">
      <w:pPr>
        <w:pStyle w:val="Paragrafoelenco"/>
        <w:spacing w:after="0" w:line="240" w:lineRule="auto"/>
        <w:ind w:left="0"/>
        <w:jc w:val="both"/>
      </w:pPr>
    </w:p>
    <w:p w:rsidR="005D40D3" w:rsidRPr="002E4DCB" w:rsidRDefault="005D40D3" w:rsidP="005D40D3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5D40D3" w:rsidRDefault="005D40D3" w:rsidP="005D40D3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5D40D3" w:rsidRDefault="005D40D3" w:rsidP="005D40D3">
      <w:pPr>
        <w:pStyle w:val="Paragrafoelenco"/>
        <w:spacing w:after="0" w:line="240" w:lineRule="auto"/>
        <w:ind w:left="0"/>
        <w:jc w:val="both"/>
      </w:pPr>
    </w:p>
    <w:p w:rsidR="005D40D3" w:rsidRDefault="005D40D3" w:rsidP="005D40D3">
      <w:pPr>
        <w:spacing w:after="0" w:line="240" w:lineRule="auto"/>
        <w:jc w:val="both"/>
      </w:pPr>
    </w:p>
    <w:p w:rsidR="005D40D3" w:rsidRPr="00BC23ED" w:rsidRDefault="005D40D3" w:rsidP="005D40D3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5D40D3" w:rsidRDefault="005D40D3" w:rsidP="005D40D3">
      <w:pPr>
        <w:spacing w:after="0" w:line="240" w:lineRule="auto"/>
        <w:jc w:val="both"/>
      </w:pPr>
      <w:r>
        <w:t xml:space="preserve">La qualità di </w:t>
      </w:r>
      <w:proofErr w:type="spellStart"/>
      <w:r w:rsidR="00A539E9">
        <w:t>Opsardex</w:t>
      </w:r>
      <w:proofErr w:type="spellEnd"/>
      <w:r>
        <w:t xml:space="preserve"> è accettabile e non sono state rilevate criticità da un punto di vista non clinico e clinico.</w:t>
      </w:r>
    </w:p>
    <w:p w:rsidR="005D40D3" w:rsidRDefault="005D40D3" w:rsidP="005D40D3">
      <w:pPr>
        <w:spacing w:after="0" w:line="240" w:lineRule="auto"/>
        <w:jc w:val="both"/>
      </w:pPr>
      <w:r>
        <w:t xml:space="preserve">Lo studio di bioequivalenza e le sue conclusioni confermano che </w:t>
      </w:r>
      <w:proofErr w:type="spellStart"/>
      <w:r w:rsidR="00A539E9">
        <w:t>Opsardex</w:t>
      </w:r>
      <w:proofErr w:type="spellEnd"/>
      <w:r>
        <w:t xml:space="preserve"> e il medicinale di riferimento </w:t>
      </w:r>
      <w:proofErr w:type="spellStart"/>
      <w:r w:rsidR="00A539E9">
        <w:t>Losec</w:t>
      </w:r>
      <w:proofErr w:type="spellEnd"/>
      <w:r w:rsidR="0045530D">
        <w:t xml:space="preserve"> </w:t>
      </w:r>
      <w:r>
        <w:t xml:space="preserve">sono </w:t>
      </w:r>
      <w:proofErr w:type="spellStart"/>
      <w:r>
        <w:t>bioequivalenti</w:t>
      </w:r>
      <w:proofErr w:type="spellEnd"/>
      <w:r>
        <w:t>.</w:t>
      </w:r>
    </w:p>
    <w:p w:rsidR="005D40D3" w:rsidRDefault="005D40D3" w:rsidP="005D40D3">
      <w:pPr>
        <w:spacing w:after="0" w:line="240" w:lineRule="auto"/>
        <w:jc w:val="both"/>
      </w:pPr>
      <w:r>
        <w:t>Il rapporto beneficio/rischio è considerato positivo.</w:t>
      </w:r>
    </w:p>
    <w:p w:rsidR="005D40D3" w:rsidRDefault="005D40D3" w:rsidP="005D40D3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9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5D40D3" w:rsidRDefault="005D40D3" w:rsidP="005D40D3">
      <w:pPr>
        <w:spacing w:after="0" w:line="240" w:lineRule="auto"/>
        <w:jc w:val="both"/>
      </w:pPr>
    </w:p>
    <w:p w:rsidR="005D40D3" w:rsidRDefault="005D40D3" w:rsidP="005D40D3">
      <w:pPr>
        <w:spacing w:after="0" w:line="240" w:lineRule="auto"/>
        <w:jc w:val="both"/>
      </w:pPr>
    </w:p>
    <w:sectPr w:rsidR="005D40D3" w:rsidSect="005D40D3">
      <w:pgSz w:w="11906" w:h="16838"/>
      <w:pgMar w:top="1418" w:right="1021" w:bottom="907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882AF4"/>
    <w:multiLevelType w:val="hybridMultilevel"/>
    <w:tmpl w:val="FA509060"/>
    <w:lvl w:ilvl="0" w:tplc="2722B91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FB02F78"/>
    <w:multiLevelType w:val="hybridMultilevel"/>
    <w:tmpl w:val="DDEA0328"/>
    <w:lvl w:ilvl="0" w:tplc="53D225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C944B0D"/>
    <w:multiLevelType w:val="hybridMultilevel"/>
    <w:tmpl w:val="7CB82574"/>
    <w:lvl w:ilvl="0" w:tplc="2AB483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5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241AC"/>
    <w:rsid w:val="00013020"/>
    <w:rsid w:val="00033D45"/>
    <w:rsid w:val="00037F9B"/>
    <w:rsid w:val="00062636"/>
    <w:rsid w:val="00076ADA"/>
    <w:rsid w:val="00077016"/>
    <w:rsid w:val="000973AE"/>
    <w:rsid w:val="000D2743"/>
    <w:rsid w:val="000F68AA"/>
    <w:rsid w:val="0010050E"/>
    <w:rsid w:val="00111E9E"/>
    <w:rsid w:val="0011250C"/>
    <w:rsid w:val="001213EB"/>
    <w:rsid w:val="00123C48"/>
    <w:rsid w:val="00180C71"/>
    <w:rsid w:val="001F10E2"/>
    <w:rsid w:val="001F6B4A"/>
    <w:rsid w:val="00226F04"/>
    <w:rsid w:val="00234A08"/>
    <w:rsid w:val="002457BF"/>
    <w:rsid w:val="00246D26"/>
    <w:rsid w:val="00265222"/>
    <w:rsid w:val="002665E1"/>
    <w:rsid w:val="00266832"/>
    <w:rsid w:val="00267ABD"/>
    <w:rsid w:val="00275DD0"/>
    <w:rsid w:val="002A3DFF"/>
    <w:rsid w:val="002D14D6"/>
    <w:rsid w:val="002E21C3"/>
    <w:rsid w:val="002E485B"/>
    <w:rsid w:val="00364274"/>
    <w:rsid w:val="003C2996"/>
    <w:rsid w:val="00412D3F"/>
    <w:rsid w:val="00423C21"/>
    <w:rsid w:val="004241AC"/>
    <w:rsid w:val="0043573D"/>
    <w:rsid w:val="00452364"/>
    <w:rsid w:val="0045530D"/>
    <w:rsid w:val="004638D9"/>
    <w:rsid w:val="00494C07"/>
    <w:rsid w:val="004A1685"/>
    <w:rsid w:val="004B20A8"/>
    <w:rsid w:val="004C0190"/>
    <w:rsid w:val="005345E1"/>
    <w:rsid w:val="00596C12"/>
    <w:rsid w:val="005C4E37"/>
    <w:rsid w:val="005D40D3"/>
    <w:rsid w:val="005D5D07"/>
    <w:rsid w:val="005E1536"/>
    <w:rsid w:val="005E7072"/>
    <w:rsid w:val="005F461F"/>
    <w:rsid w:val="006124C0"/>
    <w:rsid w:val="00615C10"/>
    <w:rsid w:val="00667E02"/>
    <w:rsid w:val="006842F2"/>
    <w:rsid w:val="0069320E"/>
    <w:rsid w:val="006B7CBD"/>
    <w:rsid w:val="006E45EF"/>
    <w:rsid w:val="00716B36"/>
    <w:rsid w:val="0073164A"/>
    <w:rsid w:val="00763EA7"/>
    <w:rsid w:val="007E322A"/>
    <w:rsid w:val="00802A3C"/>
    <w:rsid w:val="00823C6C"/>
    <w:rsid w:val="00862470"/>
    <w:rsid w:val="00874733"/>
    <w:rsid w:val="00874CF7"/>
    <w:rsid w:val="008838B7"/>
    <w:rsid w:val="00896A9B"/>
    <w:rsid w:val="008C0569"/>
    <w:rsid w:val="008E4143"/>
    <w:rsid w:val="008E5353"/>
    <w:rsid w:val="00902ADE"/>
    <w:rsid w:val="009229DB"/>
    <w:rsid w:val="0096052D"/>
    <w:rsid w:val="00966AD3"/>
    <w:rsid w:val="009A260F"/>
    <w:rsid w:val="009A4B52"/>
    <w:rsid w:val="009B03DB"/>
    <w:rsid w:val="009B4C3D"/>
    <w:rsid w:val="00A05212"/>
    <w:rsid w:val="00A074BE"/>
    <w:rsid w:val="00A1005E"/>
    <w:rsid w:val="00A2546E"/>
    <w:rsid w:val="00A40FF3"/>
    <w:rsid w:val="00A512BC"/>
    <w:rsid w:val="00A539E9"/>
    <w:rsid w:val="00A810A3"/>
    <w:rsid w:val="00A95D6A"/>
    <w:rsid w:val="00AB7D5C"/>
    <w:rsid w:val="00AC5ECC"/>
    <w:rsid w:val="00AD4716"/>
    <w:rsid w:val="00B178DE"/>
    <w:rsid w:val="00B2045A"/>
    <w:rsid w:val="00B67AD3"/>
    <w:rsid w:val="00B83350"/>
    <w:rsid w:val="00BA7D67"/>
    <w:rsid w:val="00BB7C7D"/>
    <w:rsid w:val="00BC6F1B"/>
    <w:rsid w:val="00BC73E1"/>
    <w:rsid w:val="00BC74C2"/>
    <w:rsid w:val="00BE2992"/>
    <w:rsid w:val="00BE585E"/>
    <w:rsid w:val="00C17EFD"/>
    <w:rsid w:val="00C40523"/>
    <w:rsid w:val="00CC7AFF"/>
    <w:rsid w:val="00CD1A01"/>
    <w:rsid w:val="00CD7E91"/>
    <w:rsid w:val="00CF3FA3"/>
    <w:rsid w:val="00D14DCB"/>
    <w:rsid w:val="00D20170"/>
    <w:rsid w:val="00D53871"/>
    <w:rsid w:val="00D65D56"/>
    <w:rsid w:val="00DA2434"/>
    <w:rsid w:val="00DC35CE"/>
    <w:rsid w:val="00DF4827"/>
    <w:rsid w:val="00E32F64"/>
    <w:rsid w:val="00E43089"/>
    <w:rsid w:val="00E6728C"/>
    <w:rsid w:val="00E8264F"/>
    <w:rsid w:val="00E83104"/>
    <w:rsid w:val="00E83F8D"/>
    <w:rsid w:val="00EA5E1B"/>
    <w:rsid w:val="00EF062E"/>
    <w:rsid w:val="00F03BDB"/>
    <w:rsid w:val="00F44547"/>
    <w:rsid w:val="00F66767"/>
    <w:rsid w:val="00F97B34"/>
    <w:rsid w:val="00FA2702"/>
    <w:rsid w:val="00FB35EE"/>
    <w:rsid w:val="00FD7CE5"/>
    <w:rsid w:val="00FE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5D40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65D56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65D56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D40D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5D40D3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5D40D3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NormaleWeb">
    <w:name w:val="Normal (Web)"/>
    <w:basedOn w:val="Normale"/>
    <w:uiPriority w:val="99"/>
    <w:rsid w:val="005D4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pple-converted-space">
    <w:name w:val="apple-converted-space"/>
    <w:basedOn w:val="Carpredefinitoparagrafo"/>
    <w:rsid w:val="00FE0038"/>
  </w:style>
  <w:style w:type="paragraph" w:customStyle="1" w:styleId="TabletextrowsAgency">
    <w:name w:val="Table text rows (Agency)"/>
    <w:basedOn w:val="Normale"/>
    <w:semiHidden/>
    <w:rsid w:val="009A4B52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efault">
    <w:name w:val="Default"/>
    <w:rsid w:val="005F461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BodytextAgency">
    <w:name w:val="Body text (Agency)"/>
    <w:basedOn w:val="Normale"/>
    <w:link w:val="BodytextAgencyChar"/>
    <w:rsid w:val="00FB35EE"/>
    <w:pPr>
      <w:spacing w:after="140" w:line="280" w:lineRule="atLeast"/>
    </w:pPr>
    <w:rPr>
      <w:rFonts w:ascii="Verdana" w:eastAsia="Verdana" w:hAnsi="Verdana" w:cs="Verdana"/>
      <w:sz w:val="18"/>
      <w:szCs w:val="18"/>
      <w:lang w:val="en-GB" w:eastAsia="en-GB"/>
    </w:rPr>
  </w:style>
  <w:style w:type="character" w:customStyle="1" w:styleId="BodytextAgencyChar">
    <w:name w:val="Body text (Agency) Char"/>
    <w:basedOn w:val="Carpredefinitoparagrafo"/>
    <w:link w:val="BodytextAgency"/>
    <w:rsid w:val="00FB35EE"/>
    <w:rPr>
      <w:rFonts w:ascii="Verdana" w:eastAsia="Verdana" w:hAnsi="Verdana" w:cs="Verdana"/>
      <w:sz w:val="18"/>
      <w:szCs w:val="18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3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1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4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3817</Words>
  <Characters>21758</Characters>
  <Application>Microsoft Office Word</Application>
  <DocSecurity>0</DocSecurity>
  <Lines>181</Lines>
  <Paragraphs>51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26</cp:revision>
  <dcterms:created xsi:type="dcterms:W3CDTF">2015-07-15T12:24:00Z</dcterms:created>
  <dcterms:modified xsi:type="dcterms:W3CDTF">2015-09-29T09:28:00Z</dcterms:modified>
</cp:coreProperties>
</file>