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F6906" w:rsidRDefault="004F6906" w:rsidP="004F690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F6906" w:rsidRDefault="004F690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8B6934" w:rsidRDefault="00E83F8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8B6934">
        <w:rPr>
          <w:b/>
          <w:sz w:val="32"/>
        </w:rPr>
        <w:t>PRELUD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EF062E">
        <w:rPr>
          <w:snapToGrid w:val="0"/>
        </w:rPr>
        <w:t>Sildenafil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EF062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A.G.I.P.S.</w:t>
      </w:r>
      <w:proofErr w:type="spellEnd"/>
      <w:r>
        <w:rPr>
          <w:b/>
        </w:rPr>
        <w:t xml:space="preserve"> Farmaceutici </w:t>
      </w:r>
    </w:p>
    <w:p w:rsidR="00671F2C" w:rsidRPr="00062636" w:rsidRDefault="00671F2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EF062E" w:rsidRPr="00EF062E">
        <w:rPr>
          <w:rFonts w:cs="Helvetica"/>
          <w:b/>
        </w:rPr>
        <w:t>042217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8B6934" w:rsidRPr="00062636" w:rsidRDefault="008B6934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8B6934" w:rsidRDefault="008B6934" w:rsidP="008B693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8B6934" w:rsidRDefault="008B693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83F8D">
        <w:rPr>
          <w:rFonts w:eastAsia="Calibri" w:cs="Calibri"/>
          <w:color w:val="000000"/>
          <w:lang w:eastAsia="it-IT"/>
        </w:rPr>
        <w:t>Prelud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83F8D">
        <w:rPr>
          <w:rFonts w:eastAsia="Calibri" w:cs="Calibri"/>
          <w:color w:val="000000"/>
          <w:lang w:eastAsia="it-IT"/>
        </w:rPr>
        <w:t>Prelud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30511D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83F8D">
        <w:rPr>
          <w:rFonts w:eastAsia="Calibri" w:cs="Calibri"/>
          <w:color w:val="000000"/>
          <w:lang w:eastAsia="it-IT"/>
        </w:rPr>
        <w:t>Prelud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83F8D">
        <w:rPr>
          <w:rFonts w:eastAsia="Calibri" w:cs="Calibri"/>
          <w:color w:val="000000"/>
          <w:lang w:eastAsia="it-IT"/>
        </w:rPr>
        <w:t>Prelud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83F8D">
        <w:rPr>
          <w:rFonts w:eastAsia="Calibri" w:cs="Calibri"/>
          <w:b/>
          <w:bCs/>
          <w:color w:val="000000"/>
          <w:lang w:eastAsia="it-IT"/>
        </w:rPr>
        <w:t>Prelud</w:t>
      </w:r>
      <w:proofErr w:type="spellEnd"/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E83F8D" w:rsidRDefault="00E83F8D" w:rsidP="00E83F8D">
      <w:pPr>
        <w:widowControl w:val="0"/>
        <w:spacing w:after="0" w:line="240" w:lineRule="auto"/>
        <w:jc w:val="both"/>
      </w:pPr>
      <w:proofErr w:type="spellStart"/>
      <w:r w:rsidRPr="00E83F8D">
        <w:rPr>
          <w:rFonts w:eastAsia="Calibri" w:cs="Calibri"/>
          <w:bCs/>
          <w:color w:val="000000"/>
          <w:lang w:eastAsia="it-IT"/>
        </w:rPr>
        <w:t>Prelud</w:t>
      </w:r>
      <w:proofErr w:type="spellEnd"/>
      <w:r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83F8D">
        <w:rPr>
          <w:rFonts w:eastAsia="Calibri" w:cs="Calibri"/>
          <w:color w:val="000000"/>
          <w:lang w:eastAsia="it-IT"/>
        </w:rPr>
        <w:t>sildenafil</w:t>
      </w:r>
      <w:proofErr w:type="spellEnd"/>
      <w:r w:rsidR="00671F2C">
        <w:rPr>
          <w:rFonts w:eastAsia="Calibri" w:cs="Calibri"/>
          <w:color w:val="000000"/>
          <w:lang w:eastAsia="it-IT"/>
        </w:rPr>
        <w:t xml:space="preserve"> ed</w:t>
      </w:r>
      <w:r w:rsidRPr="00E83F8D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E83F8D">
        <w:rPr>
          <w:rFonts w:eastAsia="Calibri" w:cs="Calibri"/>
          <w:color w:val="000000"/>
          <w:lang w:eastAsia="it-IT"/>
        </w:rPr>
        <w:t>compresse</w:t>
      </w:r>
      <w:r w:rsidR="004241AC" w:rsidRPr="00E83F8D">
        <w:rPr>
          <w:rFonts w:eastAsia="Calibri" w:cs="Calibri"/>
          <w:color w:val="000000"/>
          <w:lang w:eastAsia="it-IT"/>
        </w:rPr>
        <w:t xml:space="preserve"> contenenti diversi dosaggi de</w:t>
      </w:r>
      <w:r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Pr="00E83F8D">
        <w:rPr>
          <w:rFonts w:eastAsia="Calibri" w:cs="Calibri"/>
          <w:color w:val="000000"/>
          <w:lang w:eastAsia="it-IT"/>
        </w:rPr>
        <w:t>o attivo:</w:t>
      </w:r>
      <w:r w:rsidR="004241AC" w:rsidRPr="00E83F8D">
        <w:t xml:space="preserve"> </w:t>
      </w:r>
      <w:r w:rsidR="00062636" w:rsidRPr="00E83F8D">
        <w:rPr>
          <w:rFonts w:cs="Helvetica"/>
        </w:rPr>
        <w:t xml:space="preserve">25 mg, </w:t>
      </w:r>
      <w:r w:rsidRPr="00E83F8D">
        <w:rPr>
          <w:rFonts w:cs="Helvetica"/>
        </w:rPr>
        <w:t>50</w:t>
      </w:r>
      <w:r w:rsidR="00062636" w:rsidRPr="00E83F8D">
        <w:rPr>
          <w:rFonts w:cs="Helvetica"/>
        </w:rPr>
        <w:t xml:space="preserve"> mg, </w:t>
      </w:r>
      <w:r w:rsidRPr="00E83F8D">
        <w:rPr>
          <w:rFonts w:cs="Helvetica"/>
        </w:rPr>
        <w:t>100</w:t>
      </w:r>
      <w:r w:rsidR="00062636" w:rsidRPr="00E83F8D">
        <w:rPr>
          <w:rFonts w:cs="Helvetica"/>
        </w:rPr>
        <w:t xml:space="preserve"> mg</w:t>
      </w:r>
      <w:r w:rsidR="004241AC" w:rsidRPr="00E83F8D">
        <w:t>.</w:t>
      </w:r>
    </w:p>
    <w:p w:rsidR="009B66CF" w:rsidRPr="00DD581F" w:rsidRDefault="009B66CF" w:rsidP="009B66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Prelud</w:t>
      </w:r>
      <w:proofErr w:type="spellEnd"/>
      <w:r w:rsidRPr="00E83F8D">
        <w:rPr>
          <w:rFonts w:eastAsia="Calibri" w:cs="Calibri"/>
          <w:color w:val="000000"/>
          <w:lang w:eastAsia="it-IT"/>
        </w:rPr>
        <w:t xml:space="preserve"> è un “medicinale generico”, </w:t>
      </w:r>
      <w:r w:rsidR="00671F2C" w:rsidRPr="00E83F8D">
        <w:rPr>
          <w:rFonts w:eastAsia="Calibri" w:cs="Calibri"/>
          <w:color w:val="000000"/>
          <w:lang w:eastAsia="it-IT"/>
        </w:rPr>
        <w:t xml:space="preserve">cioè è analogo ad un “medicinale di riferimento”, </w:t>
      </w:r>
      <w:r w:rsidR="00671F2C">
        <w:rPr>
          <w:rFonts w:eastAsia="Calibri" w:cs="Calibri"/>
          <w:color w:val="000000"/>
          <w:lang w:eastAsia="it-IT"/>
        </w:rPr>
        <w:t xml:space="preserve">Viagra, </w:t>
      </w:r>
      <w:r w:rsidR="00671F2C" w:rsidRPr="00E83F8D">
        <w:rPr>
          <w:rFonts w:eastAsia="Calibri" w:cs="Calibri"/>
          <w:color w:val="000000"/>
          <w:lang w:eastAsia="it-IT"/>
        </w:rPr>
        <w:t>già autorizzato in Italia</w:t>
      </w:r>
      <w:r w:rsidR="00671F2C">
        <w:rPr>
          <w:rFonts w:eastAsia="Calibri" w:cs="Calibri"/>
          <w:color w:val="000000"/>
          <w:lang w:eastAsia="it-IT"/>
        </w:rPr>
        <w:t xml:space="preserve"> con procedura centralizzata</w:t>
      </w:r>
      <w:r w:rsidR="00671F2C" w:rsidRPr="00E83F8D">
        <w:rPr>
          <w:rFonts w:eastAsia="Calibri" w:cs="Calibri"/>
          <w:color w:val="000000"/>
          <w:lang w:eastAsia="it-IT"/>
        </w:rPr>
        <w:t>.</w:t>
      </w:r>
      <w:r w:rsidR="00671F2C">
        <w:rPr>
          <w:rFonts w:eastAsia="Calibri" w:cs="Calibri"/>
          <w:color w:val="000000"/>
          <w:lang w:eastAsia="it-IT"/>
        </w:rPr>
        <w:t xml:space="preserve"> L’</w:t>
      </w:r>
      <w:proofErr w:type="spellStart"/>
      <w:r w:rsidR="00671F2C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671F2C">
        <w:rPr>
          <w:rFonts w:eastAsia="Calibri" w:cs="Calibri"/>
          <w:color w:val="000000"/>
          <w:lang w:eastAsia="it-IT"/>
        </w:rPr>
        <w:t xml:space="preserve"> </w:t>
      </w:r>
      <w:r w:rsidR="00671F2C"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671F2C"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671F2C"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="00671F2C" w:rsidRPr="009F1B70">
        <w:rPr>
          <w:rFonts w:eastAsia="Calibri" w:cs="Calibri"/>
          <w:color w:val="000000"/>
          <w:lang w:eastAsia="it-IT"/>
        </w:rPr>
        <w:t xml:space="preserve"> (</w:t>
      </w:r>
      <w:r w:rsidR="00671F2C">
        <w:rPr>
          <w:rFonts w:eastAsia="Calibri" w:cs="Calibri"/>
          <w:color w:val="000000"/>
          <w:lang w:eastAsia="it-IT"/>
        </w:rPr>
        <w:t>E</w:t>
      </w:r>
      <w:r w:rsidR="00671F2C" w:rsidRPr="009F1B70">
        <w:rPr>
          <w:rFonts w:eastAsia="Calibri" w:cs="Calibri"/>
          <w:color w:val="000000"/>
          <w:lang w:eastAsia="it-IT"/>
        </w:rPr>
        <w:t>PAR)</w:t>
      </w:r>
      <w:r w:rsidR="00671F2C">
        <w:rPr>
          <w:rFonts w:eastAsia="Calibri" w:cs="Calibri"/>
          <w:color w:val="000000"/>
          <w:lang w:eastAsia="it-IT"/>
        </w:rPr>
        <w:t xml:space="preserve"> di Viagra può essere consultato sul sito dell’Agenzia Europea dei medicinali </w:t>
      </w:r>
      <w:r>
        <w:rPr>
          <w:rFonts w:eastAsia="Calibri" w:cs="Calibri"/>
          <w:color w:val="000000"/>
          <w:lang w:eastAsia="it-IT"/>
        </w:rPr>
        <w:t>(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Pr="00DD581F">
        <w:rPr>
          <w:rFonts w:eastAsia="Calibri" w:cs="Calibri"/>
          <w:i/>
          <w:color w:val="000000"/>
          <w:lang w:eastAsia="it-IT"/>
        </w:rPr>
        <w:t>Agency</w:t>
      </w:r>
      <w:proofErr w:type="spellEnd"/>
      <w:r>
        <w:rPr>
          <w:rFonts w:eastAsia="Calibri" w:cs="Calibri"/>
          <w:color w:val="000000"/>
          <w:lang w:eastAsia="it-IT"/>
        </w:rPr>
        <w:t xml:space="preserve"> – EMA) (</w:t>
      </w:r>
      <w:hyperlink r:id="rId6" w:history="1">
        <w:r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>
        <w:rPr>
          <w:rFonts w:eastAsia="Calibri" w:cs="Calibri"/>
          <w:bCs/>
          <w:color w:val="000000"/>
          <w:lang w:eastAsia="it-IT"/>
        </w:rPr>
        <w:t>)</w:t>
      </w:r>
      <w:r w:rsidR="0085058D">
        <w:rPr>
          <w:rFonts w:eastAsia="Calibri" w:cs="Calibri"/>
          <w:bCs/>
          <w:color w:val="000000"/>
          <w:lang w:eastAsia="it-IT"/>
        </w:rPr>
        <w:t>.</w:t>
      </w:r>
      <w:r w:rsidRPr="00DD581F">
        <w:rPr>
          <w:rFonts w:eastAsia="Calibri" w:cs="Calibri"/>
          <w:bCs/>
          <w:color w:val="000000"/>
          <w:lang w:eastAsia="it-IT"/>
        </w:rPr>
        <w:t xml:space="preserve"> </w:t>
      </w:r>
    </w:p>
    <w:p w:rsidR="004241AC" w:rsidRPr="00E83F8D" w:rsidRDefault="00E83F8D" w:rsidP="00E83F8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  <w:proofErr w:type="spellStart"/>
      <w:r w:rsidRPr="00E83F8D">
        <w:rPr>
          <w:rFonts w:eastAsia="Calibri" w:cs="Calibri"/>
          <w:color w:val="000000"/>
          <w:lang w:eastAsia="it-IT"/>
        </w:rPr>
        <w:t>Prelud</w:t>
      </w:r>
      <w:proofErr w:type="spellEnd"/>
      <w:r w:rsidRPr="00E83F8D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si usa per il trattamento </w:t>
      </w:r>
      <w:r w:rsidRPr="00E83F8D">
        <w:rPr>
          <w:rFonts w:eastAsia="Calibri" w:cs="Calibri"/>
          <w:color w:val="000000"/>
          <w:lang w:eastAsia="it-IT"/>
        </w:rPr>
        <w:t>della disfunzione erettile</w:t>
      </w:r>
      <w:r w:rsidR="004241AC" w:rsidRPr="00E83F8D">
        <w:rPr>
          <w:rFonts w:eastAsia="Calibri" w:cs="Calibri"/>
          <w:color w:val="000000"/>
          <w:lang w:eastAsia="it-IT"/>
        </w:rPr>
        <w:t>,</w:t>
      </w:r>
      <w:r w:rsidRPr="00E83F8D">
        <w:rPr>
          <w:rFonts w:eastAsia="Calibri" w:cs="Calibri"/>
          <w:color w:val="000000"/>
          <w:lang w:eastAsia="it-IT"/>
        </w:rPr>
        <w:t xml:space="preserve"> cioè in quelle situazioni in cui c’è </w:t>
      </w:r>
      <w:r w:rsidRPr="00E83F8D">
        <w:rPr>
          <w:rFonts w:cs="Helvetica"/>
        </w:rPr>
        <w:t>incapacità a raggiungere o a mantenere un’erezione idonea per una attività sessuale soddisfacente.</w:t>
      </w:r>
    </w:p>
    <w:p w:rsidR="004241AC" w:rsidRDefault="004241AC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E83F8D" w:rsidRDefault="00E83F8D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83F8D" w:rsidRPr="00E83F8D">
        <w:rPr>
          <w:rFonts w:eastAsia="Calibri" w:cs="Calibri"/>
          <w:b/>
          <w:bCs/>
          <w:color w:val="000000"/>
          <w:lang w:eastAsia="it-IT"/>
        </w:rPr>
        <w:t>Prelud</w:t>
      </w:r>
      <w:proofErr w:type="spellEnd"/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83F8D" w:rsidRDefault="00671F2C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Prelud</w:t>
      </w:r>
      <w:proofErr w:type="spellEnd"/>
      <w:r w:rsidR="004241AC" w:rsidRPr="00E83F8D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4241AC" w:rsidRPr="00E83F8D" w:rsidRDefault="004241AC" w:rsidP="00E83F8D">
      <w:pPr>
        <w:tabs>
          <w:tab w:val="left" w:pos="0"/>
        </w:tabs>
        <w:spacing w:after="0" w:line="240" w:lineRule="auto"/>
        <w:jc w:val="both"/>
      </w:pPr>
      <w:r w:rsidRPr="00E83F8D">
        <w:t xml:space="preserve">La dose </w:t>
      </w:r>
      <w:r w:rsidR="00671F2C">
        <w:t xml:space="preserve">raccomandata </w:t>
      </w:r>
      <w:r w:rsidRPr="00E83F8D">
        <w:t xml:space="preserve">è di una </w:t>
      </w:r>
      <w:r w:rsidR="00FA2702" w:rsidRPr="00E83F8D">
        <w:t>compressa</w:t>
      </w:r>
      <w:r w:rsidR="00E83F8D">
        <w:t xml:space="preserve"> da 50 mg</w:t>
      </w:r>
      <w:r w:rsidR="00E43089" w:rsidRPr="00E83F8D">
        <w:t xml:space="preserve"> </w:t>
      </w:r>
      <w:r w:rsidRPr="00E83F8D">
        <w:t xml:space="preserve">al giorno; </w:t>
      </w:r>
      <w:r w:rsidR="00E83F8D">
        <w:t>il medico può stabilire se diminuirla a 25 mg al giorno o aumentarla a 100 mg al giorno</w:t>
      </w:r>
      <w:r w:rsidRPr="00E83F8D">
        <w:t>.</w:t>
      </w:r>
      <w:r w:rsidR="00E83F8D">
        <w:t xml:space="preserve"> 100 mg sono la dose massima giornaliera raccomandata.</w:t>
      </w:r>
    </w:p>
    <w:p w:rsidR="004241AC" w:rsidRPr="00E83F8D" w:rsidRDefault="00EF062E" w:rsidP="00EF062E">
      <w:pPr>
        <w:tabs>
          <w:tab w:val="left" w:pos="0"/>
        </w:tabs>
        <w:spacing w:after="0" w:line="240" w:lineRule="auto"/>
        <w:jc w:val="both"/>
      </w:pPr>
      <w:r>
        <w:t>Nei pazienti con problemi ai reni o al fegato il dosaggio è minore.</w:t>
      </w:r>
    </w:p>
    <w:p w:rsidR="004241AC" w:rsidRPr="00A8302B" w:rsidRDefault="004241AC" w:rsidP="00EF062E">
      <w:pPr>
        <w:tabs>
          <w:tab w:val="left" w:pos="0"/>
        </w:tabs>
        <w:spacing w:after="0" w:line="240" w:lineRule="auto"/>
        <w:jc w:val="both"/>
      </w:pPr>
      <w:r>
        <w:t xml:space="preserve">Le </w:t>
      </w:r>
      <w:r w:rsidR="00FA2702">
        <w:t>compresse</w:t>
      </w:r>
      <w:r>
        <w:t xml:space="preserve"> vanno assunte con un po’ di acqua, possibilmente </w:t>
      </w:r>
      <w:r w:rsidR="00EF062E">
        <w:t xml:space="preserve">lontano </w:t>
      </w:r>
      <w:r>
        <w:t>dai pasti</w:t>
      </w:r>
      <w:r w:rsidR="00EF062E">
        <w:t xml:space="preserve"> (quando il medicinale è assunto insieme al pasto, l’assorbimento e, quindi la sua azione, può essere ritardato). </w:t>
      </w: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B6934" w:rsidRPr="00EF062E" w:rsidRDefault="008B6934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F062E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EF062E" w:rsidRPr="00EF062E">
        <w:rPr>
          <w:rFonts w:eastAsia="Calibri" w:cs="Calibri"/>
          <w:b/>
          <w:bCs/>
          <w:color w:val="000000"/>
          <w:lang w:eastAsia="it-IT"/>
        </w:rPr>
        <w:t>Prelud</w:t>
      </w:r>
      <w:proofErr w:type="spellEnd"/>
      <w:r w:rsidRPr="00EF062E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F062E" w:rsidRPr="00EF062E" w:rsidRDefault="00EF062E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EF062E">
        <w:rPr>
          <w:rFonts w:eastAsia="Calibri" w:cs="Calibri"/>
          <w:bCs/>
          <w:color w:val="000000"/>
          <w:lang w:eastAsia="it-IT"/>
        </w:rPr>
        <w:t>Prelud</w:t>
      </w:r>
      <w:proofErr w:type="spellEnd"/>
      <w:r w:rsidR="00171916">
        <w:rPr>
          <w:rFonts w:eastAsia="Calibri" w:cs="Calibri"/>
          <w:bCs/>
          <w:color w:val="000000"/>
          <w:lang w:eastAsia="it-IT"/>
        </w:rPr>
        <w:t xml:space="preserve">, </w:t>
      </w:r>
      <w:r w:rsidR="00171916" w:rsidRPr="00EF062E">
        <w:rPr>
          <w:rFonts w:eastAsia="Calibri" w:cs="Calibri"/>
          <w:bCs/>
          <w:color w:val="000000"/>
          <w:lang w:eastAsia="it-IT"/>
        </w:rPr>
        <w:t xml:space="preserve">il </w:t>
      </w:r>
      <w:r w:rsidR="00171916">
        <w:rPr>
          <w:rFonts w:eastAsia="Calibri" w:cs="Calibri"/>
          <w:bCs/>
          <w:color w:val="000000"/>
          <w:lang w:eastAsia="it-IT"/>
        </w:rPr>
        <w:t xml:space="preserve">cui </w:t>
      </w:r>
      <w:r w:rsidR="00171916" w:rsidRPr="00EF062E">
        <w:rPr>
          <w:rFonts w:eastAsia="Calibri" w:cs="Calibri"/>
          <w:bCs/>
          <w:color w:val="000000"/>
          <w:lang w:eastAsia="it-IT"/>
        </w:rPr>
        <w:t xml:space="preserve">codice ATC è </w:t>
      </w:r>
      <w:r w:rsidR="00171916" w:rsidRPr="00EF062E">
        <w:rPr>
          <w:rFonts w:eastAsia="DejaVuSans" w:cs="DejaVuSans"/>
        </w:rPr>
        <w:t>G04BE03</w:t>
      </w:r>
      <w:r w:rsidR="00171916">
        <w:rPr>
          <w:rFonts w:eastAsia="DejaVuSans" w:cs="DejaVuSans"/>
        </w:rPr>
        <w:t>,</w:t>
      </w:r>
      <w:r w:rsidR="00E43089" w:rsidRPr="00EF062E">
        <w:rPr>
          <w:rFonts w:eastAsia="DejaVuSans" w:cs="DejaVuSans"/>
        </w:rPr>
        <w:t xml:space="preserve"> </w:t>
      </w:r>
      <w:r w:rsidR="004241AC" w:rsidRPr="00EF062E">
        <w:rPr>
          <w:rFonts w:eastAsia="Calibri" w:cs="Calibri"/>
          <w:color w:val="000000"/>
          <w:lang w:eastAsia="it-IT"/>
        </w:rPr>
        <w:t>contiene i</w:t>
      </w:r>
      <w:r w:rsidRPr="00EF062E">
        <w:rPr>
          <w:rFonts w:eastAsia="Calibri" w:cs="Calibri"/>
          <w:color w:val="000000"/>
          <w:lang w:eastAsia="it-IT"/>
        </w:rPr>
        <w:t>l</w:t>
      </w:r>
      <w:r w:rsidR="004241AC" w:rsidRPr="00EF062E">
        <w:rPr>
          <w:rFonts w:eastAsia="Calibri" w:cs="Calibri"/>
          <w:color w:val="000000"/>
          <w:lang w:eastAsia="it-IT"/>
        </w:rPr>
        <w:t xml:space="preserve"> principi</w:t>
      </w:r>
      <w:r w:rsidRPr="00EF062E">
        <w:rPr>
          <w:rFonts w:eastAsia="Calibri" w:cs="Calibri"/>
          <w:color w:val="000000"/>
          <w:lang w:eastAsia="it-IT"/>
        </w:rPr>
        <w:t>o</w:t>
      </w:r>
      <w:r w:rsidR="004241AC" w:rsidRPr="00EF062E">
        <w:rPr>
          <w:rFonts w:eastAsia="Calibri" w:cs="Calibri"/>
          <w:color w:val="000000"/>
          <w:lang w:eastAsia="it-IT"/>
        </w:rPr>
        <w:t xml:space="preserve"> attiv</w:t>
      </w:r>
      <w:r w:rsidRPr="00EF062E">
        <w:rPr>
          <w:rFonts w:eastAsia="Calibri" w:cs="Calibri"/>
          <w:color w:val="000000"/>
          <w:lang w:eastAsia="it-IT"/>
        </w:rPr>
        <w:t>o</w:t>
      </w:r>
      <w:r w:rsidR="004241AC" w:rsidRPr="00EF062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F062E">
        <w:rPr>
          <w:rFonts w:eastAsia="Calibri" w:cs="Calibri"/>
          <w:color w:val="000000"/>
          <w:lang w:eastAsia="it-IT"/>
        </w:rPr>
        <w:t>sildenafil</w:t>
      </w:r>
      <w:proofErr w:type="spellEnd"/>
      <w:r w:rsidR="00171916">
        <w:rPr>
          <w:rFonts w:eastAsia="Calibri" w:cs="Calibri"/>
          <w:color w:val="000000"/>
          <w:lang w:eastAsia="it-IT"/>
        </w:rPr>
        <w:t xml:space="preserve"> che </w:t>
      </w:r>
      <w:r w:rsidRPr="00EF062E">
        <w:rPr>
          <w:rFonts w:eastAsia="DejaVuSans" w:cs="DejaVuSans"/>
        </w:rPr>
        <w:t xml:space="preserve">in presenza di una stimolazione sessuale, ripristina </w:t>
      </w:r>
      <w:r w:rsidR="00671F2C">
        <w:rPr>
          <w:rFonts w:eastAsia="DejaVuSans" w:cs="DejaVuSans"/>
        </w:rPr>
        <w:t>l</w:t>
      </w:r>
      <w:r w:rsidRPr="00EF062E">
        <w:rPr>
          <w:rFonts w:eastAsia="DejaVuSans" w:cs="DejaVuSans"/>
        </w:rPr>
        <w:t>a</w:t>
      </w:r>
      <w:r>
        <w:rPr>
          <w:rFonts w:eastAsia="DejaVuSans" w:cs="DejaVuSans"/>
        </w:rPr>
        <w:t xml:space="preserve"> </w:t>
      </w:r>
      <w:r w:rsidRPr="00EF062E">
        <w:rPr>
          <w:rFonts w:eastAsia="DejaVuSans" w:cs="DejaVuSans"/>
        </w:rPr>
        <w:t xml:space="preserve">funzione erettile </w:t>
      </w:r>
      <w:r>
        <w:rPr>
          <w:rFonts w:eastAsia="DejaVuSans" w:cs="DejaVuSans"/>
        </w:rPr>
        <w:t>c</w:t>
      </w:r>
      <w:r w:rsidRPr="00EF062E">
        <w:rPr>
          <w:rFonts w:eastAsia="DejaVuSans" w:cs="DejaVuSans"/>
        </w:rPr>
        <w:t>ompromessa mediante un aumento del flusso sanguigno al pene</w:t>
      </w:r>
      <w:r>
        <w:rPr>
          <w:rFonts w:eastAsia="DejaVuSans" w:cs="DejaVuSans"/>
        </w:rPr>
        <w:t>.</w:t>
      </w: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9B03DB" w:rsidRDefault="009B03DB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F062E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F062E">
        <w:rPr>
          <w:rFonts w:eastAsia="Calibri" w:cs="Calibri"/>
          <w:b/>
          <w:bCs/>
          <w:color w:val="000000"/>
          <w:lang w:eastAsia="it-IT"/>
        </w:rPr>
        <w:t>Prelud</w:t>
      </w:r>
      <w:proofErr w:type="spellEnd"/>
      <w:r w:rsidRPr="00EF062E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9B03DB">
        <w:rPr>
          <w:rFonts w:ascii="Calibri" w:hAnsi="Calibri" w:cs="Arial"/>
        </w:rPr>
        <w:t>Prelud</w:t>
      </w:r>
      <w:proofErr w:type="spellEnd"/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generico</w:t>
      </w:r>
      <w:r w:rsidRPr="004E389D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</w:t>
      </w:r>
      <w:r w:rsidR="00013020">
        <w:rPr>
          <w:rFonts w:ascii="Calibri" w:hAnsi="Calibri" w:cs="Arial"/>
        </w:rPr>
        <w:t>al</w:t>
      </w:r>
      <w:r>
        <w:rPr>
          <w:rFonts w:ascii="Calibri" w:hAnsi="Calibri" w:cs="Arial"/>
        </w:rPr>
        <w:t xml:space="preserve"> medicinal</w:t>
      </w:r>
      <w:r w:rsidR="00013020">
        <w:rPr>
          <w:rFonts w:ascii="Calibri" w:hAnsi="Calibri" w:cs="Arial"/>
        </w:rPr>
        <w:t xml:space="preserve">e </w:t>
      </w:r>
      <w:r>
        <w:rPr>
          <w:rFonts w:ascii="Calibri" w:hAnsi="Calibri" w:cs="Arial"/>
        </w:rPr>
        <w:t xml:space="preserve">di riferimento </w:t>
      </w:r>
      <w:r w:rsidR="009B03DB">
        <w:rPr>
          <w:rFonts w:ascii="Calibri" w:hAnsi="Calibri" w:cs="Arial"/>
        </w:rPr>
        <w:t>Viagra</w:t>
      </w:r>
      <w:r w:rsidR="00013020">
        <w:rPr>
          <w:rFonts w:ascii="Calibri" w:hAnsi="Calibri" w:cs="Arial"/>
        </w:rPr>
        <w:t xml:space="preserve">. Due medicinali sono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B03DB">
        <w:rPr>
          <w:rFonts w:eastAsia="Calibri" w:cs="Calibri"/>
          <w:b/>
          <w:bCs/>
          <w:color w:val="000000"/>
          <w:lang w:eastAsia="it-IT"/>
        </w:rPr>
        <w:t>Prelud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E83F8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Prelud</w:t>
      </w:r>
      <w:proofErr w:type="spellEnd"/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1E7936">
        <w:rPr>
          <w:rFonts w:eastAsia="Calibri" w:cs="Calibri"/>
          <w:lang w:eastAsia="it-IT"/>
        </w:rPr>
        <w:t>; pertanto,</w:t>
      </w:r>
      <w:r w:rsidR="001E7936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83F8D">
        <w:rPr>
          <w:rFonts w:eastAsia="Calibri" w:cs="Calibri"/>
          <w:b/>
          <w:bCs/>
          <w:color w:val="000000"/>
          <w:lang w:eastAsia="it-IT"/>
        </w:rPr>
        <w:t>Prelud</w:t>
      </w:r>
      <w:proofErr w:type="spellEnd"/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9B03DB">
        <w:rPr>
          <w:rFonts w:eastAsia="Calibri" w:cs="Calibri"/>
          <w:lang w:eastAsia="it-IT"/>
        </w:rPr>
        <w:t>7-9 aprile</w:t>
      </w:r>
      <w:r>
        <w:rPr>
          <w:rFonts w:eastAsia="Calibri" w:cs="Calibri"/>
          <w:lang w:eastAsia="it-IT"/>
        </w:rPr>
        <w:t xml:space="preserve"> 201</w:t>
      </w:r>
      <w:r w:rsidR="00D20170">
        <w:rPr>
          <w:rFonts w:eastAsia="Calibri" w:cs="Calibri"/>
          <w:lang w:eastAsia="it-IT"/>
        </w:rPr>
        <w:t>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 w:rsidR="00671F2C">
        <w:rPr>
          <w:rFonts w:eastAsia="Calibri" w:cs="Calibri"/>
          <w:lang w:eastAsia="it-IT"/>
        </w:rPr>
        <w:t xml:space="preserve"> di riferimento</w:t>
      </w:r>
      <w:r>
        <w:rPr>
          <w:rFonts w:eastAsia="Calibri" w:cs="Calibri"/>
          <w:lang w:eastAsia="it-IT"/>
        </w:rPr>
        <w:t xml:space="preserve"> </w:t>
      </w:r>
      <w:r w:rsidR="009B03DB">
        <w:rPr>
          <w:rFonts w:eastAsia="Calibri" w:cs="Calibri"/>
          <w:lang w:eastAsia="it-IT"/>
        </w:rPr>
        <w:t>Viagra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E83F8D">
        <w:rPr>
          <w:rFonts w:eastAsia="Calibri" w:cs="Calibri"/>
          <w:lang w:eastAsia="it-IT"/>
        </w:rPr>
        <w:t>Prelud</w:t>
      </w:r>
      <w:proofErr w:type="spellEnd"/>
      <w:r w:rsidR="009B03DB">
        <w:rPr>
          <w:rFonts w:eastAsia="Calibri" w:cs="Calibri"/>
          <w:lang w:eastAsia="it-IT"/>
        </w:rPr>
        <w:t xml:space="preserve"> </w:t>
      </w:r>
      <w:r w:rsidR="00FE16A1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671F2C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</w:t>
      </w:r>
      <w:r w:rsidR="00D20170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(C).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B03DB">
        <w:rPr>
          <w:rFonts w:eastAsia="Calibri" w:cs="Calibri"/>
          <w:b/>
          <w:bCs/>
          <w:color w:val="000000"/>
          <w:lang w:eastAsia="it-IT"/>
        </w:rPr>
        <w:t>Prelud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F05F0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9B03DB">
        <w:rPr>
          <w:rFonts w:eastAsia="Calibri" w:cs="Calibri"/>
          <w:lang w:eastAsia="it-IT"/>
        </w:rPr>
        <w:t>Prelud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B03DB">
        <w:rPr>
          <w:rFonts w:eastAsia="Calibri" w:cs="Calibri"/>
          <w:b/>
          <w:bCs/>
          <w:color w:val="000000"/>
          <w:lang w:eastAsia="it-IT"/>
        </w:rPr>
        <w:t>Prelud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D20170">
        <w:rPr>
          <w:rFonts w:eastAsia="Calibri" w:cs="Calibri"/>
          <w:bCs/>
          <w:iCs/>
          <w:lang w:eastAsia="it-IT"/>
        </w:rPr>
        <w:t>2 marzo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9B03DB">
        <w:rPr>
          <w:rFonts w:eastAsia="Calibri" w:cs="Calibri"/>
          <w:bCs/>
          <w:color w:val="000000"/>
          <w:lang w:eastAsia="it-IT"/>
        </w:rPr>
        <w:t>Prelud</w:t>
      </w:r>
      <w:proofErr w:type="spellEnd"/>
      <w:r w:rsidRPr="00CA3A1E">
        <w:rPr>
          <w:rFonts w:eastAsia="Calibri" w:cs="Calibri"/>
          <w:bCs/>
          <w:lang w:eastAsia="it-IT"/>
        </w:rPr>
        <w:t xml:space="preserve">. </w:t>
      </w:r>
    </w:p>
    <w:p w:rsidR="008B6934" w:rsidRDefault="008B693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B6934" w:rsidRDefault="008B6934" w:rsidP="008B693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9B03DB">
        <w:rPr>
          <w:rFonts w:eastAsia="Calibri" w:cs="Calibri"/>
          <w:bCs/>
          <w:color w:val="000000"/>
          <w:lang w:eastAsia="it-IT"/>
        </w:rPr>
        <w:t>Prelud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9B66CF">
        <w:rPr>
          <w:rFonts w:eastAsia="Calibri" w:cs="Calibri"/>
          <w:lang w:eastAsia="it-IT"/>
        </w:rPr>
        <w:t>(</w:t>
      </w:r>
      <w:hyperlink r:id="rId7" w:history="1">
        <w:r w:rsidR="009B66C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9B66CF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26128A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p w:rsidR="009A260F" w:rsidRDefault="009A260F"/>
    <w:p w:rsidR="008B6934" w:rsidRDefault="008B6934"/>
    <w:p w:rsidR="008B6934" w:rsidRDefault="008B6934"/>
    <w:p w:rsidR="008B6934" w:rsidRDefault="008B6934"/>
    <w:p w:rsidR="008B6934" w:rsidRDefault="008B6934"/>
    <w:p w:rsidR="008B6934" w:rsidRDefault="008B6934"/>
    <w:p w:rsidR="008B6934" w:rsidRDefault="008B6934" w:rsidP="008B6934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8B6934" w:rsidRDefault="008B6934" w:rsidP="008B6934">
      <w:pPr>
        <w:spacing w:after="0" w:line="240" w:lineRule="auto"/>
        <w:jc w:val="center"/>
        <w:rPr>
          <w:b/>
        </w:rPr>
      </w:pPr>
    </w:p>
    <w:p w:rsidR="008B6934" w:rsidRDefault="008B6934" w:rsidP="008B6934">
      <w:pPr>
        <w:spacing w:after="0" w:line="240" w:lineRule="auto"/>
        <w:jc w:val="center"/>
        <w:rPr>
          <w:b/>
        </w:rPr>
      </w:pPr>
    </w:p>
    <w:p w:rsidR="008B6934" w:rsidRDefault="008B6934" w:rsidP="008B6934">
      <w:pPr>
        <w:spacing w:after="0" w:line="240" w:lineRule="auto"/>
        <w:jc w:val="center"/>
        <w:rPr>
          <w:b/>
        </w:rPr>
      </w:pPr>
    </w:p>
    <w:p w:rsidR="008B6934" w:rsidRDefault="008B6934" w:rsidP="008B6934">
      <w:pPr>
        <w:spacing w:after="0" w:line="240" w:lineRule="auto"/>
        <w:jc w:val="center"/>
        <w:rPr>
          <w:b/>
        </w:rPr>
      </w:pPr>
    </w:p>
    <w:p w:rsidR="008B6934" w:rsidRDefault="008B6934" w:rsidP="008B6934">
      <w:pPr>
        <w:spacing w:after="0" w:line="240" w:lineRule="auto"/>
        <w:jc w:val="center"/>
        <w:rPr>
          <w:b/>
        </w:rPr>
      </w:pPr>
      <w:r>
        <w:rPr>
          <w:b/>
        </w:rPr>
        <w:t>INDICE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INTRODUZIONE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QUALITA’</w:t>
      </w:r>
    </w:p>
    <w:p w:rsidR="008B6934" w:rsidRDefault="008B6934" w:rsidP="008B6934">
      <w:pPr>
        <w:pStyle w:val="Paragrafoelenco"/>
        <w:rPr>
          <w:b/>
        </w:rPr>
      </w:pPr>
    </w:p>
    <w:p w:rsidR="008B6934" w:rsidRDefault="008B6934" w:rsidP="008B69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NON CLINICI</w:t>
      </w:r>
    </w:p>
    <w:p w:rsidR="008B6934" w:rsidRDefault="008B6934" w:rsidP="008B6934">
      <w:pPr>
        <w:pStyle w:val="Paragrafoelenco"/>
        <w:rPr>
          <w:b/>
        </w:rPr>
      </w:pPr>
    </w:p>
    <w:p w:rsidR="008B6934" w:rsidRDefault="008B6934" w:rsidP="008B69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ASPETTI CLINICI</w:t>
      </w:r>
    </w:p>
    <w:p w:rsidR="008B6934" w:rsidRDefault="008B6934" w:rsidP="008B6934">
      <w:pPr>
        <w:pStyle w:val="Paragrafoelenco"/>
        <w:rPr>
          <w:b/>
        </w:rPr>
      </w:pPr>
    </w:p>
    <w:p w:rsidR="008B6934" w:rsidRDefault="008B6934" w:rsidP="008B69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CONSULTAZIONE SUL FOGLIO ILLUSTRATIVO</w:t>
      </w:r>
    </w:p>
    <w:p w:rsidR="008B6934" w:rsidRDefault="008B6934" w:rsidP="008B6934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B6934" w:rsidRDefault="008B6934" w:rsidP="008B693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>CONCLUSIONI, VALUTAZIONE DEL RAPPORTO BENEFICIO/RISCHIO E RACCOMANDAZIONI</w:t>
      </w:r>
    </w:p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/>
    <w:p w:rsidR="008B6934" w:rsidRDefault="008B6934" w:rsidP="008B6934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>
        <w:rPr>
          <w:b/>
        </w:rPr>
        <w:lastRenderedPageBreak/>
        <w:t>INTRODUZIONE</w:t>
      </w:r>
    </w:p>
    <w:p w:rsidR="008B6934" w:rsidRDefault="008B6934" w:rsidP="008B6934">
      <w:pPr>
        <w:autoSpaceDE w:val="0"/>
        <w:autoSpaceDN w:val="0"/>
        <w:adjustRightInd w:val="0"/>
        <w:spacing w:after="0" w:line="240" w:lineRule="auto"/>
        <w:jc w:val="both"/>
      </w:pPr>
      <w:r w:rsidRPr="003726B7">
        <w:t xml:space="preserve">Sulla base dei dati di qualità, sicurezza ed efficacia, l’AIFA ha rilasciato a </w:t>
      </w:r>
      <w:proofErr w:type="spellStart"/>
      <w:r w:rsidRPr="008B6934">
        <w:t>A.G.I.P.S.</w:t>
      </w:r>
      <w:proofErr w:type="spellEnd"/>
      <w:r w:rsidRPr="008B6934">
        <w:t xml:space="preserve"> Farmaceutici</w:t>
      </w:r>
      <w:r>
        <w:rPr>
          <w:b/>
        </w:rPr>
        <w:t xml:space="preserve"> </w:t>
      </w:r>
      <w:r w:rsidRPr="003726B7">
        <w:t xml:space="preserve">l’autorizzazione all’immissione in commercio (AIC) per il medicinale </w:t>
      </w:r>
      <w:proofErr w:type="spellStart"/>
      <w:r>
        <w:t>Prelud</w:t>
      </w:r>
      <w:proofErr w:type="spellEnd"/>
      <w:r w:rsidRPr="003726B7">
        <w:t xml:space="preserve"> </w:t>
      </w:r>
      <w:r w:rsidRPr="003726B7">
        <w:rPr>
          <w:rFonts w:eastAsia="Calibri" w:cs="Calibri"/>
          <w:bCs/>
          <w:iCs/>
          <w:lang w:eastAsia="it-IT"/>
        </w:rPr>
        <w:t>il 2 marzo 2015</w:t>
      </w:r>
      <w:r w:rsidRPr="003726B7">
        <w:t xml:space="preserve">.  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Prelud</w:t>
      </w:r>
      <w:proofErr w:type="spellEnd"/>
      <w:r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  <w:r>
        <w:t xml:space="preserve">Questa procedura è stata presentata ai sensi dell’art. 10(1) della Direttiva 2001/83/EU </w:t>
      </w:r>
      <w:proofErr w:type="spellStart"/>
      <w:r>
        <w:t>s.m.i.</w:t>
      </w:r>
      <w:proofErr w:type="spellEnd"/>
    </w:p>
    <w:p w:rsidR="008B6934" w:rsidRDefault="008B6934" w:rsidP="008B6934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8B6934" w:rsidRDefault="008B6934" w:rsidP="008B6934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 xml:space="preserve">Prelud </w:t>
      </w:r>
      <w:r>
        <w:rPr>
          <w:rFonts w:eastAsia="Calibri" w:cs="Calibri"/>
          <w:color w:val="000000"/>
          <w:lang w:eastAsia="it-IT"/>
        </w:rPr>
        <w:t xml:space="preserve">è un medicinale generico contenente il principio attivo </w:t>
      </w: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(sotto forma di </w:t>
      </w: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citrato)  presente nel medicinale di riferimento Viagra, autorizzato in Italia da più di 10 anni.</w:t>
      </w:r>
    </w:p>
    <w:p w:rsidR="008B6934" w:rsidRDefault="008B6934" w:rsidP="008B6934">
      <w:pPr>
        <w:widowControl w:val="0"/>
        <w:spacing w:after="0" w:line="240" w:lineRule="auto"/>
        <w:jc w:val="both"/>
        <w:rPr>
          <w:highlight w:val="yellow"/>
        </w:rPr>
      </w:pPr>
    </w:p>
    <w:p w:rsidR="008B6934" w:rsidRPr="005262C8" w:rsidRDefault="008B6934" w:rsidP="008B6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Prelud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, </w:t>
      </w:r>
      <w:r>
        <w:rPr>
          <w:color w:val="000000"/>
        </w:rPr>
        <w:t>il cui c</w:t>
      </w:r>
      <w:r>
        <w:rPr>
          <w:iCs/>
        </w:rPr>
        <w:t>odice ATC è</w:t>
      </w:r>
      <w:r w:rsidRPr="005262C8">
        <w:rPr>
          <w:rFonts w:ascii="Calibri" w:eastAsia="Calibri" w:hAnsi="Calibri" w:cs="Times New Roman"/>
          <w:lang w:eastAsia="it-IT"/>
        </w:rPr>
        <w:t xml:space="preserve"> G04B E03</w:t>
      </w:r>
      <w:r>
        <w:rPr>
          <w:rFonts w:ascii="Calibri" w:eastAsia="Calibri" w:hAnsi="Calibri" w:cs="Times New Roman"/>
          <w:lang w:eastAsia="it-IT"/>
        </w:rPr>
        <w:t xml:space="preserve">, </w:t>
      </w:r>
      <w:r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sildenafil</w:t>
      </w:r>
      <w:proofErr w:type="spellEnd"/>
      <w:r>
        <w:rPr>
          <w:rFonts w:eastAsia="Calibri" w:cs="Calibri"/>
          <w:color w:val="000000"/>
          <w:lang w:eastAsia="it-IT"/>
        </w:rPr>
        <w:t xml:space="preserve"> citrato che, i</w:t>
      </w:r>
      <w:r w:rsidRPr="005262C8">
        <w:rPr>
          <w:lang w:eastAsia="it-IT"/>
        </w:rPr>
        <w:t xml:space="preserve">n condizioni normali, ovvero in presenza di una stimolazione sessuale, ripristina una funzione erettile compromessa mediante un aumento del flusso sanguigno al pene. </w:t>
      </w:r>
    </w:p>
    <w:p w:rsidR="008B6934" w:rsidRPr="005262C8" w:rsidRDefault="008B6934" w:rsidP="008B6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5262C8">
        <w:rPr>
          <w:lang w:eastAsia="it-IT"/>
        </w:rPr>
        <w:t xml:space="preserve">Il meccanismo fisiologico responsabile dell’erezione del pene implica il rilascio di ossido di azoto (NO) nel corpo cavernoso durante la stimolazione sessuale. L’ossido di azoto a sua volta attiva l’enzima </w:t>
      </w:r>
      <w:proofErr w:type="spellStart"/>
      <w:r w:rsidRPr="005262C8">
        <w:rPr>
          <w:lang w:eastAsia="it-IT"/>
        </w:rPr>
        <w:t>guanilato-ciclasi</w:t>
      </w:r>
      <w:proofErr w:type="spellEnd"/>
      <w:r w:rsidRPr="005262C8">
        <w:rPr>
          <w:lang w:eastAsia="it-IT"/>
        </w:rPr>
        <w:t xml:space="preserve"> che provoca un aumento dei livelli di </w:t>
      </w:r>
      <w:proofErr w:type="spellStart"/>
      <w:r w:rsidRPr="005262C8">
        <w:rPr>
          <w:lang w:eastAsia="it-IT"/>
        </w:rPr>
        <w:t>guanosin</w:t>
      </w:r>
      <w:proofErr w:type="spellEnd"/>
      <w:r w:rsidRPr="005262C8">
        <w:rPr>
          <w:lang w:eastAsia="it-IT"/>
        </w:rPr>
        <w:t xml:space="preserve"> </w:t>
      </w:r>
      <w:proofErr w:type="spellStart"/>
      <w:r w:rsidRPr="005262C8">
        <w:rPr>
          <w:lang w:eastAsia="it-IT"/>
        </w:rPr>
        <w:t>monofosfato</w:t>
      </w:r>
      <w:proofErr w:type="spellEnd"/>
      <w:r w:rsidRPr="005262C8">
        <w:rPr>
          <w:lang w:eastAsia="it-IT"/>
        </w:rPr>
        <w:t xml:space="preserve"> ciclico (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), producendo il rilassamento della muscolatura liscia nel corpo cavernoso e consentendo quindi l’afflusso di sangue. </w:t>
      </w:r>
    </w:p>
    <w:p w:rsidR="008B6934" w:rsidRDefault="008B6934" w:rsidP="008B69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eastAsia="it-IT"/>
        </w:rPr>
      </w:pPr>
      <w:r w:rsidRPr="005262C8">
        <w:rPr>
          <w:lang w:eastAsia="it-IT"/>
        </w:rPr>
        <w:t xml:space="preserve">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è un potente inibitore selettivo della </w:t>
      </w:r>
      <w:proofErr w:type="spellStart"/>
      <w:r w:rsidRPr="005262C8">
        <w:rPr>
          <w:lang w:eastAsia="it-IT"/>
        </w:rPr>
        <w:t>fosfodiesterasi</w:t>
      </w:r>
      <w:proofErr w:type="spellEnd"/>
      <w:r w:rsidRPr="005262C8">
        <w:rPr>
          <w:lang w:eastAsia="it-IT"/>
        </w:rPr>
        <w:t xml:space="preserve"> di tipo 5 </w:t>
      </w:r>
      <w:proofErr w:type="spellStart"/>
      <w:r w:rsidRPr="005262C8">
        <w:rPr>
          <w:lang w:eastAsia="it-IT"/>
        </w:rPr>
        <w:t>cGMP-specifica</w:t>
      </w:r>
      <w:proofErr w:type="spellEnd"/>
      <w:r w:rsidRPr="005262C8">
        <w:rPr>
          <w:lang w:eastAsia="it-IT"/>
        </w:rPr>
        <w:t xml:space="preserve"> (PDE5) nel corpo cavernoso, dove </w:t>
      </w:r>
      <w:smartTag w:uri="urn:schemas-microsoft-com:office:smarttags" w:element="PersonName">
        <w:smartTagPr>
          <w:attr w:name="ProductID" w:val="la PDE"/>
        </w:smartTagPr>
        <w:r w:rsidRPr="005262C8">
          <w:rPr>
            <w:lang w:eastAsia="it-IT"/>
          </w:rPr>
          <w:t>la PDE</w:t>
        </w:r>
      </w:smartTag>
      <w:r w:rsidRPr="005262C8">
        <w:rPr>
          <w:lang w:eastAsia="it-IT"/>
        </w:rPr>
        <w:t xml:space="preserve">5 è responsabile della degradazione di 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. 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agisce </w:t>
      </w:r>
      <w:proofErr w:type="spellStart"/>
      <w:r w:rsidRPr="005262C8">
        <w:rPr>
          <w:lang w:eastAsia="it-IT"/>
        </w:rPr>
        <w:t>perifericamente</w:t>
      </w:r>
      <w:proofErr w:type="spellEnd"/>
      <w:r w:rsidRPr="005262C8">
        <w:rPr>
          <w:lang w:eastAsia="it-IT"/>
        </w:rPr>
        <w:t xml:space="preserve"> sulle erezioni. 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non ha un effetto rilassante diretto sul corpo cavernoso isolato dall’uomo, ma aumenta in modo efficace l'effetto rilassante dell'ossido di azoto (NO) su questo tessuto. Quando la via NO/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 viene attivata, come avviene con la stimolazione sessuale, l’inibizione della PDE5 da parte del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provoca un aumento dei livelli di </w:t>
      </w:r>
      <w:proofErr w:type="spellStart"/>
      <w:r w:rsidRPr="005262C8">
        <w:rPr>
          <w:lang w:eastAsia="it-IT"/>
        </w:rPr>
        <w:t>cGMP</w:t>
      </w:r>
      <w:proofErr w:type="spellEnd"/>
      <w:r w:rsidRPr="005262C8">
        <w:rPr>
          <w:lang w:eastAsia="it-IT"/>
        </w:rPr>
        <w:t xml:space="preserve"> nel corpo cavernoso. Pertanto è necessaria la stimolazione sessuale affinché il </w:t>
      </w:r>
      <w:proofErr w:type="spellStart"/>
      <w:r w:rsidRPr="005262C8">
        <w:rPr>
          <w:lang w:eastAsia="it-IT"/>
        </w:rPr>
        <w:t>sildenafil</w:t>
      </w:r>
      <w:proofErr w:type="spellEnd"/>
      <w:r w:rsidRPr="005262C8">
        <w:rPr>
          <w:lang w:eastAsia="it-IT"/>
        </w:rPr>
        <w:t xml:space="preserve"> possa produrre i suoi benefici effetti farmacologici previsti.</w:t>
      </w:r>
    </w:p>
    <w:p w:rsidR="008B6934" w:rsidRDefault="008B6934" w:rsidP="008B693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8B6934" w:rsidRDefault="008B6934" w:rsidP="008B6934">
      <w:pPr>
        <w:widowControl w:val="0"/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lang w:eastAsia="it-IT"/>
        </w:rPr>
        <w:t>Prelud</w:t>
      </w:r>
      <w:proofErr w:type="spellEnd"/>
      <w:r>
        <w:rPr>
          <w:lang w:eastAsia="it-IT"/>
        </w:rPr>
        <w:t xml:space="preserve"> è utilizzato per il t</w:t>
      </w:r>
      <w:r w:rsidRPr="005262C8">
        <w:rPr>
          <w:lang w:eastAsia="it-IT"/>
        </w:rPr>
        <w:t xml:space="preserve">rattamento di soggetti con disfunzione erettile, ovvero dell’incapacità a raggiungere o a mantenere un’erezione idonea per una attività sessuale soddisfacente.  È necessaria la stimolazione sessuale affinché </w:t>
      </w:r>
      <w:proofErr w:type="spellStart"/>
      <w:r>
        <w:rPr>
          <w:lang w:eastAsia="it-IT"/>
        </w:rPr>
        <w:t>Prelud</w:t>
      </w:r>
      <w:proofErr w:type="spellEnd"/>
      <w:r w:rsidRPr="005262C8">
        <w:rPr>
          <w:lang w:eastAsia="it-IT"/>
        </w:rPr>
        <w:t xml:space="preserve"> possa essere efficace</w:t>
      </w:r>
      <w:r>
        <w:rPr>
          <w:lang w:eastAsia="it-IT"/>
        </w:rPr>
        <w:t>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  <w:r w:rsidRPr="0002468C">
        <w:t xml:space="preserve">Poiché </w:t>
      </w:r>
      <w:proofErr w:type="spellStart"/>
      <w:r>
        <w:t>Prelud</w:t>
      </w:r>
      <w:proofErr w:type="spellEnd"/>
      <w:r w:rsidRPr="0002468C">
        <w:t xml:space="preserve"> contiene </w:t>
      </w:r>
      <w:r>
        <w:t xml:space="preserve">un </w:t>
      </w:r>
      <w:r w:rsidRPr="0002468C">
        <w:t>principi</w:t>
      </w:r>
      <w:r>
        <w:t>o</w:t>
      </w:r>
      <w:r w:rsidRPr="0002468C">
        <w:t xml:space="preserve"> attiv</w:t>
      </w:r>
      <w:r>
        <w:t>o</w:t>
      </w:r>
      <w:r w:rsidRPr="0002468C">
        <w:t xml:space="preserve"> not</w:t>
      </w:r>
      <w:r>
        <w:t>o</w:t>
      </w:r>
      <w:r w:rsidRPr="0002468C">
        <w:t xml:space="preserve"> non sono stati forniti nuovi dati non clinici e clinici: questo approccio è accettabile poiché il medicinale di riferimento </w:t>
      </w:r>
      <w:r>
        <w:t xml:space="preserve">Viagra </w:t>
      </w:r>
      <w:r w:rsidRPr="0002468C">
        <w:t>è autorizzato in Italia da oltre 10 anni.</w:t>
      </w:r>
    </w:p>
    <w:p w:rsidR="008B6934" w:rsidRPr="0002468C" w:rsidRDefault="008B6934" w:rsidP="008B6934">
      <w:pPr>
        <w:spacing w:after="0" w:line="240" w:lineRule="auto"/>
        <w:jc w:val="both"/>
      </w:pPr>
      <w:r w:rsidRPr="0002468C">
        <w:t xml:space="preserve">La richiesta di AIC è supportata da uno studio di bioequivalenza che ha confrontato i profili farmacocinetici del medicinale test </w:t>
      </w:r>
      <w:proofErr w:type="spellStart"/>
      <w:r>
        <w:t>Prelud</w:t>
      </w:r>
      <w:proofErr w:type="spellEnd"/>
      <w:r w:rsidRPr="0002468C">
        <w:t xml:space="preserve"> e quelli del medicinale di riferimento </w:t>
      </w:r>
      <w:r>
        <w:t>Viagra</w:t>
      </w:r>
      <w:r w:rsidRPr="0002468C">
        <w:t>.</w:t>
      </w:r>
    </w:p>
    <w:p w:rsidR="008B6934" w:rsidRPr="00900C91" w:rsidRDefault="008B6934" w:rsidP="008B6934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8B6934" w:rsidRDefault="008B6934" w:rsidP="008B6934">
      <w:pPr>
        <w:spacing w:after="0" w:line="240" w:lineRule="auto"/>
        <w:jc w:val="both"/>
      </w:pPr>
    </w:p>
    <w:p w:rsidR="00912D4F" w:rsidRDefault="008B6934" w:rsidP="00912D4F">
      <w:pPr>
        <w:spacing w:after="0" w:line="240" w:lineRule="auto"/>
        <w:jc w:val="both"/>
      </w:pPr>
      <w:r>
        <w:t>Le officine coinvolte nella produzione sono conformi alle linee guida di Buona Pratica di Fabbricazione (</w:t>
      </w:r>
      <w:proofErr w:type="spellStart"/>
      <w:r>
        <w:rPr>
          <w:i/>
        </w:rPr>
        <w:t>Good</w:t>
      </w:r>
      <w:proofErr w:type="spellEnd"/>
      <w:r>
        <w:rPr>
          <w:i/>
        </w:rPr>
        <w:t xml:space="preserve"> Manufacturing </w:t>
      </w:r>
      <w:proofErr w:type="spellStart"/>
      <w:r>
        <w:rPr>
          <w:i/>
        </w:rPr>
        <w:t>Practice</w:t>
      </w:r>
      <w:proofErr w:type="spellEnd"/>
      <w:r>
        <w:t xml:space="preserve"> - GMP). </w:t>
      </w:r>
      <w:r w:rsidR="00912D4F">
        <w:t xml:space="preserve">Le autorità </w:t>
      </w:r>
      <w:r w:rsidR="00A90E37">
        <w:t>regolatorie</w:t>
      </w:r>
      <w:r w:rsidR="00912D4F">
        <w:t xml:space="preserve"> europee competenti hanno rilasciato i certificati GMP per i siti di produzione.</w:t>
      </w:r>
    </w:p>
    <w:p w:rsidR="008B6934" w:rsidRDefault="008B6934" w:rsidP="008B6934">
      <w:pPr>
        <w:spacing w:after="0" w:line="240" w:lineRule="auto"/>
        <w:jc w:val="both"/>
        <w:rPr>
          <w:highlight w:val="yellow"/>
        </w:rPr>
      </w:pPr>
    </w:p>
    <w:p w:rsidR="008B6934" w:rsidRDefault="008B6934" w:rsidP="008B6934">
      <w:pPr>
        <w:spacing w:after="0" w:line="240" w:lineRule="auto"/>
        <w:jc w:val="both"/>
      </w:pPr>
      <w:r>
        <w:t>Il sistema di Farmacovigilanza descritto dal titolare dell’AIC è conforme ai requisiti previsti dalla normativa corrente. E’ stato presentato un Piano di gestione del rischio (</w:t>
      </w:r>
      <w:proofErr w:type="spellStart"/>
      <w:r>
        <w:rPr>
          <w:i/>
        </w:rPr>
        <w:t>Risk</w:t>
      </w:r>
      <w:proofErr w:type="spellEnd"/>
      <w:r>
        <w:rPr>
          <w:i/>
        </w:rPr>
        <w:t xml:space="preserve"> Management </w:t>
      </w:r>
      <w:proofErr w:type="spellStart"/>
      <w:r>
        <w:rPr>
          <w:i/>
        </w:rPr>
        <w:t>Plan</w:t>
      </w:r>
      <w:proofErr w:type="spellEnd"/>
      <w:r>
        <w:t xml:space="preserve"> – RMP) accettabile.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  <w:r>
        <w:t xml:space="preserve">Il titolare di AIC ha presentato una adeguata giustificazione relativa alla non presentazione della Valutazione del Rischio ambientale; questo approccio è accettabile in quanto </w:t>
      </w:r>
      <w:proofErr w:type="spellStart"/>
      <w:r>
        <w:t>Prelud</w:t>
      </w:r>
      <w:proofErr w:type="spellEnd"/>
      <w:r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</w:p>
    <w:p w:rsidR="008B6934" w:rsidRPr="003601F7" w:rsidRDefault="008B6934" w:rsidP="008B693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3601F7">
        <w:rPr>
          <w:b/>
        </w:rPr>
        <w:lastRenderedPageBreak/>
        <w:t xml:space="preserve">ASPETTI </w:t>
      </w:r>
      <w:proofErr w:type="spellStart"/>
      <w:r w:rsidRPr="003601F7">
        <w:rPr>
          <w:b/>
        </w:rPr>
        <w:t>DI</w:t>
      </w:r>
      <w:proofErr w:type="spellEnd"/>
      <w:r w:rsidRPr="003601F7">
        <w:rPr>
          <w:b/>
        </w:rPr>
        <w:t xml:space="preserve"> QUALITA’</w:t>
      </w:r>
    </w:p>
    <w:p w:rsidR="008B6934" w:rsidRPr="003601F7" w:rsidRDefault="008B6934" w:rsidP="008B6934">
      <w:pPr>
        <w:spacing w:after="0" w:line="240" w:lineRule="auto"/>
        <w:jc w:val="both"/>
      </w:pPr>
      <w:r w:rsidRPr="003601F7">
        <w:rPr>
          <w:b/>
        </w:rPr>
        <w:t>II.1 PRINCIPIO ATTIVO SILDENAFIL CITRATO</w:t>
      </w:r>
    </w:p>
    <w:p w:rsidR="008B6934" w:rsidRPr="003601F7" w:rsidRDefault="008B6934" w:rsidP="008B6934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3601F7">
        <w:rPr>
          <w:u w:val="single"/>
        </w:rPr>
        <w:t>Nome chimico:</w:t>
      </w:r>
      <w:r w:rsidRPr="003601F7">
        <w:t xml:space="preserve">  </w:t>
      </w:r>
      <w:r w:rsidRPr="003601F7">
        <w:rPr>
          <w:rFonts w:cs="Arial"/>
        </w:rPr>
        <w:t>5-[2-Ethoxy-5-[(4-methylpiperazin-1-yl)sulfonyl]phenyl]-1-methyl-3-propyl-1,6-dihydro-7</w:t>
      </w:r>
      <w:r w:rsidRPr="003601F7">
        <w:rPr>
          <w:rFonts w:cs="Arial"/>
          <w:i/>
          <w:iCs/>
        </w:rPr>
        <w:t>H</w:t>
      </w:r>
      <w:r w:rsidRPr="003601F7">
        <w:rPr>
          <w:rFonts w:cs="Arial"/>
        </w:rPr>
        <w:t>-pyrazolo[4,3-</w:t>
      </w:r>
      <w:r w:rsidRPr="003601F7">
        <w:rPr>
          <w:rFonts w:cs="Arial"/>
          <w:i/>
          <w:iCs/>
        </w:rPr>
        <w:t>d</w:t>
      </w:r>
      <w:r w:rsidRPr="003601F7">
        <w:rPr>
          <w:rFonts w:cs="Arial"/>
        </w:rPr>
        <w:t xml:space="preserve">]pyrimidin-7-one </w:t>
      </w:r>
      <w:proofErr w:type="spellStart"/>
      <w:r w:rsidRPr="003601F7">
        <w:rPr>
          <w:rFonts w:cs="Arial"/>
        </w:rPr>
        <w:t>dihydrogen</w:t>
      </w:r>
      <w:proofErr w:type="spellEnd"/>
      <w:r w:rsidRPr="003601F7">
        <w:rPr>
          <w:rFonts w:cs="Arial"/>
        </w:rPr>
        <w:t xml:space="preserve"> 2-hydroxypropane-1,2,3-tricarboxylate.</w:t>
      </w:r>
    </w:p>
    <w:p w:rsidR="008B6934" w:rsidRPr="003601F7" w:rsidRDefault="008B6934" w:rsidP="008B6934">
      <w:pPr>
        <w:spacing w:after="0" w:line="240" w:lineRule="auto"/>
        <w:jc w:val="both"/>
      </w:pPr>
      <w:r w:rsidRPr="003601F7">
        <w:rPr>
          <w:u w:val="single"/>
        </w:rPr>
        <w:t>Struttura</w:t>
      </w:r>
      <w:r w:rsidRPr="003601F7">
        <w:t>:</w:t>
      </w:r>
    </w:p>
    <w:p w:rsidR="008B6934" w:rsidRPr="003601F7" w:rsidRDefault="008B6934" w:rsidP="008B6934">
      <w:pPr>
        <w:spacing w:after="0" w:line="240" w:lineRule="auto"/>
        <w:jc w:val="center"/>
        <w:rPr>
          <w:rFonts w:eastAsia="Times New Roman" w:cs="Times New Roman"/>
          <w:sz w:val="24"/>
          <w:szCs w:val="24"/>
          <w:lang w:eastAsia="it-IT"/>
        </w:rPr>
      </w:pPr>
      <w:bookmarkStart w:id="2" w:name="a1325400080"/>
      <w:bookmarkEnd w:id="2"/>
      <w:r w:rsidRPr="003601F7">
        <w:rPr>
          <w:rFonts w:eastAsia="Times New Roman" w:cs="Arial"/>
          <w:noProof/>
          <w:sz w:val="20"/>
          <w:szCs w:val="20"/>
          <w:lang w:eastAsia="it-IT"/>
        </w:rPr>
        <w:drawing>
          <wp:inline distT="0" distB="0" distL="0" distR="0">
            <wp:extent cx="2088046" cy="667393"/>
            <wp:effectExtent l="19050" t="0" r="7454" b="0"/>
            <wp:docPr id="2" name="Immagine 1" descr="P:\_dp\804\XML-IN\Images\CF2270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270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0148" cy="668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934" w:rsidRPr="003601F7" w:rsidRDefault="008B6934" w:rsidP="008B6934">
      <w:pPr>
        <w:spacing w:after="0" w:line="240" w:lineRule="auto"/>
        <w:jc w:val="both"/>
      </w:pPr>
      <w:r w:rsidRPr="003601F7">
        <w:rPr>
          <w:u w:val="single"/>
        </w:rPr>
        <w:t>Formula molecolare</w:t>
      </w:r>
      <w:r w:rsidRPr="003601F7">
        <w:t>:</w:t>
      </w:r>
      <w:r w:rsidRPr="003601F7">
        <w:rPr>
          <w:rStyle w:val="s1"/>
          <w:rFonts w:asciiTheme="minorHAnsi" w:hAnsiTheme="minorHAnsi"/>
        </w:rPr>
        <w:t xml:space="preserve"> </w:t>
      </w:r>
    </w:p>
    <w:p w:rsidR="008B6934" w:rsidRPr="003601F7" w:rsidRDefault="008B6934" w:rsidP="008B6934">
      <w:pPr>
        <w:spacing w:after="0" w:line="240" w:lineRule="auto"/>
        <w:jc w:val="both"/>
      </w:pPr>
      <w:r w:rsidRPr="003601F7">
        <w:rPr>
          <w:u w:val="single"/>
        </w:rPr>
        <w:t>Peso molecolare</w:t>
      </w:r>
      <w:r w:rsidRPr="003601F7">
        <w:t>:</w:t>
      </w:r>
      <w:r w:rsidRPr="003601F7">
        <w:rPr>
          <w:rFonts w:cs="Arial"/>
          <w:color w:val="252525"/>
          <w:shd w:val="clear" w:color="auto" w:fill="F9F9F9"/>
        </w:rPr>
        <w:t xml:space="preserve"> </w:t>
      </w:r>
      <w:r w:rsidRPr="003601F7">
        <w:rPr>
          <w:rStyle w:val="s1"/>
          <w:rFonts w:asciiTheme="minorHAnsi" w:hAnsiTheme="minorHAnsi"/>
        </w:rPr>
        <w:t>666.71</w:t>
      </w:r>
      <w:r>
        <w:rPr>
          <w:rStyle w:val="s1"/>
          <w:rFonts w:asciiTheme="minorHAnsi" w:hAnsiTheme="minorHAnsi"/>
        </w:rPr>
        <w:t xml:space="preserve"> </w:t>
      </w:r>
      <w:r w:rsidRPr="003601F7">
        <w:rPr>
          <w:rStyle w:val="s1"/>
          <w:rFonts w:asciiTheme="minorHAnsi" w:hAnsiTheme="minorHAnsi"/>
        </w:rPr>
        <w:t>g/mol</w:t>
      </w:r>
    </w:p>
    <w:p w:rsidR="008B6934" w:rsidRPr="003601F7" w:rsidRDefault="008B6934" w:rsidP="008B6934">
      <w:pPr>
        <w:spacing w:after="0" w:line="240" w:lineRule="auto"/>
        <w:jc w:val="both"/>
      </w:pPr>
      <w:r w:rsidRPr="003601F7">
        <w:rPr>
          <w:u w:val="single"/>
        </w:rPr>
        <w:t>CAS</w:t>
      </w:r>
      <w:r w:rsidRPr="003601F7">
        <w:t xml:space="preserve">: </w:t>
      </w:r>
      <w:r w:rsidRPr="003601F7">
        <w:rPr>
          <w:rStyle w:val="s1"/>
          <w:rFonts w:asciiTheme="minorHAnsi" w:hAnsiTheme="minorHAnsi"/>
        </w:rPr>
        <w:t>[145040-37-5]</w:t>
      </w:r>
    </w:p>
    <w:p w:rsidR="008B6934" w:rsidRPr="003601F7" w:rsidRDefault="008B6934" w:rsidP="008B6934">
      <w:pPr>
        <w:spacing w:after="0" w:line="240" w:lineRule="auto"/>
        <w:jc w:val="both"/>
      </w:pPr>
      <w:r w:rsidRPr="003601F7">
        <w:rPr>
          <w:u w:val="single"/>
        </w:rPr>
        <w:t>Aspetto</w:t>
      </w:r>
      <w:r w:rsidRPr="003601F7">
        <w:t>: polvere  cristallina bianca o quasi bianca, leggermente igroscopica</w:t>
      </w:r>
      <w:r>
        <w:t>.</w:t>
      </w:r>
    </w:p>
    <w:p w:rsidR="008B6934" w:rsidRPr="003601F7" w:rsidRDefault="008B6934" w:rsidP="008B6934">
      <w:pPr>
        <w:spacing w:after="0" w:line="240" w:lineRule="auto"/>
        <w:jc w:val="both"/>
        <w:rPr>
          <w:highlight w:val="yellow"/>
        </w:rPr>
      </w:pPr>
      <w:r w:rsidRPr="003601F7">
        <w:rPr>
          <w:u w:val="single"/>
        </w:rPr>
        <w:t>Solubilità</w:t>
      </w:r>
      <w:r w:rsidRPr="003601F7">
        <w:t>: leggermente solubile  in acqua e metanolo, praticamente insolubile in esano</w:t>
      </w:r>
      <w:r>
        <w:t>.</w:t>
      </w:r>
      <w:r w:rsidRPr="003601F7">
        <w:t xml:space="preserve"> </w:t>
      </w:r>
    </w:p>
    <w:p w:rsidR="008B6934" w:rsidRPr="003601F7" w:rsidRDefault="008B6934" w:rsidP="008B6934">
      <w:pPr>
        <w:spacing w:after="0" w:line="240" w:lineRule="auto"/>
        <w:jc w:val="both"/>
      </w:pPr>
      <w:r w:rsidRPr="003601F7">
        <w:rPr>
          <w:u w:val="single"/>
        </w:rPr>
        <w:t>Polimorfismo</w:t>
      </w:r>
      <w:r w:rsidRPr="003601F7">
        <w:t xml:space="preserve">: </w:t>
      </w:r>
      <w:proofErr w:type="spellStart"/>
      <w:r w:rsidRPr="003601F7">
        <w:rPr>
          <w:lang w:eastAsia="it-IT"/>
        </w:rPr>
        <w:t>sildenafil</w:t>
      </w:r>
      <w:proofErr w:type="spellEnd"/>
      <w:r w:rsidRPr="003601F7">
        <w:rPr>
          <w:lang w:eastAsia="it-IT"/>
        </w:rPr>
        <w:t xml:space="preserve"> citrato  mostra polimorfismo</w:t>
      </w:r>
      <w:r w:rsidRPr="003601F7">
        <w:t>.</w:t>
      </w:r>
    </w:p>
    <w:p w:rsidR="008B6934" w:rsidRPr="003601F7" w:rsidRDefault="008B6934" w:rsidP="008B6934">
      <w:pPr>
        <w:spacing w:after="0" w:line="240" w:lineRule="auto"/>
        <w:jc w:val="both"/>
        <w:rPr>
          <w:highlight w:val="yellow"/>
        </w:rPr>
      </w:pPr>
    </w:p>
    <w:p w:rsidR="008B6934" w:rsidRPr="003601F7" w:rsidRDefault="008B6934" w:rsidP="008B6934">
      <w:pPr>
        <w:spacing w:after="0" w:line="240" w:lineRule="auto"/>
        <w:jc w:val="both"/>
      </w:pPr>
      <w:r w:rsidRPr="007469AE">
        <w:t xml:space="preserve">Il principio attivo </w:t>
      </w:r>
      <w:proofErr w:type="spellStart"/>
      <w:r w:rsidRPr="007469AE">
        <w:t>sildenafil</w:t>
      </w:r>
      <w:proofErr w:type="spellEnd"/>
      <w:r w:rsidRPr="007469AE">
        <w:t xml:space="preserve"> citrato è presente in Farmacopea Europea; entrambi i produttori proposti hanno presentato un ASMF.</w:t>
      </w:r>
      <w:r w:rsidRPr="003601F7">
        <w:t xml:space="preserve"> </w:t>
      </w:r>
    </w:p>
    <w:p w:rsidR="008B6934" w:rsidRDefault="008B6934" w:rsidP="008B6934">
      <w:pPr>
        <w:spacing w:after="0" w:line="240" w:lineRule="auto"/>
        <w:jc w:val="both"/>
      </w:pPr>
      <w:r>
        <w:t>La sintesi del principio attivo è stata adeguatamente descritta a partire da  idonei materiali di partenza; sono utilizzati appropriati controlli di processo e degli intermedi di sintesi.</w:t>
      </w:r>
    </w:p>
    <w:p w:rsidR="008B6934" w:rsidRDefault="008B6934" w:rsidP="008B6934">
      <w:pPr>
        <w:spacing w:after="0" w:line="240" w:lineRule="auto"/>
        <w:jc w:val="both"/>
      </w:pPr>
      <w:r>
        <w:t>I materiali e i reagenti utilizzati nella sintesi sono di qualità adeguata.</w:t>
      </w:r>
    </w:p>
    <w:p w:rsidR="008B6934" w:rsidRDefault="008B6934" w:rsidP="008B6934">
      <w:pPr>
        <w:spacing w:after="0" w:line="240" w:lineRule="auto"/>
        <w:jc w:val="both"/>
      </w:pPr>
      <w:r>
        <w:t>I materiali, gli intermedi, i reagenti utilizzati nella sintesi non sono di origine umana, biologica o geneticamente modificata. Sono state fornite prove adeguate della struttura isolata nonché della stabilità della forma polimorfica utilizzata. Tutte le potenziali impurezze note sono state identificate e caratterizzate</w:t>
      </w:r>
    </w:p>
    <w:p w:rsidR="008B6934" w:rsidRDefault="008B6934" w:rsidP="008B6934">
      <w:pPr>
        <w:spacing w:after="0" w:line="240" w:lineRule="auto"/>
        <w:jc w:val="both"/>
      </w:pPr>
      <w:r>
        <w:t>Le specifiche del principio attivo sono appropriate e controllati con metodi analitici adeguatamente convalidati. Sono stati forniti certificati analitici che confermano la qualità del principio attivo.</w:t>
      </w:r>
    </w:p>
    <w:p w:rsidR="008B6934" w:rsidRPr="007469AE" w:rsidRDefault="008B6934" w:rsidP="008B6934">
      <w:pPr>
        <w:spacing w:after="0" w:line="240" w:lineRule="auto"/>
        <w:jc w:val="both"/>
      </w:pPr>
      <w:r w:rsidRPr="00C97A20">
        <w:t xml:space="preserve">Il principio attivo è confezionato in un adeguato contenitore, per il quale sono stati forniti specifiche e </w:t>
      </w:r>
      <w:r w:rsidRPr="007469AE">
        <w:t>certificati analitici. Il confezionamento primario è una busta di polietilene trasparente posta all’interno di un fustino.</w:t>
      </w:r>
    </w:p>
    <w:p w:rsidR="008B6934" w:rsidRDefault="008B6934" w:rsidP="008B6934">
      <w:pPr>
        <w:spacing w:after="0" w:line="240" w:lineRule="auto"/>
        <w:jc w:val="both"/>
      </w:pPr>
      <w:r w:rsidRPr="007469AE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7469AE">
        <w:t>retest</w:t>
      </w:r>
      <w:proofErr w:type="spellEnd"/>
      <w:r w:rsidRPr="007469AE">
        <w:t xml:space="preserve"> di 3 anni per un produttore e di 5 anni per il secondo</w:t>
      </w:r>
      <w:r>
        <w:t xml:space="preserve">.  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  <w:rPr>
          <w:b/>
        </w:rPr>
      </w:pPr>
      <w:r>
        <w:rPr>
          <w:b/>
        </w:rPr>
        <w:t>II.2 PRODOTTO FINITO</w:t>
      </w:r>
    </w:p>
    <w:p w:rsidR="008B6934" w:rsidRDefault="008B6934" w:rsidP="008B6934">
      <w:pPr>
        <w:spacing w:after="0" w:line="240" w:lineRule="auto"/>
        <w:jc w:val="both"/>
        <w:rPr>
          <w:b/>
        </w:rPr>
      </w:pPr>
      <w:r>
        <w:rPr>
          <w:b/>
        </w:rPr>
        <w:t>Descrizione e composizione</w:t>
      </w:r>
    </w:p>
    <w:p w:rsidR="008B6934" w:rsidRDefault="008B6934" w:rsidP="008B6934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Prelud</w:t>
      </w:r>
      <w:proofErr w:type="spellEnd"/>
      <w:r>
        <w:rPr>
          <w:rFonts w:eastAsia="Calibri" w:cs="Calibri"/>
          <w:color w:val="000000"/>
          <w:lang w:eastAsia="it-IT"/>
        </w:rPr>
        <w:t xml:space="preserve"> è disponibile in compresse rivestite contenenti diversi dosaggi del principio attivo:</w:t>
      </w:r>
      <w:r>
        <w:t xml:space="preserve"> </w:t>
      </w:r>
      <w:r>
        <w:rPr>
          <w:rFonts w:cs="Helvetica"/>
        </w:rPr>
        <w:t>25 mg, 50 mg e 100 mg.</w:t>
      </w:r>
    </w:p>
    <w:p w:rsidR="008B6934" w:rsidRPr="00AF431F" w:rsidRDefault="008B6934" w:rsidP="008B6934">
      <w:pPr>
        <w:spacing w:after="0" w:line="240" w:lineRule="auto"/>
        <w:jc w:val="both"/>
        <w:rPr>
          <w:lang w:eastAsia="it-IT"/>
        </w:rPr>
      </w:pPr>
      <w:r>
        <w:t>Gli eccipienti sono</w:t>
      </w:r>
      <w:r w:rsidRPr="007469AE">
        <w:t xml:space="preserve">: </w:t>
      </w:r>
      <w:proofErr w:type="spellStart"/>
      <w:r>
        <w:rPr>
          <w:lang w:eastAsia="it-IT"/>
        </w:rPr>
        <w:t>c</w:t>
      </w:r>
      <w:r w:rsidRPr="007469AE">
        <w:rPr>
          <w:lang w:eastAsia="it-IT"/>
        </w:rPr>
        <w:t>roscarmellosa</w:t>
      </w:r>
      <w:proofErr w:type="spellEnd"/>
      <w:r w:rsidRPr="007469AE">
        <w:rPr>
          <w:lang w:eastAsia="it-IT"/>
        </w:rPr>
        <w:t xml:space="preserve"> </w:t>
      </w:r>
      <w:r>
        <w:rPr>
          <w:lang w:eastAsia="it-IT"/>
        </w:rPr>
        <w:t>s</w:t>
      </w:r>
      <w:r w:rsidRPr="007469AE">
        <w:rPr>
          <w:lang w:eastAsia="it-IT"/>
        </w:rPr>
        <w:t>odica, calcio idrogeno fosfato anidro, cellulosa microcristallina,</w:t>
      </w:r>
      <w:r>
        <w:rPr>
          <w:lang w:eastAsia="it-IT"/>
        </w:rPr>
        <w:t xml:space="preserve"> magnesio stearato</w:t>
      </w:r>
      <w:r>
        <w:rPr>
          <w:rFonts w:ascii="Calibri" w:eastAsia="Times New Roman" w:hAnsi="Calibri" w:cs="Times New Roman"/>
          <w:lang w:eastAsia="it-IT"/>
        </w:rPr>
        <w:t>, l</w:t>
      </w:r>
      <w:r w:rsidRPr="00AF431F">
        <w:rPr>
          <w:lang w:eastAsia="it-IT"/>
        </w:rPr>
        <w:t>attosio monoidrato</w:t>
      </w:r>
      <w:r>
        <w:rPr>
          <w:lang w:eastAsia="it-IT"/>
        </w:rPr>
        <w:t xml:space="preserve">, </w:t>
      </w:r>
      <w:proofErr w:type="spellStart"/>
      <w:r w:rsidRPr="00AF431F">
        <w:rPr>
          <w:lang w:eastAsia="it-IT"/>
        </w:rPr>
        <w:t>ipromellosa</w:t>
      </w:r>
      <w:proofErr w:type="spellEnd"/>
      <w:r>
        <w:rPr>
          <w:lang w:eastAsia="it-IT"/>
        </w:rPr>
        <w:t xml:space="preserve">, </w:t>
      </w:r>
      <w:proofErr w:type="spellStart"/>
      <w:r w:rsidRPr="00AF431F">
        <w:rPr>
          <w:lang w:eastAsia="it-IT"/>
        </w:rPr>
        <w:t>triacetina</w:t>
      </w:r>
      <w:proofErr w:type="spellEnd"/>
      <w:r>
        <w:rPr>
          <w:lang w:eastAsia="it-IT"/>
        </w:rPr>
        <w:t xml:space="preserve">, </w:t>
      </w:r>
      <w:r w:rsidRPr="00AF431F">
        <w:rPr>
          <w:lang w:eastAsia="it-IT"/>
        </w:rPr>
        <w:t xml:space="preserve">titanio diossido </w:t>
      </w:r>
      <w:r>
        <w:rPr>
          <w:lang w:eastAsia="it-IT"/>
        </w:rPr>
        <w:t>(E171).</w:t>
      </w:r>
    </w:p>
    <w:p w:rsidR="008B6934" w:rsidRDefault="008B6934" w:rsidP="008B6934">
      <w:pPr>
        <w:spacing w:after="0" w:line="240" w:lineRule="auto"/>
        <w:ind w:right="13"/>
        <w:jc w:val="both"/>
      </w:pPr>
      <w:r>
        <w:t xml:space="preserve">Tutti gli eccipienti sono conformi alla relativa monografia di Farmacopea Europea. </w:t>
      </w:r>
    </w:p>
    <w:p w:rsidR="008B6934" w:rsidRDefault="008B6934" w:rsidP="008B6934">
      <w:pPr>
        <w:spacing w:after="0" w:line="240" w:lineRule="auto"/>
        <w:jc w:val="both"/>
      </w:pPr>
      <w:r>
        <w:t>Gli eccipienti di originale animale sono il lattosio e il magnesio stearato; per essi è stata fornita una dichiarazione che nella sua produzione sono utilizzati animali sani della stessa qualità utilizzata per il consumo umano.</w:t>
      </w:r>
    </w:p>
    <w:p w:rsidR="008B6934" w:rsidRDefault="008B6934" w:rsidP="008B6934">
      <w:pPr>
        <w:spacing w:after="0" w:line="240" w:lineRule="auto"/>
        <w:jc w:val="both"/>
      </w:pPr>
      <w:r>
        <w:t>Nessun eccipiente è ottenuto da organismi geneticamente modificati; non sono presenti eccipienti mai utilizzati nell’uomo.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  <w:rPr>
          <w:b/>
        </w:rPr>
      </w:pPr>
      <w:r>
        <w:rPr>
          <w:b/>
        </w:rPr>
        <w:t>Sviluppo farmaceutico</w:t>
      </w:r>
    </w:p>
    <w:p w:rsidR="008B6934" w:rsidRDefault="008B6934" w:rsidP="008B6934">
      <w:pPr>
        <w:spacing w:after="0" w:line="240" w:lineRule="auto"/>
        <w:jc w:val="both"/>
      </w:pPr>
      <w:r>
        <w:t>Sono stati forniti dettagli dello sviluppo farmaceutico e questi sono stati ritenuti soddisfacenti.</w:t>
      </w:r>
    </w:p>
    <w:p w:rsidR="008B6934" w:rsidRDefault="008B6934" w:rsidP="008B6934">
      <w:pPr>
        <w:spacing w:after="0" w:line="240" w:lineRule="auto"/>
        <w:jc w:val="both"/>
      </w:pPr>
      <w:r>
        <w:t xml:space="preserve">Lo scopo era quello di ottenere un medicinale </w:t>
      </w:r>
      <w:proofErr w:type="spellStart"/>
      <w:r>
        <w:t>bioequivalente</w:t>
      </w:r>
      <w:proofErr w:type="spellEnd"/>
      <w:r>
        <w:t xml:space="preserve"> al medicinale di riferimento Viagra.</w:t>
      </w:r>
    </w:p>
    <w:p w:rsidR="008B6934" w:rsidRDefault="008B6934" w:rsidP="008B6934">
      <w:pPr>
        <w:spacing w:after="0" w:line="240" w:lineRule="auto"/>
        <w:jc w:val="both"/>
      </w:pPr>
      <w:r>
        <w:t>Sono stati forniti dati comparatici relativi al profilo di dissoluzione e al profilo di impurezze rispetto al medicinale di riferimento. I dati sono soddisfacenti.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  <w:rPr>
          <w:b/>
        </w:rPr>
      </w:pPr>
      <w:r>
        <w:rPr>
          <w:b/>
        </w:rPr>
        <w:lastRenderedPageBreak/>
        <w:t xml:space="preserve">Produzione </w:t>
      </w:r>
    </w:p>
    <w:p w:rsidR="008B6934" w:rsidRDefault="008B6934" w:rsidP="008B6934">
      <w:pPr>
        <w:spacing w:after="0" w:line="240" w:lineRule="auto"/>
        <w:jc w:val="both"/>
      </w:pPr>
      <w:r>
        <w:t>Sono stati forniti una descrizione del metodo di produzione e la relativa flow-chart.</w:t>
      </w:r>
    </w:p>
    <w:p w:rsidR="008B6934" w:rsidRDefault="008B6934" w:rsidP="008B6934">
      <w:pPr>
        <w:spacing w:after="0" w:line="240" w:lineRule="auto"/>
        <w:jc w:val="both"/>
      </w:pPr>
      <w:r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  <w:rPr>
          <w:b/>
        </w:rPr>
      </w:pPr>
      <w:r>
        <w:rPr>
          <w:b/>
        </w:rPr>
        <w:t>Specifiche del prodotto finito</w:t>
      </w:r>
    </w:p>
    <w:p w:rsidR="008B6934" w:rsidRDefault="008B6934" w:rsidP="008B6934">
      <w:pPr>
        <w:spacing w:after="0" w:line="240" w:lineRule="auto"/>
        <w:jc w:val="both"/>
      </w:pPr>
      <w:r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8B6934" w:rsidRDefault="008B6934" w:rsidP="008B6934">
      <w:pPr>
        <w:spacing w:after="0" w:line="240" w:lineRule="auto"/>
        <w:jc w:val="both"/>
        <w:rPr>
          <w:b/>
        </w:rPr>
      </w:pPr>
    </w:p>
    <w:p w:rsidR="008B6934" w:rsidRPr="00E466EA" w:rsidRDefault="008B6934" w:rsidP="008B6934">
      <w:pPr>
        <w:spacing w:after="0" w:line="240" w:lineRule="auto"/>
        <w:jc w:val="both"/>
        <w:rPr>
          <w:b/>
        </w:rPr>
      </w:pPr>
      <w:r w:rsidRPr="00E466EA">
        <w:rPr>
          <w:b/>
        </w:rPr>
        <w:t>Contenitore</w:t>
      </w:r>
    </w:p>
    <w:p w:rsidR="008B6934" w:rsidRDefault="008B6934" w:rsidP="008B6934">
      <w:pPr>
        <w:spacing w:after="0" w:line="240" w:lineRule="auto"/>
        <w:jc w:val="both"/>
      </w:pPr>
      <w:proofErr w:type="spellStart"/>
      <w:r>
        <w:t>Prelud</w:t>
      </w:r>
      <w:proofErr w:type="spellEnd"/>
      <w:r w:rsidRPr="00E466EA">
        <w:t xml:space="preserve"> è confezionato in blister  trasparente di PVC/Alluminio. Sono state fornite specifiche e certificati analitici per tutti i componenti del confezionamento primario, che è adeguato per il medicinale.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  <w:rPr>
          <w:b/>
        </w:rPr>
      </w:pPr>
      <w:r>
        <w:rPr>
          <w:b/>
        </w:rPr>
        <w:t>Stabilità</w:t>
      </w:r>
    </w:p>
    <w:p w:rsidR="008B6934" w:rsidRDefault="008B6934" w:rsidP="008B6934">
      <w:pPr>
        <w:spacing w:after="0" w:line="240" w:lineRule="auto"/>
        <w:jc w:val="both"/>
      </w:pPr>
      <w:r>
        <w:t xml:space="preserve">Studi di stabilità sul prodotto finito sono stati condotti in accordo alle correnti linee guida e i risultati sono entro i limiti delle specifiche autorizzate. Sulla base di questi risultati, è stato autorizzato un periodo di </w:t>
      </w:r>
      <w:r w:rsidR="00C4237C">
        <w:t xml:space="preserve">validità di 2 anni  </w:t>
      </w:r>
      <w:r>
        <w:t>senza nessuna condizione particolare di conservazione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  <w:rPr>
          <w:b/>
        </w:rPr>
      </w:pPr>
      <w:r>
        <w:rPr>
          <w:b/>
        </w:rPr>
        <w:t>II.3 Discussione sugli aspetti di qualità</w:t>
      </w:r>
    </w:p>
    <w:p w:rsidR="008B6934" w:rsidRDefault="008B6934" w:rsidP="008B6934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>
        <w:t>Prelud</w:t>
      </w:r>
      <w:proofErr w:type="spellEnd"/>
      <w:r>
        <w:t xml:space="preserve"> è considerata adeguata. Non ci sono obiezioni per l’approvazione di </w:t>
      </w:r>
      <w:proofErr w:type="spellStart"/>
      <w:r>
        <w:t>Prelud</w:t>
      </w:r>
      <w:proofErr w:type="spellEnd"/>
      <w:r>
        <w:t xml:space="preserve"> dal punto di vista chimico-farmaceutico.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ASPETTI NON CLINICI</w:t>
      </w:r>
    </w:p>
    <w:p w:rsidR="008B6934" w:rsidRDefault="008B6934" w:rsidP="008B6934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Prelud</w:t>
      </w:r>
      <w:proofErr w:type="spellEnd"/>
      <w:r>
        <w:t xml:space="preserve"> contiene un principio attivo noto: questo approccio è accettabile poiché il medicinale di riferimento Viagra è autorizzato in Italia da oltre 10 anni.</w:t>
      </w:r>
    </w:p>
    <w:p w:rsidR="008B6934" w:rsidRDefault="008B6934" w:rsidP="008B6934">
      <w:pPr>
        <w:spacing w:after="0" w:line="240" w:lineRule="auto"/>
        <w:jc w:val="both"/>
      </w:pPr>
      <w:r>
        <w:t>Non ci sono obiezioni per l’approvazione dal punto di vista non clinico.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ASPETTI CLINICI</w:t>
      </w:r>
    </w:p>
    <w:p w:rsidR="008B6934" w:rsidRDefault="008B6934" w:rsidP="008B6934">
      <w:pPr>
        <w:widowControl w:val="0"/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Prelud</w:t>
      </w:r>
      <w:proofErr w:type="spellEnd"/>
      <w:r w:rsidRPr="00E466EA">
        <w:t xml:space="preserve"> è utilizzato </w:t>
      </w:r>
      <w:r>
        <w:rPr>
          <w:lang w:eastAsia="it-IT"/>
        </w:rPr>
        <w:t>per il t</w:t>
      </w:r>
      <w:r w:rsidRPr="005262C8">
        <w:rPr>
          <w:lang w:eastAsia="it-IT"/>
        </w:rPr>
        <w:t xml:space="preserve">rattamento di soggetti con disfunzione erettile, ovvero dell’incapacità a raggiungere o a mantenere un’erezione idonea per una attività sessuale soddisfacente.  È necessaria la stimolazione sessuale affinché </w:t>
      </w:r>
      <w:proofErr w:type="spellStart"/>
      <w:r>
        <w:rPr>
          <w:lang w:eastAsia="it-IT"/>
        </w:rPr>
        <w:t>Prelud</w:t>
      </w:r>
      <w:proofErr w:type="spellEnd"/>
      <w:r w:rsidRPr="005262C8">
        <w:rPr>
          <w:lang w:eastAsia="it-IT"/>
        </w:rPr>
        <w:t xml:space="preserve"> possa essere efficace</w:t>
      </w:r>
      <w:r>
        <w:rPr>
          <w:lang w:eastAsia="it-IT"/>
        </w:rPr>
        <w:t>.</w:t>
      </w:r>
    </w:p>
    <w:p w:rsidR="008B6934" w:rsidRDefault="008B6934" w:rsidP="008B6934">
      <w:pPr>
        <w:autoSpaceDE w:val="0"/>
        <w:autoSpaceDN w:val="0"/>
        <w:adjustRightInd w:val="0"/>
        <w:spacing w:after="0" w:line="240" w:lineRule="auto"/>
        <w:jc w:val="both"/>
      </w:pPr>
    </w:p>
    <w:p w:rsidR="008B6934" w:rsidRDefault="008B6934" w:rsidP="008B6934">
      <w:pPr>
        <w:spacing w:after="0" w:line="240" w:lineRule="auto"/>
        <w:ind w:right="6"/>
        <w:jc w:val="both"/>
        <w:rPr>
          <w:b/>
        </w:rPr>
      </w:pPr>
      <w:r>
        <w:rPr>
          <w:b/>
        </w:rPr>
        <w:t>Posologia e modalità di somministrazione</w:t>
      </w:r>
    </w:p>
    <w:p w:rsidR="008B6934" w:rsidRDefault="008B6934" w:rsidP="008B693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8B6934" w:rsidRDefault="008B6934" w:rsidP="008B693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8B6934" w:rsidRDefault="008B6934" w:rsidP="008B6934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>
        <w:rPr>
          <w:rFonts w:eastAsia="Calibri" w:cs="Calibri"/>
          <w:b/>
          <w:lang w:eastAsia="it-IT"/>
        </w:rPr>
        <w:t>Tossicologia</w:t>
      </w:r>
    </w:p>
    <w:p w:rsidR="008B6934" w:rsidRDefault="008B6934" w:rsidP="008B693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t>sildenafil</w:t>
      </w:r>
      <w:proofErr w:type="spellEnd"/>
      <w:r>
        <w:t xml:space="preserve"> citrato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8B6934" w:rsidRDefault="008B6934" w:rsidP="008B6934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8B6934" w:rsidRDefault="008B6934" w:rsidP="008B6934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Farmacologia clinica</w:t>
      </w:r>
    </w:p>
    <w:p w:rsidR="008B6934" w:rsidRDefault="008B6934" w:rsidP="008B6934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t>sildenafil</w:t>
      </w:r>
      <w:proofErr w:type="spellEnd"/>
      <w:r>
        <w:t xml:space="preserve"> citrato </w:t>
      </w:r>
      <w:r>
        <w:rPr>
          <w:rFonts w:eastAsia="Calibri" w:cs="Calibri"/>
          <w:lang w:eastAsia="it-IT"/>
        </w:rPr>
        <w:t>è ben conosciuta.</w:t>
      </w:r>
      <w:r>
        <w:t xml:space="preserve"> Con l’eccezione dello studio di bioequivalenza, non sono stati condotti nuovi studi clinici di farmacodinamica e farmacocinetica, in quanto </w:t>
      </w:r>
      <w:proofErr w:type="spellStart"/>
      <w:r>
        <w:t>Prelud</w:t>
      </w:r>
      <w:proofErr w:type="spellEnd"/>
      <w:r>
        <w:t xml:space="preserve"> contiene un principio attivo noto e presente nel medicinale Viagra autorizzato  in Italia da più di 10 anni.</w:t>
      </w:r>
    </w:p>
    <w:p w:rsidR="008B6934" w:rsidRDefault="008B6934" w:rsidP="008B6934">
      <w:pPr>
        <w:spacing w:after="0" w:line="240" w:lineRule="auto"/>
        <w:jc w:val="both"/>
      </w:pPr>
    </w:p>
    <w:p w:rsidR="008B6934" w:rsidRPr="009F5FC7" w:rsidRDefault="008B6934" w:rsidP="008B6934">
      <w:pPr>
        <w:spacing w:after="0" w:line="240" w:lineRule="auto"/>
        <w:jc w:val="both"/>
        <w:rPr>
          <w:b/>
        </w:rPr>
      </w:pPr>
      <w:r w:rsidRPr="009F5FC7">
        <w:rPr>
          <w:b/>
        </w:rPr>
        <w:t>Studio di bioequivalenza</w:t>
      </w:r>
    </w:p>
    <w:p w:rsidR="008B6934" w:rsidRPr="009F5FC7" w:rsidRDefault="008B6934" w:rsidP="008B6934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proofErr w:type="spellStart"/>
      <w:r>
        <w:t>Prelud</w:t>
      </w:r>
      <w:proofErr w:type="spellEnd"/>
      <w:r w:rsidRPr="009F5FC7">
        <w:t xml:space="preserve"> e quelli del medicinale </w:t>
      </w:r>
      <w:r>
        <w:t>Viagra</w:t>
      </w:r>
      <w:r w:rsidRPr="009F5FC7">
        <w:t>.</w:t>
      </w:r>
    </w:p>
    <w:p w:rsidR="008B6934" w:rsidRPr="009F5FC7" w:rsidRDefault="008B6934" w:rsidP="008B6934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8B6934" w:rsidRPr="009F5FC7" w:rsidRDefault="008B6934" w:rsidP="008B6934">
      <w:pPr>
        <w:pStyle w:val="Paragrafoelenco"/>
        <w:spacing w:after="0" w:line="240" w:lineRule="auto"/>
        <w:ind w:left="0"/>
        <w:jc w:val="both"/>
      </w:pPr>
      <w:r w:rsidRPr="009F5FC7">
        <w:lastRenderedPageBreak/>
        <w:t>Sono stati forniti certificati analitici per medicinale test e medicinale di riferimento.</w:t>
      </w:r>
    </w:p>
    <w:p w:rsidR="008B6934" w:rsidRDefault="008B6934" w:rsidP="008B6934">
      <w:pPr>
        <w:spacing w:after="0" w:line="240" w:lineRule="auto"/>
        <w:jc w:val="both"/>
      </w:pPr>
      <w:r w:rsidRPr="007469AE">
        <w:rPr>
          <w:rFonts w:ascii="Calibri" w:hAnsi="Calibri"/>
        </w:rPr>
        <w:t xml:space="preserve">L’utilizzo del solo dosaggio </w:t>
      </w:r>
      <w:r w:rsidRPr="007469AE">
        <w:t xml:space="preserve">maggiore 100 mg per lo studio di bioequivalenza è stato opportunamente giustificato. </w:t>
      </w:r>
    </w:p>
    <w:p w:rsidR="008B6934" w:rsidRPr="005D5D07" w:rsidRDefault="008B6934" w:rsidP="008B6934">
      <w:pPr>
        <w:spacing w:after="0" w:line="240" w:lineRule="auto"/>
        <w:jc w:val="both"/>
        <w:rPr>
          <w:rFonts w:ascii="Calibri" w:hAnsi="Calibri" w:cs="Arial"/>
        </w:rPr>
      </w:pPr>
      <w:r w:rsidRPr="007469AE">
        <w:rPr>
          <w:rFonts w:ascii="Calibri" w:hAnsi="Calibri"/>
        </w:rPr>
        <w:t xml:space="preserve">Lo studio di bioequivalenza è </w:t>
      </w:r>
      <w:r>
        <w:rPr>
          <w:rFonts w:ascii="Calibri" w:hAnsi="Calibri"/>
        </w:rPr>
        <w:t xml:space="preserve"> uno studio </w:t>
      </w:r>
      <w:r w:rsidRPr="005D5D07">
        <w:rPr>
          <w:rFonts w:ascii="Calibri" w:hAnsi="Calibri"/>
        </w:rPr>
        <w:t xml:space="preserve">comparativo, controllato,  randomizzato, a dose singola, 2-periodi, </w:t>
      </w:r>
      <w:r w:rsidRPr="00F36FEA">
        <w:rPr>
          <w:rFonts w:ascii="Calibri" w:hAnsi="Calibri"/>
        </w:rPr>
        <w:t xml:space="preserve">crossover condotto in 40 volontari sani di entrambi i sessi con somministrazione a digiuno. </w:t>
      </w:r>
      <w:r w:rsidRPr="00F36FEA">
        <w:rPr>
          <w:rFonts w:ascii="Calibri" w:hAnsi="Calibri" w:cs="Arial"/>
        </w:rPr>
        <w:t xml:space="preserve">Dopo una notte di digiuno, il medicinale è stato somministrato con acqua. </w:t>
      </w:r>
      <w:r w:rsidRPr="00F36FEA">
        <w:rPr>
          <w:rFonts w:ascii="Calibri" w:hAnsi="Calibri"/>
        </w:rPr>
        <w:t xml:space="preserve">Un soddisfacente periodo di wash-out di </w:t>
      </w:r>
      <w:r w:rsidRPr="00F36FEA">
        <w:rPr>
          <w:rFonts w:ascii="Calibri" w:hAnsi="Calibri" w:cs="Arial"/>
        </w:rPr>
        <w:t>9 giorni è stato previsto tra le somministrazioni in ogni gruppo.</w:t>
      </w:r>
    </w:p>
    <w:p w:rsidR="008B6934" w:rsidRPr="009F5FC7" w:rsidRDefault="008B6934" w:rsidP="008B6934">
      <w:pPr>
        <w:spacing w:after="0" w:line="240" w:lineRule="auto"/>
        <w:jc w:val="both"/>
        <w:rPr>
          <w:rFonts w:ascii="Calibri" w:hAnsi="Calibri" w:cs="Arial"/>
        </w:rPr>
      </w:pPr>
      <w:r w:rsidRPr="009F5FC7">
        <w:rPr>
          <w:rFonts w:ascii="Calibri" w:hAnsi="Calibri" w:cs="Arial"/>
        </w:rPr>
        <w:t>Campioni di sangue sono stati prelevati al tempo zero (</w:t>
      </w:r>
      <w:proofErr w:type="spellStart"/>
      <w:r w:rsidRPr="009F5FC7">
        <w:rPr>
          <w:rFonts w:ascii="Calibri" w:hAnsi="Calibri" w:cs="Arial"/>
        </w:rPr>
        <w:t>pre-dose</w:t>
      </w:r>
      <w:proofErr w:type="spellEnd"/>
      <w:r w:rsidRPr="009F5FC7">
        <w:rPr>
          <w:rFonts w:ascii="Calibri" w:hAnsi="Calibri" w:cs="Arial"/>
        </w:rPr>
        <w:t xml:space="preserve">) e a specificati tempi fino a 24 ore dopo la somministrazione. I livelli plasmatici di </w:t>
      </w:r>
      <w:proofErr w:type="spellStart"/>
      <w:r w:rsidRPr="009F5FC7">
        <w:rPr>
          <w:rFonts w:ascii="Calibri" w:hAnsi="Calibri" w:cs="Arial"/>
        </w:rPr>
        <w:t>di</w:t>
      </w:r>
      <w:proofErr w:type="spellEnd"/>
      <w:r w:rsidRPr="009F5FC7">
        <w:rPr>
          <w:rFonts w:ascii="Calibri" w:hAnsi="Calibri" w:cs="Arial"/>
        </w:rPr>
        <w:t xml:space="preserve"> </w:t>
      </w:r>
      <w:proofErr w:type="spellStart"/>
      <w:r w:rsidRPr="009F5FC7">
        <w:rPr>
          <w:rFonts w:ascii="Calibri" w:hAnsi="Calibri" w:cs="Arial"/>
        </w:rPr>
        <w:t>sildenafil</w:t>
      </w:r>
      <w:proofErr w:type="spellEnd"/>
      <w:r w:rsidRPr="009F5FC7">
        <w:rPr>
          <w:rFonts w:ascii="Calibri" w:hAnsi="Calibri" w:cs="Arial"/>
        </w:rPr>
        <w:t xml:space="preserve"> sono stati determinati mediante un metodo analitico HPLC-MS-MS opportunamente convalidato.</w:t>
      </w:r>
    </w:p>
    <w:p w:rsidR="008B6934" w:rsidRPr="009F5FC7" w:rsidRDefault="008B6934" w:rsidP="008B6934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proofErr w:type="spellStart"/>
      <w:r>
        <w:rPr>
          <w:rFonts w:ascii="Calibri" w:hAnsi="Calibri" w:cs="Arial"/>
        </w:rPr>
        <w:t>sildenafil</w:t>
      </w:r>
      <w:proofErr w:type="spellEnd"/>
      <w:r>
        <w:rPr>
          <w:rFonts w:ascii="Calibri" w:hAnsi="Calibri" w:cs="Arial"/>
        </w:rPr>
        <w:t xml:space="preserve"> e il metabolita piperazina </w:t>
      </w:r>
      <w:proofErr w:type="spellStart"/>
      <w:r>
        <w:rPr>
          <w:rFonts w:ascii="Calibri" w:hAnsi="Calibri" w:cs="Arial"/>
        </w:rPr>
        <w:t>N-desmetil</w:t>
      </w:r>
      <w:proofErr w:type="spellEnd"/>
      <w:r>
        <w:rPr>
          <w:rFonts w:ascii="Calibri" w:hAnsi="Calibri" w:cs="Arial"/>
        </w:rPr>
        <w:t xml:space="preserve"> </w:t>
      </w:r>
      <w:proofErr w:type="spellStart"/>
      <w:r>
        <w:rPr>
          <w:rFonts w:ascii="Calibri" w:hAnsi="Calibri" w:cs="Arial"/>
        </w:rPr>
        <w:t>sildenafil</w:t>
      </w:r>
      <w:proofErr w:type="spellEnd"/>
      <w:r>
        <w:rPr>
          <w:rFonts w:ascii="Calibri" w:hAnsi="Calibri" w:cs="Arial"/>
        </w:rPr>
        <w:t xml:space="preserve"> sono state definite le seguenti </w:t>
      </w:r>
      <w:r w:rsidRPr="009F5FC7">
        <w:rPr>
          <w:rFonts w:ascii="Calibri" w:hAnsi="Calibri" w:cs="Arial"/>
        </w:rPr>
        <w:t xml:space="preserve">variabili farmacocinetiche: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, </w:t>
      </w:r>
      <w:proofErr w:type="spellStart"/>
      <w:r w:rsidRPr="009F5FC7">
        <w:rPr>
          <w:rFonts w:ascii="Calibri" w:hAnsi="Calibri" w:cs="Arial"/>
        </w:rPr>
        <w:t>t½</w:t>
      </w:r>
      <w:proofErr w:type="spellEnd"/>
      <w:r w:rsidRPr="009F5FC7">
        <w:rPr>
          <w:rFonts w:ascii="Calibri" w:hAnsi="Calibri"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9F5FC7">
        <w:rPr>
          <w:rFonts w:ascii="Calibri" w:hAnsi="Calibri" w:cs="Arial"/>
        </w:rPr>
        <w:t>C</w:t>
      </w:r>
      <w:r w:rsidRPr="009F5FC7">
        <w:rPr>
          <w:rFonts w:ascii="Calibri" w:hAnsi="Calibri" w:cs="Arial"/>
          <w:vertAlign w:val="subscript"/>
        </w:rPr>
        <w:t>max</w:t>
      </w:r>
      <w:proofErr w:type="spellEnd"/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 xml:space="preserve">,,  cadono nel </w:t>
      </w:r>
      <w:proofErr w:type="spellStart"/>
      <w:r w:rsidRPr="009F5FC7">
        <w:rPr>
          <w:rFonts w:ascii="Calibri" w:hAnsi="Calibri" w:cs="Arial"/>
        </w:rPr>
        <w:t>range</w:t>
      </w:r>
      <w:proofErr w:type="spellEnd"/>
      <w:r w:rsidRPr="009F5FC7">
        <w:rPr>
          <w:rFonts w:ascii="Calibri" w:hAnsi="Calibri" w:cs="Arial"/>
        </w:rPr>
        <w:t xml:space="preserve"> di accettabilità di 0.80-1.25 (80%-125%).</w:t>
      </w:r>
    </w:p>
    <w:p w:rsidR="008B6934" w:rsidRPr="009F5FC7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Pr="009F5FC7" w:rsidRDefault="008B6934" w:rsidP="008B6934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8B6934" w:rsidRPr="009F5FC7" w:rsidRDefault="008B6934" w:rsidP="008B6934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9F5FC7">
        <w:rPr>
          <w:rFonts w:ascii="Calibri" w:hAnsi="Calibri" w:cs="Arial"/>
        </w:rPr>
        <w:t xml:space="preserve">40 volontari sani sono stati arruolati nello studio. 36 soggetti </w:t>
      </w:r>
      <w:r w:rsidRPr="009F5FC7">
        <w:t xml:space="preserve">hanno completato la fase clinica e </w:t>
      </w:r>
      <w:r w:rsidRPr="009F5FC7">
        <w:rPr>
          <w:rFonts w:ascii="Calibri" w:hAnsi="Calibri" w:cs="Arial"/>
        </w:rPr>
        <w:t>sono stati inclusi nell’analisi farmacocinetica.</w:t>
      </w:r>
    </w:p>
    <w:p w:rsidR="008B6934" w:rsidRPr="009F5FC7" w:rsidRDefault="008B6934" w:rsidP="008B6934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8B6934" w:rsidRPr="009F5FC7" w:rsidRDefault="008B6934" w:rsidP="008B6934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8B6934" w:rsidRPr="009F5FC7" w:rsidRDefault="008B6934" w:rsidP="008B693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>
        <w:rPr>
          <w:rFonts w:ascii="Calibri" w:hAnsi="Calibri" w:cs="Arial"/>
        </w:rPr>
        <w:t xml:space="preserve">si sono manifestati </w:t>
      </w:r>
      <w:r w:rsidRPr="009F5FC7">
        <w:t xml:space="preserve">5 eventi avversi lievi o moderati </w:t>
      </w:r>
      <w:r w:rsidRPr="009F5FC7">
        <w:rPr>
          <w:rFonts w:ascii="Calibri" w:hAnsi="Calibri" w:cs="Arial"/>
        </w:rPr>
        <w:t>possibilmente correlati al trattamento</w:t>
      </w:r>
      <w:r w:rsidRPr="009F5FC7">
        <w:t xml:space="preserve">. </w:t>
      </w:r>
      <w:r w:rsidRPr="009F5FC7">
        <w:rPr>
          <w:rFonts w:ascii="Calibri" w:hAnsi="Calibri" w:cs="Arial"/>
        </w:rPr>
        <w:t xml:space="preserve">In particolare, venivano riscontrati  </w:t>
      </w:r>
      <w:r w:rsidRPr="009F5FC7">
        <w:t>febbre, prurito inguinale, gastroenterite e infezione del tratto respiratorio superiore.</w:t>
      </w:r>
      <w:r>
        <w:t xml:space="preserve"> </w:t>
      </w:r>
      <w:r w:rsidRPr="009F5FC7">
        <w:rPr>
          <w:rFonts w:ascii="Calibri" w:hAnsi="Calibri" w:cs="Arial"/>
        </w:rPr>
        <w:t>Non sono stati rilevati eventi avversi gravi.</w:t>
      </w:r>
    </w:p>
    <w:p w:rsidR="008B6934" w:rsidRPr="009F5FC7" w:rsidRDefault="008B6934" w:rsidP="008B6934">
      <w:pPr>
        <w:spacing w:after="0" w:line="240" w:lineRule="auto"/>
        <w:jc w:val="both"/>
      </w:pPr>
      <w:r w:rsidRPr="009F5FC7">
        <w:t xml:space="preserve">Gli eventi avversi sono stati simili tra medicinale test e medicinali di riferimento. </w:t>
      </w:r>
    </w:p>
    <w:p w:rsidR="008B6934" w:rsidRPr="009F5FC7" w:rsidRDefault="008B6934" w:rsidP="008B6934">
      <w:pPr>
        <w:spacing w:after="0" w:line="240" w:lineRule="auto"/>
      </w:pPr>
    </w:p>
    <w:p w:rsidR="008B6934" w:rsidRPr="009F5FC7" w:rsidRDefault="008B6934" w:rsidP="008B693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8B6934" w:rsidRPr="009F5FC7" w:rsidRDefault="008B6934" w:rsidP="008B6934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8B6934" w:rsidRPr="008E5353" w:rsidRDefault="008B6934" w:rsidP="008B6934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75"/>
        <w:gridCol w:w="3063"/>
      </w:tblGrid>
      <w:tr w:rsidR="008B6934" w:rsidRPr="00F36FEA" w:rsidTr="00F4238C">
        <w:trPr>
          <w:trHeight w:val="247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F36FEA">
              <w:rPr>
                <w:rFonts w:cs="Arial"/>
                <w:b/>
                <w:bCs/>
                <w:sz w:val="20"/>
                <w:szCs w:val="20"/>
              </w:rPr>
              <w:t>SILDENAFIL</w:t>
            </w:r>
          </w:p>
        </w:tc>
      </w:tr>
      <w:tr w:rsidR="008B6934" w:rsidRPr="00F36FEA" w:rsidTr="00F4238C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F36FEA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36FEA">
              <w:rPr>
                <w:rFonts w:cs="Arial"/>
                <w:b/>
                <w:sz w:val="20"/>
                <w:szCs w:val="20"/>
              </w:rPr>
              <w:t xml:space="preserve">T/R </w:t>
            </w:r>
            <w:proofErr w:type="spellStart"/>
            <w:r w:rsidRPr="00F36FEA">
              <w:rPr>
                <w:rFonts w:cs="Arial"/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F36FEA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8B6934" w:rsidRPr="00F36FEA" w:rsidTr="00F4238C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6FEA">
              <w:rPr>
                <w:b/>
                <w:sz w:val="20"/>
                <w:szCs w:val="20"/>
              </w:rPr>
              <w:t>AUC</w:t>
            </w:r>
            <w:r w:rsidRPr="00F36FEA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104.20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98.02- 110.75</w:t>
            </w:r>
          </w:p>
        </w:tc>
      </w:tr>
      <w:tr w:rsidR="008B6934" w:rsidRPr="00F36FEA" w:rsidTr="00F4238C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6FEA">
              <w:rPr>
                <w:b/>
                <w:sz w:val="20"/>
                <w:szCs w:val="20"/>
              </w:rPr>
              <w:t>AUC</w:t>
            </w:r>
            <w:r w:rsidRPr="00F36FEA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104.19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98.00- 110.80</w:t>
            </w:r>
          </w:p>
        </w:tc>
      </w:tr>
      <w:tr w:rsidR="008B6934" w:rsidRPr="00F36FEA" w:rsidTr="00F4238C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F36FEA">
              <w:rPr>
                <w:b/>
                <w:sz w:val="20"/>
                <w:szCs w:val="20"/>
              </w:rPr>
              <w:t>C</w:t>
            </w:r>
            <w:r w:rsidRPr="00F36FEA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94.79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86.00 -104.48</w:t>
            </w:r>
          </w:p>
        </w:tc>
      </w:tr>
      <w:tr w:rsidR="008B6934" w:rsidRPr="00F36FEA" w:rsidTr="00F4238C">
        <w:trPr>
          <w:trHeight w:val="305"/>
          <w:jc w:val="center"/>
        </w:trPr>
        <w:tc>
          <w:tcPr>
            <w:tcW w:w="6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bCs/>
                <w:sz w:val="20"/>
                <w:szCs w:val="20"/>
              </w:rPr>
            </w:pPr>
            <w:r w:rsidRPr="00F36FEA">
              <w:rPr>
                <w:b/>
                <w:bCs/>
                <w:sz w:val="20"/>
                <w:szCs w:val="20"/>
              </w:rPr>
              <w:t>PIPERAZINA N-DESMETIL SILDENAFIL</w:t>
            </w:r>
          </w:p>
        </w:tc>
      </w:tr>
      <w:tr w:rsidR="008B6934" w:rsidRPr="00F36FEA" w:rsidTr="00F4238C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6FEA">
              <w:rPr>
                <w:b/>
                <w:sz w:val="20"/>
                <w:szCs w:val="20"/>
              </w:rPr>
              <w:t>AUC</w:t>
            </w:r>
            <w:r w:rsidRPr="00F36FEA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99.31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92.35- 106.804</w:t>
            </w:r>
          </w:p>
        </w:tc>
      </w:tr>
      <w:tr w:rsidR="008B6934" w:rsidRPr="00F36FEA" w:rsidTr="00F4238C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6FEA">
              <w:rPr>
                <w:b/>
                <w:sz w:val="20"/>
                <w:szCs w:val="20"/>
              </w:rPr>
              <w:t>AUC</w:t>
            </w:r>
            <w:r w:rsidRPr="00F36FEA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100.13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93.24- 107.52</w:t>
            </w:r>
          </w:p>
        </w:tc>
      </w:tr>
      <w:tr w:rsidR="008B6934" w:rsidRPr="00F36FEA" w:rsidTr="00F4238C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F36FEA">
              <w:rPr>
                <w:b/>
                <w:sz w:val="20"/>
                <w:szCs w:val="20"/>
              </w:rPr>
              <w:t>C</w:t>
            </w:r>
            <w:r w:rsidRPr="00F36FEA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91.75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6934" w:rsidRPr="00F36FEA" w:rsidRDefault="008B6934" w:rsidP="00F423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6FEA">
              <w:rPr>
                <w:bCs/>
                <w:sz w:val="20"/>
                <w:szCs w:val="20"/>
              </w:rPr>
              <w:t>83.65 -100.65</w:t>
            </w:r>
          </w:p>
        </w:tc>
      </w:tr>
    </w:tbl>
    <w:p w:rsidR="008B6934" w:rsidRDefault="008B6934" w:rsidP="008B6934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8B6934" w:rsidRPr="009F5FC7" w:rsidRDefault="008B6934" w:rsidP="008B6934">
      <w:pPr>
        <w:spacing w:after="0" w:line="240" w:lineRule="auto"/>
        <w:rPr>
          <w:rFonts w:cs="Arial"/>
          <w:sz w:val="20"/>
          <w:szCs w:val="20"/>
          <w:lang w:val="en-GB"/>
        </w:rPr>
      </w:pPr>
    </w:p>
    <w:p w:rsidR="008B6934" w:rsidRPr="009F5FC7" w:rsidRDefault="008B6934" w:rsidP="008B6934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8B6934" w:rsidRPr="009F5FC7" w:rsidRDefault="008B6934" w:rsidP="008B6934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80-125%, in accordo con le linee guida correnti.</w:t>
      </w:r>
    </w:p>
    <w:p w:rsidR="008B6934" w:rsidRPr="009F5FC7" w:rsidRDefault="008B6934" w:rsidP="008B6934">
      <w:pPr>
        <w:spacing w:after="0" w:line="240" w:lineRule="auto"/>
        <w:jc w:val="both"/>
        <w:rPr>
          <w:rFonts w:cs="Arial"/>
        </w:rPr>
      </w:pPr>
    </w:p>
    <w:p w:rsidR="008B6934" w:rsidRPr="009F5FC7" w:rsidRDefault="008B6934" w:rsidP="008B6934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8B6934" w:rsidRDefault="008B6934" w:rsidP="008B6934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cs="Arial"/>
        </w:rPr>
        <w:t>Prelud</w:t>
      </w:r>
      <w:proofErr w:type="spellEnd"/>
      <w:r w:rsidRPr="009F5FC7">
        <w:rPr>
          <w:rFonts w:cs="Arial"/>
        </w:rPr>
        <w:t xml:space="preserve"> è ben conosciuto.</w:t>
      </w:r>
      <w:r>
        <w:rPr>
          <w:rFonts w:cs="Arial"/>
        </w:rPr>
        <w:t xml:space="preserve"> </w:t>
      </w: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Default="008B6934" w:rsidP="008B6934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lastRenderedPageBreak/>
        <w:t>Piano di Valutazione del Rischio (</w:t>
      </w:r>
      <w:proofErr w:type="spellStart"/>
      <w:r>
        <w:rPr>
          <w:b/>
          <w:i/>
        </w:rPr>
        <w:t>Risk</w:t>
      </w:r>
      <w:proofErr w:type="spellEnd"/>
      <w:r>
        <w:rPr>
          <w:b/>
          <w:i/>
        </w:rPr>
        <w:t xml:space="preserve"> Management </w:t>
      </w:r>
      <w:proofErr w:type="spellStart"/>
      <w:r>
        <w:rPr>
          <w:b/>
          <w:i/>
        </w:rPr>
        <w:t>Plan</w:t>
      </w:r>
      <w:proofErr w:type="spellEnd"/>
      <w:r>
        <w:rPr>
          <w:b/>
        </w:rPr>
        <w:t xml:space="preserve"> - RMP)</w:t>
      </w: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  <w:r>
        <w:t xml:space="preserve">E’ stato presentato un RMP in accordo a quanto previsto dalla Direttiva 2001/83/EU </w:t>
      </w:r>
      <w:proofErr w:type="spellStart"/>
      <w:r>
        <w:t>s.m.i.</w:t>
      </w:r>
      <w:proofErr w:type="spellEnd"/>
      <w:r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Prelud</w:t>
      </w:r>
      <w:proofErr w:type="spellEnd"/>
      <w:r>
        <w:t>.</w:t>
      </w:r>
    </w:p>
    <w:p w:rsidR="00EA22A5" w:rsidRDefault="00EA22A5" w:rsidP="00EA22A5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EA22A5" w:rsidRDefault="00EA22A5" w:rsidP="00EA22A5">
      <w:pPr>
        <w:pStyle w:val="Paragrafoelenco"/>
        <w:spacing w:after="0" w:line="240" w:lineRule="auto"/>
        <w:ind w:left="0"/>
        <w:jc w:val="both"/>
      </w:pPr>
    </w:p>
    <w:tbl>
      <w:tblPr>
        <w:tblW w:w="44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157"/>
        <w:gridCol w:w="5706"/>
      </w:tblGrid>
      <w:tr w:rsidR="00EA22A5" w:rsidRPr="001810E1" w:rsidTr="002B3178">
        <w:trPr>
          <w:jc w:val="center"/>
        </w:trPr>
        <w:tc>
          <w:tcPr>
            <w:tcW w:w="1781" w:type="pct"/>
            <w:shd w:val="clear" w:color="auto" w:fill="auto"/>
          </w:tcPr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shd w:val="clear" w:color="auto" w:fill="auto"/>
          </w:tcPr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I</w:t>
            </w: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persensibilità</w:t>
            </w:r>
          </w:p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Interazioni con nitrati (potenziamento deg</w:t>
            </w: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l</w:t>
            </w: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i effetti ipotensivi)</w:t>
            </w:r>
          </w:p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Ipotensione per interazioni con medicinali alfa-bloccanti e con medicinali inibitori del citocromo P450 isoenzima CYP3A4, compreso il succo di pompelmo</w:t>
            </w:r>
          </w:p>
        </w:tc>
      </w:tr>
      <w:tr w:rsidR="00EA22A5" w:rsidRPr="001810E1" w:rsidTr="002B3178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potenzial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>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EA22A5" w:rsidRPr="00474E7B" w:rsidRDefault="00EA22A5" w:rsidP="002B31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" w:cs="TimesNewRoman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N</w:t>
            </w:r>
            <w:r w:rsidRPr="00474E7B">
              <w:rPr>
                <w:color w:val="000000"/>
                <w:sz w:val="20"/>
                <w:szCs w:val="20"/>
                <w:shd w:val="clear" w:color="auto" w:fill="FFFFFF"/>
              </w:rPr>
              <w:t xml:space="preserve">europatia ottica ischemica non </w:t>
            </w:r>
            <w:proofErr w:type="spellStart"/>
            <w:r w:rsidRPr="00474E7B">
              <w:rPr>
                <w:color w:val="000000"/>
                <w:sz w:val="20"/>
                <w:szCs w:val="20"/>
                <w:shd w:val="clear" w:color="auto" w:fill="FFFFFF"/>
              </w:rPr>
              <w:t>arteritica</w:t>
            </w:r>
            <w:proofErr w:type="spellEnd"/>
            <w:r w:rsidRPr="00474E7B">
              <w:rPr>
                <w:color w:val="000000"/>
                <w:sz w:val="20"/>
                <w:szCs w:val="20"/>
                <w:shd w:val="clear" w:color="auto" w:fill="FFFFFF"/>
              </w:rPr>
              <w:t xml:space="preserve"> anteriore</w:t>
            </w:r>
            <w:r w:rsidRPr="00474E7B">
              <w:rPr>
                <w:rFonts w:eastAsia="TimesNewRoman" w:cs="TimesNewRoman"/>
                <w:sz w:val="20"/>
                <w:szCs w:val="20"/>
              </w:rPr>
              <w:t xml:space="preserve"> (NAION)</w:t>
            </w:r>
          </w:p>
          <w:p w:rsidR="00EA22A5" w:rsidRPr="00474E7B" w:rsidRDefault="00EA22A5" w:rsidP="002B317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NewRoman" w:cs="TimesNewRoman"/>
                <w:sz w:val="20"/>
                <w:szCs w:val="20"/>
              </w:rPr>
            </w:pPr>
            <w:r w:rsidRPr="00474E7B">
              <w:rPr>
                <w:rFonts w:eastAsia="TimesNewRoman" w:cs="TimesNewRoman"/>
                <w:sz w:val="20"/>
                <w:szCs w:val="20"/>
              </w:rPr>
              <w:t>Improvvisa perdita dell’udito</w:t>
            </w:r>
          </w:p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  <w:t>Emorragia oculare</w:t>
            </w:r>
          </w:p>
        </w:tc>
      </w:tr>
      <w:tr w:rsidR="00EA22A5" w:rsidRPr="00474E7B" w:rsidTr="002B3178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proofErr w:type="spellEnd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474E7B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  <w:proofErr w:type="spellEnd"/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</w:pPr>
            <w:r w:rsidRPr="00474E7B">
              <w:rPr>
                <w:rFonts w:asciiTheme="minorHAnsi" w:eastAsia="TimesNewRoman" w:hAnsiTheme="minorHAnsi" w:cs="TimesNewRoman"/>
                <w:sz w:val="20"/>
                <w:szCs w:val="20"/>
                <w:lang w:val="it-IT"/>
              </w:rPr>
              <w:t>Uso in pazienti con grave insufficienza epatica</w:t>
            </w:r>
          </w:p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hAnsiTheme="minorHAnsi"/>
                <w:bCs/>
                <w:sz w:val="20"/>
                <w:szCs w:val="20"/>
                <w:lang w:val="it-IT" w:eastAsia="en-GB"/>
              </w:rPr>
              <w:t>Uso in pazienti predisposti al sanguinamento o con ulcera peptica attiva</w:t>
            </w:r>
          </w:p>
          <w:p w:rsidR="00EA22A5" w:rsidRPr="00EE6F36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EE6F36">
              <w:rPr>
                <w:rFonts w:asciiTheme="minorHAnsi" w:hAnsiTheme="minorHAnsi"/>
                <w:sz w:val="20"/>
                <w:szCs w:val="20"/>
                <w:lang w:val="it-IT" w:eastAsia="en-GB"/>
              </w:rPr>
              <w:t>Uno in pazienti ipotesi</w:t>
            </w:r>
          </w:p>
          <w:p w:rsidR="00EA22A5" w:rsidRPr="00EE6F36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EE6F36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pazienti con recente storia di ictus o infarto miocardico</w:t>
            </w:r>
          </w:p>
          <w:p w:rsidR="00EA22A5" w:rsidRPr="00474E7B" w:rsidRDefault="00EA22A5" w:rsidP="002B3178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474E7B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pazienti con patologia retinica degenerativa ereditaria (ad esempio retinite pigmentosa)</w:t>
            </w:r>
          </w:p>
        </w:tc>
      </w:tr>
    </w:tbl>
    <w:p w:rsidR="00EA22A5" w:rsidRPr="00474E7B" w:rsidRDefault="00EA22A5" w:rsidP="00EA22A5">
      <w:pPr>
        <w:pStyle w:val="Paragrafoelenco"/>
        <w:spacing w:after="0" w:line="240" w:lineRule="auto"/>
        <w:ind w:left="0"/>
        <w:jc w:val="both"/>
      </w:pP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  <w:r>
        <w:t xml:space="preserve">Azioni </w:t>
      </w:r>
      <w:proofErr w:type="spellStart"/>
      <w:r>
        <w:t>routinarie</w:t>
      </w:r>
      <w:proofErr w:type="spellEnd"/>
      <w:r>
        <w:t xml:space="preserve"> di farmacovigilanza e di minimizzazione del rischio sono proposte per tutte le problematiche di sicurezza.</w:t>
      </w: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Default="008B6934" w:rsidP="008B6934">
      <w:pPr>
        <w:pStyle w:val="Paragrafoelenco"/>
        <w:spacing w:after="0" w:line="240" w:lineRule="auto"/>
        <w:ind w:left="0"/>
        <w:jc w:val="both"/>
        <w:rPr>
          <w:b/>
        </w:rPr>
      </w:pPr>
      <w:r>
        <w:rPr>
          <w:b/>
        </w:rPr>
        <w:t>Conclusioni</w:t>
      </w: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Prelud</w:t>
      </w:r>
      <w:proofErr w:type="spellEnd"/>
      <w:r>
        <w:t xml:space="preserve"> sono state presentate sufficienti informazioni cliniche.</w:t>
      </w: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Prelud</w:t>
      </w:r>
      <w:proofErr w:type="spellEnd"/>
      <w:r>
        <w:t xml:space="preserve"> è considerato favorevole dal punto di vista clinico.</w:t>
      </w: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Default="008B6934" w:rsidP="008B693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>
        <w:rPr>
          <w:b/>
        </w:rPr>
        <w:t>CONSULTAZIONE SUL FOGLIO ILLUSTRATIVO</w:t>
      </w:r>
    </w:p>
    <w:p w:rsidR="008B6934" w:rsidRDefault="008B6934" w:rsidP="008B6934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Default="008B6934" w:rsidP="008B6934">
      <w:pPr>
        <w:pStyle w:val="Paragrafoelenco"/>
        <w:spacing w:after="0" w:line="240" w:lineRule="auto"/>
        <w:ind w:left="0"/>
        <w:jc w:val="both"/>
      </w:pPr>
    </w:p>
    <w:p w:rsidR="008B6934" w:rsidRPr="009F5FC7" w:rsidRDefault="008B6934" w:rsidP="008B6934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9F5FC7">
        <w:rPr>
          <w:b/>
        </w:rPr>
        <w:t>CONCLUSIONI, VALUTAZIONE DEL RAPPORTO BENEFICIO/RISCHIO E RACCOMANDAZIONI</w:t>
      </w:r>
    </w:p>
    <w:p w:rsidR="008B6934" w:rsidRDefault="008B6934" w:rsidP="008B6934">
      <w:pPr>
        <w:spacing w:after="0" w:line="240" w:lineRule="auto"/>
        <w:jc w:val="both"/>
      </w:pPr>
      <w:r>
        <w:t xml:space="preserve">La qualità di </w:t>
      </w:r>
      <w:proofErr w:type="spellStart"/>
      <w:r>
        <w:t>Prelud</w:t>
      </w:r>
      <w:proofErr w:type="spellEnd"/>
      <w:r>
        <w:t xml:space="preserve"> è accettabile e non sono state rilevate criticità da un punto di vista non clinico e clinico.</w:t>
      </w:r>
    </w:p>
    <w:p w:rsidR="008B6934" w:rsidRDefault="008B6934" w:rsidP="008B6934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>
        <w:t>Prelud</w:t>
      </w:r>
      <w:proofErr w:type="spellEnd"/>
      <w:r>
        <w:t xml:space="preserve"> e il medicinale di riferimento Viagra sono </w:t>
      </w:r>
      <w:proofErr w:type="spellStart"/>
      <w:r>
        <w:t>bioequivalenti</w:t>
      </w:r>
      <w:proofErr w:type="spellEnd"/>
      <w:r>
        <w:t>.</w:t>
      </w:r>
    </w:p>
    <w:p w:rsidR="008B6934" w:rsidRDefault="008B6934" w:rsidP="008B6934">
      <w:pPr>
        <w:spacing w:after="0" w:line="240" w:lineRule="auto"/>
        <w:jc w:val="both"/>
      </w:pPr>
      <w:r>
        <w:t>Il rapporto beneficio/rischio è considerato positivo.</w:t>
      </w:r>
    </w:p>
    <w:p w:rsidR="008B6934" w:rsidRDefault="008B6934" w:rsidP="008B6934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0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8B6934" w:rsidRDefault="008B6934" w:rsidP="008B6934">
      <w:pPr>
        <w:spacing w:after="0" w:line="240" w:lineRule="auto"/>
        <w:jc w:val="both"/>
      </w:pPr>
    </w:p>
    <w:p w:rsidR="008B6934" w:rsidRDefault="008B6934" w:rsidP="008B6934"/>
    <w:p w:rsidR="008B6934" w:rsidRDefault="008B6934"/>
    <w:p w:rsidR="008B6934" w:rsidRDefault="008B6934"/>
    <w:p w:rsidR="008B6934" w:rsidRDefault="008B6934"/>
    <w:sectPr w:rsidR="008B6934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B1A"/>
    <w:rsid w:val="00062636"/>
    <w:rsid w:val="000F4E9A"/>
    <w:rsid w:val="00111E9E"/>
    <w:rsid w:val="00171916"/>
    <w:rsid w:val="001733FC"/>
    <w:rsid w:val="001B619A"/>
    <w:rsid w:val="001E7936"/>
    <w:rsid w:val="00203E75"/>
    <w:rsid w:val="0026128A"/>
    <w:rsid w:val="00292BA5"/>
    <w:rsid w:val="0030511D"/>
    <w:rsid w:val="003A6466"/>
    <w:rsid w:val="003E3D51"/>
    <w:rsid w:val="00415AF2"/>
    <w:rsid w:val="004241AC"/>
    <w:rsid w:val="004A18EF"/>
    <w:rsid w:val="004B20A8"/>
    <w:rsid w:val="004F6906"/>
    <w:rsid w:val="00671F2C"/>
    <w:rsid w:val="00690552"/>
    <w:rsid w:val="007E37BD"/>
    <w:rsid w:val="0085058D"/>
    <w:rsid w:val="008549A8"/>
    <w:rsid w:val="008B6934"/>
    <w:rsid w:val="00902371"/>
    <w:rsid w:val="00912D4F"/>
    <w:rsid w:val="009A260F"/>
    <w:rsid w:val="009B03DB"/>
    <w:rsid w:val="009B66CF"/>
    <w:rsid w:val="00A40FF3"/>
    <w:rsid w:val="00A90E37"/>
    <w:rsid w:val="00AD4EFE"/>
    <w:rsid w:val="00BC74C2"/>
    <w:rsid w:val="00C4237C"/>
    <w:rsid w:val="00CC7AFF"/>
    <w:rsid w:val="00D20170"/>
    <w:rsid w:val="00D30BEA"/>
    <w:rsid w:val="00D52C8B"/>
    <w:rsid w:val="00E43089"/>
    <w:rsid w:val="00E83F8D"/>
    <w:rsid w:val="00EA22A5"/>
    <w:rsid w:val="00EF062E"/>
    <w:rsid w:val="00F05F0B"/>
    <w:rsid w:val="00F654EE"/>
    <w:rsid w:val="00F66767"/>
    <w:rsid w:val="00FA2702"/>
    <w:rsid w:val="00FC3591"/>
    <w:rsid w:val="00FE1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B66CF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B66CF"/>
    <w:rPr>
      <w:color w:val="800080" w:themeColor="followedHyperlink"/>
      <w:u w:val="single"/>
    </w:rPr>
  </w:style>
  <w:style w:type="paragraph" w:styleId="Didascalia">
    <w:name w:val="caption"/>
    <w:basedOn w:val="Normale"/>
    <w:next w:val="Normale"/>
    <w:semiHidden/>
    <w:unhideWhenUsed/>
    <w:qFormat/>
    <w:rsid w:val="008B6934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8B6934"/>
    <w:pPr>
      <w:ind w:left="720"/>
      <w:contextualSpacing/>
    </w:pPr>
  </w:style>
  <w:style w:type="character" w:customStyle="1" w:styleId="s1">
    <w:name w:val="s1"/>
    <w:basedOn w:val="Carpredefinitoparagrafo"/>
    <w:rsid w:val="008B6934"/>
    <w:rPr>
      <w:rFonts w:ascii="Arial" w:hAnsi="Arial" w:cs="Arial" w:hint="default"/>
    </w:rPr>
  </w:style>
  <w:style w:type="paragraph" w:customStyle="1" w:styleId="TabletextrowsAgency">
    <w:name w:val="Table text rows (Agency)"/>
    <w:basedOn w:val="Normale"/>
    <w:semiHidden/>
    <w:rsid w:val="00EA22A5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2983</Words>
  <Characters>17004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27</cp:revision>
  <dcterms:created xsi:type="dcterms:W3CDTF">2015-06-08T12:20:00Z</dcterms:created>
  <dcterms:modified xsi:type="dcterms:W3CDTF">2015-07-13T14:43:00Z</dcterms:modified>
</cp:coreProperties>
</file>