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67593" w:rsidRDefault="00467593" w:rsidP="00467593">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467593" w:rsidRDefault="00467593" w:rsidP="004241AC">
      <w:pPr>
        <w:autoSpaceDE w:val="0"/>
        <w:autoSpaceDN w:val="0"/>
        <w:adjustRightInd w:val="0"/>
        <w:spacing w:after="0" w:line="240" w:lineRule="auto"/>
        <w:jc w:val="center"/>
        <w:rPr>
          <w:b/>
          <w:highlight w:val="yellow"/>
        </w:rPr>
      </w:pPr>
    </w:p>
    <w:p w:rsidR="004241AC" w:rsidRPr="00AB54C2" w:rsidRDefault="00281788" w:rsidP="004241AC">
      <w:pPr>
        <w:autoSpaceDE w:val="0"/>
        <w:autoSpaceDN w:val="0"/>
        <w:adjustRightInd w:val="0"/>
        <w:spacing w:after="0" w:line="240" w:lineRule="auto"/>
        <w:jc w:val="center"/>
        <w:rPr>
          <w:b/>
          <w:sz w:val="32"/>
        </w:rPr>
      </w:pPr>
      <w:r>
        <w:rPr>
          <w:b/>
          <w:sz w:val="32"/>
        </w:rPr>
        <w:t>REGALBAX</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281788">
        <w:rPr>
          <w:snapToGrid w:val="0"/>
        </w:rPr>
        <w:t>Pregabalin</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281788" w:rsidP="004241AC">
      <w:pPr>
        <w:autoSpaceDE w:val="0"/>
        <w:autoSpaceDN w:val="0"/>
        <w:adjustRightInd w:val="0"/>
        <w:spacing w:after="0" w:line="240" w:lineRule="auto"/>
        <w:jc w:val="center"/>
        <w:rPr>
          <w:b/>
        </w:rPr>
      </w:pPr>
      <w:r>
        <w:rPr>
          <w:b/>
        </w:rPr>
        <w:t>Laboratorio Farmaceutico CT</w:t>
      </w:r>
    </w:p>
    <w:p w:rsidR="00BB4CC4" w:rsidRPr="00062636" w:rsidRDefault="00BB4CC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F22C10" w:rsidRPr="00F22C10">
        <w:rPr>
          <w:rFonts w:cs="Helvetica"/>
          <w:b/>
        </w:rPr>
        <w:t>043</w:t>
      </w:r>
      <w:r w:rsidR="00281788">
        <w:rPr>
          <w:rFonts w:cs="Helvetica"/>
          <w:b/>
        </w:rPr>
        <w:t>664</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AB54C2" w:rsidRPr="0033523E" w:rsidRDefault="00AB54C2" w:rsidP="00AB54C2">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AB54C2" w:rsidRDefault="00AB54C2"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281788">
        <w:rPr>
          <w:rFonts w:eastAsia="Calibri" w:cs="Calibri"/>
          <w:color w:val="000000"/>
          <w:lang w:eastAsia="it-IT"/>
        </w:rPr>
        <w:t>Regalbax</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281788">
        <w:rPr>
          <w:rFonts w:eastAsia="Calibri" w:cs="Calibri"/>
          <w:color w:val="000000"/>
          <w:lang w:eastAsia="it-IT"/>
        </w:rPr>
        <w:t>Regalbax</w:t>
      </w:r>
      <w:proofErr w:type="spellEnd"/>
      <w:r w:rsidR="00B9671B">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5A64F7">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281788">
        <w:rPr>
          <w:rFonts w:eastAsia="Calibri" w:cs="Calibri"/>
          <w:color w:val="000000"/>
          <w:lang w:eastAsia="it-IT"/>
        </w:rPr>
        <w:t>Regalbax</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281788">
        <w:rPr>
          <w:rFonts w:eastAsia="Calibri" w:cs="Calibri"/>
          <w:color w:val="000000"/>
          <w:lang w:eastAsia="it-IT"/>
        </w:rPr>
        <w:t>Regalbax</w:t>
      </w:r>
      <w:proofErr w:type="spellEnd"/>
      <w:r w:rsidR="00B9671B">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5928E6" w:rsidRDefault="004241AC" w:rsidP="005928E6">
      <w:pPr>
        <w:autoSpaceDE w:val="0"/>
        <w:autoSpaceDN w:val="0"/>
        <w:adjustRightInd w:val="0"/>
        <w:spacing w:after="0" w:line="240" w:lineRule="auto"/>
        <w:jc w:val="both"/>
        <w:rPr>
          <w:rFonts w:eastAsia="Calibri" w:cs="Calibri"/>
          <w:b/>
          <w:color w:val="000000"/>
          <w:lang w:eastAsia="it-IT"/>
        </w:rPr>
      </w:pPr>
      <w:r w:rsidRPr="005928E6">
        <w:rPr>
          <w:rFonts w:eastAsia="Calibri" w:cs="Calibri"/>
          <w:b/>
          <w:bCs/>
          <w:color w:val="000000"/>
          <w:lang w:eastAsia="it-IT"/>
        </w:rPr>
        <w:t xml:space="preserve">1) CHE COS’È </w:t>
      </w:r>
      <w:proofErr w:type="spellStart"/>
      <w:r w:rsidR="00281788">
        <w:rPr>
          <w:rFonts w:eastAsia="Calibri" w:cs="Calibri"/>
          <w:b/>
          <w:color w:val="000000"/>
          <w:lang w:eastAsia="it-IT"/>
        </w:rPr>
        <w:t>Regalbax</w:t>
      </w:r>
      <w:proofErr w:type="spellEnd"/>
      <w:r w:rsidR="00B9671B">
        <w:rPr>
          <w:rFonts w:eastAsia="Calibri" w:cs="Calibri"/>
          <w:b/>
          <w:color w:val="000000"/>
          <w:lang w:eastAsia="it-IT"/>
        </w:rPr>
        <w:t xml:space="preserve"> </w:t>
      </w:r>
      <w:r w:rsidRPr="005928E6">
        <w:rPr>
          <w:rFonts w:eastAsia="Calibri" w:cs="Calibri"/>
          <w:b/>
          <w:bCs/>
          <w:color w:val="000000"/>
          <w:lang w:eastAsia="it-IT"/>
        </w:rPr>
        <w:t xml:space="preserve">e a cosa serve? </w:t>
      </w:r>
    </w:p>
    <w:p w:rsidR="004241AC" w:rsidRPr="005928E6" w:rsidRDefault="00281788" w:rsidP="00A61113">
      <w:pPr>
        <w:widowControl w:val="0"/>
        <w:spacing w:after="0" w:line="240" w:lineRule="auto"/>
        <w:jc w:val="both"/>
      </w:pPr>
      <w:proofErr w:type="spellStart"/>
      <w:r>
        <w:rPr>
          <w:rFonts w:eastAsia="Calibri" w:cs="Calibri"/>
          <w:bCs/>
          <w:color w:val="000000"/>
          <w:lang w:eastAsia="it-IT"/>
        </w:rPr>
        <w:t>Regalbax</w:t>
      </w:r>
      <w:proofErr w:type="spellEnd"/>
      <w:r w:rsidR="00B9671B">
        <w:rPr>
          <w:rFonts w:eastAsia="Calibri" w:cs="Calibri"/>
          <w:bCs/>
          <w:color w:val="000000"/>
          <w:lang w:eastAsia="it-IT"/>
        </w:rPr>
        <w:t xml:space="preserve"> </w:t>
      </w:r>
      <w:r w:rsidR="004241AC" w:rsidRPr="005928E6">
        <w:rPr>
          <w:rFonts w:eastAsia="Calibri" w:cs="Calibri"/>
          <w:color w:val="000000"/>
          <w:lang w:eastAsia="it-IT"/>
        </w:rPr>
        <w:t xml:space="preserve">è un medicinale contenente </w:t>
      </w:r>
      <w:r w:rsidR="00062636" w:rsidRPr="005928E6">
        <w:rPr>
          <w:rFonts w:eastAsia="Calibri" w:cs="Calibri"/>
          <w:color w:val="000000"/>
          <w:lang w:eastAsia="it-IT"/>
        </w:rPr>
        <w:t>i</w:t>
      </w:r>
      <w:r w:rsidR="00E83F8D" w:rsidRPr="005928E6">
        <w:rPr>
          <w:rFonts w:eastAsia="Calibri" w:cs="Calibri"/>
          <w:color w:val="000000"/>
          <w:lang w:eastAsia="it-IT"/>
        </w:rPr>
        <w:t>l</w:t>
      </w:r>
      <w:r w:rsidR="004241AC" w:rsidRPr="005928E6">
        <w:rPr>
          <w:rFonts w:eastAsia="Calibri" w:cs="Calibri"/>
          <w:color w:val="000000"/>
          <w:lang w:eastAsia="it-IT"/>
        </w:rPr>
        <w:t xml:space="preserve"> principi</w:t>
      </w:r>
      <w:r w:rsidR="00E83F8D" w:rsidRPr="005928E6">
        <w:rPr>
          <w:rFonts w:eastAsia="Calibri" w:cs="Calibri"/>
          <w:color w:val="000000"/>
          <w:lang w:eastAsia="it-IT"/>
        </w:rPr>
        <w:t>o</w:t>
      </w:r>
      <w:r w:rsidR="004241AC" w:rsidRPr="005928E6">
        <w:rPr>
          <w:rFonts w:eastAsia="Calibri" w:cs="Calibri"/>
          <w:color w:val="000000"/>
          <w:lang w:eastAsia="it-IT"/>
        </w:rPr>
        <w:t xml:space="preserve"> attiv</w:t>
      </w:r>
      <w:r w:rsidR="00E83F8D" w:rsidRPr="005928E6">
        <w:rPr>
          <w:rFonts w:eastAsia="Calibri" w:cs="Calibri"/>
          <w:color w:val="000000"/>
          <w:lang w:eastAsia="it-IT"/>
        </w:rPr>
        <w:t>o</w:t>
      </w:r>
      <w:r w:rsidR="004241AC" w:rsidRPr="005928E6">
        <w:rPr>
          <w:rFonts w:eastAsia="Calibri" w:cs="Calibri"/>
          <w:color w:val="000000"/>
          <w:lang w:eastAsia="it-IT"/>
        </w:rPr>
        <w:t xml:space="preserve"> </w:t>
      </w:r>
      <w:proofErr w:type="spellStart"/>
      <w:r>
        <w:rPr>
          <w:rFonts w:eastAsia="Calibri" w:cs="Calibri"/>
          <w:color w:val="000000"/>
          <w:lang w:eastAsia="it-IT"/>
        </w:rPr>
        <w:t>pregabalin</w:t>
      </w:r>
      <w:proofErr w:type="spellEnd"/>
      <w:r w:rsidR="00BB4CC4">
        <w:rPr>
          <w:rFonts w:eastAsia="Calibri" w:cs="Calibri"/>
          <w:color w:val="000000"/>
          <w:lang w:eastAsia="it-IT"/>
        </w:rPr>
        <w:t xml:space="preserve"> ed è </w:t>
      </w:r>
      <w:r w:rsidR="004241AC" w:rsidRPr="005928E6">
        <w:rPr>
          <w:rFonts w:eastAsia="Calibri" w:cs="Calibri"/>
          <w:color w:val="000000"/>
          <w:lang w:eastAsia="it-IT"/>
        </w:rPr>
        <w:t xml:space="preserve">disponibile in </w:t>
      </w:r>
      <w:r w:rsidR="000062DD">
        <w:rPr>
          <w:rFonts w:eastAsia="Calibri" w:cs="Calibri"/>
          <w:color w:val="000000"/>
          <w:lang w:eastAsia="it-IT"/>
        </w:rPr>
        <w:t>capsule</w:t>
      </w:r>
      <w:r w:rsidR="00A61113">
        <w:rPr>
          <w:rFonts w:eastAsia="Calibri" w:cs="Calibri"/>
          <w:color w:val="000000"/>
          <w:lang w:eastAsia="it-IT"/>
        </w:rPr>
        <w:t xml:space="preserve"> rigide contenenti </w:t>
      </w:r>
      <w:r>
        <w:rPr>
          <w:rFonts w:eastAsia="Calibri" w:cs="Calibri"/>
          <w:color w:val="000000"/>
          <w:lang w:eastAsia="it-IT"/>
        </w:rPr>
        <w:t>25</w:t>
      </w:r>
      <w:r w:rsidR="00A61113">
        <w:rPr>
          <w:rFonts w:eastAsia="Calibri" w:cs="Calibri"/>
          <w:color w:val="000000"/>
          <w:lang w:eastAsia="it-IT"/>
        </w:rPr>
        <w:t xml:space="preserve"> mg</w:t>
      </w:r>
      <w:r>
        <w:rPr>
          <w:rFonts w:eastAsia="Calibri" w:cs="Calibri"/>
          <w:color w:val="000000"/>
          <w:lang w:eastAsia="it-IT"/>
        </w:rPr>
        <w:t>, 75 mg, 150 mg</w:t>
      </w:r>
      <w:r w:rsidR="00A61113">
        <w:rPr>
          <w:rFonts w:eastAsia="Calibri" w:cs="Calibri"/>
          <w:color w:val="000000"/>
          <w:lang w:eastAsia="it-IT"/>
        </w:rPr>
        <w:t xml:space="preserve"> e </w:t>
      </w:r>
      <w:r>
        <w:rPr>
          <w:rFonts w:eastAsia="Calibri" w:cs="Calibri"/>
          <w:color w:val="000000"/>
          <w:lang w:eastAsia="it-IT"/>
        </w:rPr>
        <w:t>30</w:t>
      </w:r>
      <w:r w:rsidR="00A61113">
        <w:rPr>
          <w:rFonts w:eastAsia="Calibri" w:cs="Calibri"/>
          <w:color w:val="000000"/>
          <w:lang w:eastAsia="it-IT"/>
        </w:rPr>
        <w:t>0 mg</w:t>
      </w:r>
      <w:r w:rsidR="00BB4CC4">
        <w:rPr>
          <w:rFonts w:cs="Helvetica"/>
        </w:rPr>
        <w:t xml:space="preserve"> di principio attivo</w:t>
      </w:r>
      <w:r w:rsidR="004241AC" w:rsidRPr="005928E6">
        <w:t>.</w:t>
      </w:r>
    </w:p>
    <w:p w:rsidR="00013020" w:rsidRPr="00281788" w:rsidRDefault="00281788" w:rsidP="00281788">
      <w:pPr>
        <w:widowControl w:val="0"/>
        <w:spacing w:after="0" w:line="240" w:lineRule="auto"/>
        <w:jc w:val="both"/>
      </w:pPr>
      <w:proofErr w:type="spellStart"/>
      <w:r w:rsidRPr="00281788">
        <w:rPr>
          <w:rFonts w:eastAsia="Calibri" w:cs="Calibri"/>
          <w:color w:val="000000"/>
          <w:lang w:eastAsia="it-IT"/>
        </w:rPr>
        <w:t>Regalbax</w:t>
      </w:r>
      <w:proofErr w:type="spellEnd"/>
      <w:r w:rsidR="00B9671B" w:rsidRPr="00281788">
        <w:rPr>
          <w:rFonts w:eastAsia="Calibri" w:cs="Calibri"/>
          <w:color w:val="000000"/>
          <w:lang w:eastAsia="it-IT"/>
        </w:rPr>
        <w:t xml:space="preserve"> </w:t>
      </w:r>
      <w:r w:rsidR="00013020" w:rsidRPr="00281788">
        <w:rPr>
          <w:rFonts w:eastAsia="Calibri" w:cs="Calibri"/>
          <w:color w:val="000000"/>
          <w:lang w:eastAsia="it-IT"/>
        </w:rPr>
        <w:t>è un “medicinale generico”, cioè è analogo ad un “medicinale di riferimento”</w:t>
      </w:r>
      <w:r w:rsidR="00990D3E" w:rsidRPr="00281788">
        <w:rPr>
          <w:rFonts w:eastAsia="Calibri" w:cs="Calibri"/>
          <w:color w:val="000000"/>
          <w:lang w:eastAsia="it-IT"/>
        </w:rPr>
        <w:t>,</w:t>
      </w:r>
      <w:r w:rsidR="00A61113" w:rsidRPr="00281788">
        <w:rPr>
          <w:rFonts w:eastAsia="Calibri" w:cs="Calibri"/>
          <w:color w:val="000000"/>
          <w:lang w:eastAsia="it-IT"/>
        </w:rPr>
        <w:t xml:space="preserve"> </w:t>
      </w:r>
      <w:proofErr w:type="spellStart"/>
      <w:r w:rsidRPr="00281788">
        <w:rPr>
          <w:rFonts w:eastAsia="Calibri" w:cs="Calibri"/>
          <w:color w:val="000000"/>
          <w:lang w:eastAsia="it-IT"/>
        </w:rPr>
        <w:t>Lyrica</w:t>
      </w:r>
      <w:proofErr w:type="spellEnd"/>
      <w:r w:rsidR="00990D3E" w:rsidRPr="00281788">
        <w:rPr>
          <w:rFonts w:eastAsia="Calibri" w:cs="Calibri"/>
          <w:color w:val="000000"/>
          <w:lang w:eastAsia="it-IT"/>
        </w:rPr>
        <w:t>,</w:t>
      </w:r>
      <w:r w:rsidR="00013020" w:rsidRPr="00281788">
        <w:rPr>
          <w:rFonts w:eastAsia="Calibri" w:cs="Calibri"/>
          <w:color w:val="000000"/>
          <w:lang w:eastAsia="it-IT"/>
        </w:rPr>
        <w:t xml:space="preserve"> autorizzato in </w:t>
      </w:r>
      <w:r w:rsidR="00E83F8D" w:rsidRPr="00281788">
        <w:rPr>
          <w:rFonts w:eastAsia="Calibri" w:cs="Calibri"/>
          <w:color w:val="000000"/>
          <w:lang w:eastAsia="it-IT"/>
        </w:rPr>
        <w:t>Italia</w:t>
      </w:r>
      <w:r w:rsidR="00A61113" w:rsidRPr="00281788">
        <w:rPr>
          <w:rFonts w:eastAsia="Calibri" w:cs="Calibri"/>
          <w:color w:val="000000"/>
          <w:lang w:eastAsia="it-IT"/>
        </w:rPr>
        <w:t xml:space="preserve"> con procedura centralizzata</w:t>
      </w:r>
      <w:r w:rsidR="00013020" w:rsidRPr="00281788">
        <w:rPr>
          <w:rFonts w:eastAsia="Calibri" w:cs="Calibri"/>
          <w:color w:val="000000"/>
          <w:lang w:eastAsia="it-IT"/>
        </w:rPr>
        <w:t>.</w:t>
      </w:r>
      <w:r w:rsidR="00A61113" w:rsidRPr="00281788">
        <w:rPr>
          <w:rFonts w:eastAsia="Calibri" w:cs="Calibri"/>
          <w:color w:val="000000"/>
          <w:lang w:eastAsia="it-IT"/>
        </w:rPr>
        <w:t xml:space="preserve"> L’</w:t>
      </w:r>
      <w:proofErr w:type="spellStart"/>
      <w:r w:rsidR="00A61113" w:rsidRPr="00281788">
        <w:rPr>
          <w:rFonts w:eastAsia="Calibri" w:cs="Calibri"/>
          <w:i/>
          <w:color w:val="000000"/>
          <w:lang w:eastAsia="it-IT"/>
        </w:rPr>
        <w:t>European</w:t>
      </w:r>
      <w:proofErr w:type="spellEnd"/>
      <w:r w:rsidR="00A61113" w:rsidRPr="00281788">
        <w:rPr>
          <w:rFonts w:eastAsia="Calibri" w:cs="Calibri"/>
          <w:color w:val="000000"/>
          <w:lang w:eastAsia="it-IT"/>
        </w:rPr>
        <w:t xml:space="preserve"> </w:t>
      </w:r>
      <w:r w:rsidR="00A61113" w:rsidRPr="00281788">
        <w:rPr>
          <w:rFonts w:eastAsia="Calibri" w:cs="Calibri"/>
          <w:i/>
          <w:color w:val="000000"/>
          <w:lang w:eastAsia="it-IT"/>
        </w:rPr>
        <w:t xml:space="preserve">Public </w:t>
      </w:r>
      <w:proofErr w:type="spellStart"/>
      <w:r w:rsidR="00A61113" w:rsidRPr="00281788">
        <w:rPr>
          <w:rFonts w:eastAsia="Calibri" w:cs="Calibri"/>
          <w:i/>
          <w:color w:val="000000"/>
          <w:lang w:eastAsia="it-IT"/>
        </w:rPr>
        <w:t>Assessment</w:t>
      </w:r>
      <w:proofErr w:type="spellEnd"/>
      <w:r w:rsidR="00A61113" w:rsidRPr="00281788">
        <w:rPr>
          <w:rFonts w:eastAsia="Calibri" w:cs="Calibri"/>
          <w:i/>
          <w:color w:val="000000"/>
          <w:lang w:eastAsia="it-IT"/>
        </w:rPr>
        <w:t xml:space="preserve"> Report</w:t>
      </w:r>
      <w:r w:rsidR="00A61113" w:rsidRPr="00281788">
        <w:rPr>
          <w:rFonts w:eastAsia="Calibri" w:cs="Calibri"/>
          <w:color w:val="000000"/>
          <w:lang w:eastAsia="it-IT"/>
        </w:rPr>
        <w:t xml:space="preserve"> (EPAR) di </w:t>
      </w:r>
      <w:proofErr w:type="spellStart"/>
      <w:r w:rsidRPr="00281788">
        <w:rPr>
          <w:rFonts w:eastAsia="Calibri" w:cs="Calibri"/>
          <w:color w:val="000000"/>
          <w:lang w:eastAsia="it-IT"/>
        </w:rPr>
        <w:t>Lyrica</w:t>
      </w:r>
      <w:proofErr w:type="spellEnd"/>
      <w:r w:rsidR="00A61113" w:rsidRPr="00281788">
        <w:rPr>
          <w:rFonts w:eastAsia="Calibri" w:cs="Calibri"/>
          <w:color w:val="000000"/>
          <w:lang w:eastAsia="it-IT"/>
        </w:rPr>
        <w:t xml:space="preserve"> può essere consultato sul sito dell’Agenzia Europea dei medicinali (</w:t>
      </w:r>
      <w:proofErr w:type="spellStart"/>
      <w:r w:rsidR="00A61113" w:rsidRPr="00281788">
        <w:rPr>
          <w:rFonts w:eastAsia="Calibri" w:cs="Calibri"/>
          <w:i/>
          <w:color w:val="000000"/>
          <w:lang w:eastAsia="it-IT"/>
        </w:rPr>
        <w:t>European</w:t>
      </w:r>
      <w:proofErr w:type="spellEnd"/>
      <w:r w:rsidR="00A61113" w:rsidRPr="00281788">
        <w:rPr>
          <w:rFonts w:eastAsia="Calibri" w:cs="Calibri"/>
          <w:i/>
          <w:color w:val="000000"/>
          <w:lang w:eastAsia="it-IT"/>
        </w:rPr>
        <w:t xml:space="preserve"> </w:t>
      </w:r>
      <w:proofErr w:type="spellStart"/>
      <w:r w:rsidR="00A61113" w:rsidRPr="00281788">
        <w:rPr>
          <w:rFonts w:eastAsia="Calibri" w:cs="Calibri"/>
          <w:i/>
          <w:color w:val="000000"/>
          <w:lang w:eastAsia="it-IT"/>
        </w:rPr>
        <w:t>Medicinal</w:t>
      </w:r>
      <w:proofErr w:type="spellEnd"/>
      <w:r w:rsidR="00A61113" w:rsidRPr="00281788">
        <w:rPr>
          <w:rFonts w:eastAsia="Calibri" w:cs="Calibri"/>
          <w:i/>
          <w:color w:val="000000"/>
          <w:lang w:eastAsia="it-IT"/>
        </w:rPr>
        <w:t xml:space="preserve"> </w:t>
      </w:r>
      <w:proofErr w:type="spellStart"/>
      <w:r w:rsidR="00A61113" w:rsidRPr="00281788">
        <w:rPr>
          <w:rFonts w:eastAsia="Calibri" w:cs="Calibri"/>
          <w:i/>
          <w:color w:val="000000"/>
          <w:lang w:eastAsia="it-IT"/>
        </w:rPr>
        <w:t>Agency</w:t>
      </w:r>
      <w:proofErr w:type="spellEnd"/>
      <w:r w:rsidR="00A61113" w:rsidRPr="00281788">
        <w:rPr>
          <w:rFonts w:eastAsia="Calibri" w:cs="Calibri"/>
          <w:color w:val="000000"/>
          <w:lang w:eastAsia="it-IT"/>
        </w:rPr>
        <w:t xml:space="preserve"> – EMA) (</w:t>
      </w:r>
      <w:hyperlink r:id="rId6" w:history="1">
        <w:r w:rsidR="00A61113" w:rsidRPr="00281788">
          <w:rPr>
            <w:rStyle w:val="Collegamentoipertestuale"/>
            <w:rFonts w:eastAsia="Calibri" w:cs="Calibri"/>
            <w:bCs/>
            <w:lang w:eastAsia="it-IT"/>
          </w:rPr>
          <w:t>http://www.ema.europa.eu/ema/index.jsp?curl=pages/medicines/landing/epar_search.jsp&amp;mid</w:t>
        </w:r>
      </w:hyperlink>
      <w:r w:rsidR="00A61113" w:rsidRPr="00281788">
        <w:rPr>
          <w:rFonts w:eastAsia="Calibri" w:cs="Calibri"/>
          <w:bCs/>
          <w:color w:val="000000"/>
          <w:lang w:eastAsia="it-IT"/>
        </w:rPr>
        <w:t>).</w:t>
      </w:r>
    </w:p>
    <w:p w:rsidR="00B81265" w:rsidRDefault="00281788" w:rsidP="00B81265">
      <w:pPr>
        <w:autoSpaceDE w:val="0"/>
        <w:autoSpaceDN w:val="0"/>
        <w:adjustRightInd w:val="0"/>
        <w:spacing w:after="0" w:line="240" w:lineRule="auto"/>
        <w:jc w:val="both"/>
      </w:pPr>
      <w:proofErr w:type="spellStart"/>
      <w:r w:rsidRPr="00281788">
        <w:rPr>
          <w:rFonts w:eastAsia="Calibri" w:cs="Calibri"/>
          <w:color w:val="000000"/>
          <w:lang w:eastAsia="it-IT"/>
        </w:rPr>
        <w:t>Regalbax</w:t>
      </w:r>
      <w:proofErr w:type="spellEnd"/>
      <w:r w:rsidR="00B9671B" w:rsidRPr="00281788">
        <w:rPr>
          <w:rFonts w:eastAsia="Calibri" w:cs="Calibri"/>
          <w:color w:val="000000"/>
          <w:lang w:eastAsia="it-IT"/>
        </w:rPr>
        <w:t xml:space="preserve"> </w:t>
      </w:r>
      <w:r w:rsidR="00452364" w:rsidRPr="00281788">
        <w:rPr>
          <w:rFonts w:eastAsia="Calibri" w:cs="Calibri"/>
          <w:color w:val="000000"/>
          <w:lang w:eastAsia="it-IT"/>
        </w:rPr>
        <w:t>si usa</w:t>
      </w:r>
      <w:r w:rsidR="00A61113" w:rsidRPr="00281788">
        <w:rPr>
          <w:rFonts w:eastAsia="Calibri" w:cs="Calibri"/>
          <w:color w:val="000000"/>
          <w:lang w:eastAsia="it-IT"/>
        </w:rPr>
        <w:t xml:space="preserve"> negli adulti </w:t>
      </w:r>
      <w:r w:rsidR="00B81265">
        <w:t>come terapia aggiuntiva alla terapia in corso nei pazienti con attacchi epilettici parziali (attacchi epilettici che cominciano in un’area specifica del cervello) che non possono essere controllati con la terapia in corso e nel disturbo d’ansia generalizzato (ansia o nervosismo cronici per questioni legate alla vita quotidiana).</w:t>
      </w:r>
    </w:p>
    <w:p w:rsidR="00B81265" w:rsidRDefault="00B81265" w:rsidP="00B81265">
      <w:pPr>
        <w:autoSpaceDE w:val="0"/>
        <w:autoSpaceDN w:val="0"/>
        <w:adjustRightInd w:val="0"/>
        <w:spacing w:after="0" w:line="240" w:lineRule="auto"/>
        <w:jc w:val="both"/>
      </w:pPr>
    </w:p>
    <w:p w:rsidR="00B81265" w:rsidRPr="00281788" w:rsidRDefault="00B81265" w:rsidP="00B81265">
      <w:pPr>
        <w:autoSpaceDE w:val="0"/>
        <w:autoSpaceDN w:val="0"/>
        <w:adjustRightInd w:val="0"/>
        <w:spacing w:after="0" w:line="240" w:lineRule="auto"/>
        <w:jc w:val="both"/>
        <w:rPr>
          <w:rFonts w:eastAsia="Calibri" w:cs="Calibri"/>
          <w:b/>
          <w:bCs/>
          <w:color w:val="000000"/>
          <w:lang w:eastAsia="it-IT"/>
        </w:rPr>
      </w:pPr>
    </w:p>
    <w:p w:rsidR="004241AC" w:rsidRPr="00281788" w:rsidRDefault="004241AC" w:rsidP="00B81265">
      <w:pPr>
        <w:tabs>
          <w:tab w:val="left" w:pos="0"/>
        </w:tabs>
        <w:overflowPunct w:val="0"/>
        <w:autoSpaceDE w:val="0"/>
        <w:autoSpaceDN w:val="0"/>
        <w:adjustRightInd w:val="0"/>
        <w:spacing w:after="0" w:line="240" w:lineRule="auto"/>
        <w:jc w:val="both"/>
        <w:textAlignment w:val="baseline"/>
        <w:rPr>
          <w:rFonts w:eastAsia="Calibri" w:cs="Calibri"/>
          <w:color w:val="000000"/>
          <w:lang w:eastAsia="it-IT"/>
        </w:rPr>
      </w:pPr>
      <w:r w:rsidRPr="00281788">
        <w:rPr>
          <w:rFonts w:eastAsia="Calibri" w:cs="Calibri"/>
          <w:b/>
          <w:bCs/>
          <w:color w:val="000000"/>
          <w:lang w:eastAsia="it-IT"/>
        </w:rPr>
        <w:t xml:space="preserve">2) COME E’ PRESCRITTO/USATO </w:t>
      </w:r>
      <w:proofErr w:type="spellStart"/>
      <w:r w:rsidR="00281788" w:rsidRPr="00281788">
        <w:rPr>
          <w:rFonts w:eastAsia="Calibri" w:cs="Calibri"/>
          <w:b/>
          <w:bCs/>
          <w:color w:val="000000"/>
          <w:lang w:eastAsia="it-IT"/>
        </w:rPr>
        <w:t>Regalbax</w:t>
      </w:r>
      <w:proofErr w:type="spellEnd"/>
      <w:r w:rsidRPr="00281788">
        <w:rPr>
          <w:rFonts w:eastAsia="Calibri" w:cs="Calibri"/>
          <w:b/>
          <w:bCs/>
          <w:color w:val="000000"/>
          <w:lang w:eastAsia="it-IT"/>
        </w:rPr>
        <w:t>?</w:t>
      </w:r>
    </w:p>
    <w:p w:rsidR="004241AC" w:rsidRPr="00281788" w:rsidRDefault="00281788" w:rsidP="00281788">
      <w:pPr>
        <w:autoSpaceDE w:val="0"/>
        <w:autoSpaceDN w:val="0"/>
        <w:adjustRightInd w:val="0"/>
        <w:spacing w:after="0" w:line="240" w:lineRule="auto"/>
        <w:jc w:val="both"/>
        <w:rPr>
          <w:rFonts w:eastAsia="Calibri" w:cs="Calibri"/>
          <w:color w:val="000000"/>
          <w:lang w:eastAsia="it-IT"/>
        </w:rPr>
      </w:pPr>
      <w:proofErr w:type="spellStart"/>
      <w:r w:rsidRPr="00281788">
        <w:rPr>
          <w:rFonts w:eastAsia="Calibri" w:cs="Calibri"/>
          <w:color w:val="000000"/>
          <w:lang w:eastAsia="it-IT"/>
        </w:rPr>
        <w:t>Regalbax</w:t>
      </w:r>
      <w:proofErr w:type="spellEnd"/>
      <w:r w:rsidR="00B9671B" w:rsidRPr="00281788">
        <w:rPr>
          <w:rFonts w:eastAsia="Calibri" w:cs="Calibri"/>
          <w:color w:val="000000"/>
          <w:lang w:eastAsia="it-IT"/>
        </w:rPr>
        <w:t xml:space="preserve"> </w:t>
      </w:r>
      <w:r w:rsidR="004241AC" w:rsidRPr="00281788">
        <w:rPr>
          <w:rFonts w:eastAsia="Calibri" w:cs="Calibri"/>
          <w:color w:val="000000"/>
          <w:lang w:eastAsia="it-IT"/>
        </w:rPr>
        <w:t>può essere ottenuto solo dietro prescrizione da parte del medico (ricetta ripetibile).</w:t>
      </w:r>
    </w:p>
    <w:p w:rsidR="00B81265" w:rsidRDefault="00B81265" w:rsidP="00281788">
      <w:pPr>
        <w:tabs>
          <w:tab w:val="left" w:pos="0"/>
        </w:tabs>
        <w:spacing w:after="0" w:line="240" w:lineRule="auto"/>
        <w:jc w:val="both"/>
      </w:pPr>
      <w:r>
        <w:t xml:space="preserve">La dose iniziale raccomandata di </w:t>
      </w:r>
      <w:proofErr w:type="spellStart"/>
      <w:r>
        <w:t>Regalbax</w:t>
      </w:r>
      <w:proofErr w:type="spellEnd"/>
      <w:r>
        <w:t xml:space="preserve"> è di 150 mg al giorno, suddivisa in due o tre dosi. Dopo qualche giorno, la dose può essere aumentata a 300 mg al giorno. Le dosi possono essere aumentate fino a un dosaggio maggiore del doppio finché si raggiunge la dose più efficace. La dose massima è di 600 mg al giorno. Anche la sospensione del trattamento con </w:t>
      </w:r>
      <w:proofErr w:type="spellStart"/>
      <w:r>
        <w:t>Regalbax</w:t>
      </w:r>
      <w:proofErr w:type="spellEnd"/>
      <w:r>
        <w:t xml:space="preserve"> deve avvenire in modo graduale, nell’arco di almeno una settimana.</w:t>
      </w:r>
    </w:p>
    <w:p w:rsidR="006C7E98" w:rsidRPr="00281788" w:rsidRDefault="00281788" w:rsidP="00281788">
      <w:pPr>
        <w:tabs>
          <w:tab w:val="left" w:pos="0"/>
        </w:tabs>
        <w:spacing w:after="0" w:line="240" w:lineRule="auto"/>
        <w:jc w:val="both"/>
      </w:pPr>
      <w:r>
        <w:t>Nei</w:t>
      </w:r>
      <w:r w:rsidR="00730C29" w:rsidRPr="00281788">
        <w:t xml:space="preserve"> pazienti </w:t>
      </w:r>
      <w:r w:rsidR="006C7E98" w:rsidRPr="00281788">
        <w:t xml:space="preserve">con </w:t>
      </w:r>
      <w:r w:rsidR="00F6357B" w:rsidRPr="00281788">
        <w:t xml:space="preserve">problemi </w:t>
      </w:r>
      <w:r w:rsidR="006C7E98" w:rsidRPr="00281788">
        <w:t xml:space="preserve">al rene </w:t>
      </w:r>
      <w:r>
        <w:t>queste dosi possono essere più basse</w:t>
      </w:r>
      <w:r w:rsidR="006C7E98" w:rsidRPr="00281788">
        <w:t>.</w:t>
      </w:r>
    </w:p>
    <w:p w:rsidR="00F6357B" w:rsidRDefault="00281788" w:rsidP="00F6357B">
      <w:pPr>
        <w:autoSpaceDE w:val="0"/>
        <w:autoSpaceDN w:val="0"/>
        <w:adjustRightInd w:val="0"/>
        <w:spacing w:after="0" w:line="240" w:lineRule="auto"/>
        <w:jc w:val="both"/>
      </w:pPr>
      <w:proofErr w:type="spellStart"/>
      <w:r>
        <w:t>Regalbax</w:t>
      </w:r>
      <w:proofErr w:type="spellEnd"/>
      <w:r w:rsidR="00F6357B">
        <w:t xml:space="preserve"> non deve essere impiegato nei bambini e negli adolescenti di età inferiore ai 18 anni </w:t>
      </w:r>
      <w:r>
        <w:t xml:space="preserve">poiché </w:t>
      </w:r>
      <w:r w:rsidR="00F6357B">
        <w:t xml:space="preserve">non ci sono dati disponibili sulla sicurezza e sull’efficacia di </w:t>
      </w:r>
      <w:proofErr w:type="spellStart"/>
      <w:r>
        <w:t>pregabalin</w:t>
      </w:r>
      <w:proofErr w:type="spellEnd"/>
      <w:r w:rsidR="00F6357B">
        <w:t xml:space="preserve"> </w:t>
      </w:r>
      <w:r>
        <w:t>in questa popolazione</w:t>
      </w:r>
      <w:r w:rsidR="00F6357B">
        <w:t>.</w:t>
      </w:r>
    </w:p>
    <w:p w:rsidR="00F6357B" w:rsidRPr="00B564B6" w:rsidRDefault="00F6357B" w:rsidP="00F6357B">
      <w:pPr>
        <w:autoSpaceDE w:val="0"/>
        <w:autoSpaceDN w:val="0"/>
        <w:adjustRightInd w:val="0"/>
        <w:spacing w:after="0" w:line="240" w:lineRule="auto"/>
        <w:jc w:val="both"/>
        <w:rPr>
          <w:lang w:bidi="he-IL"/>
        </w:rPr>
      </w:pPr>
      <w:r>
        <w:lastRenderedPageBreak/>
        <w:t>Il medicinale può essere assunto indipendentemente dal cibo.</w:t>
      </w:r>
    </w:p>
    <w:p w:rsidR="00281788" w:rsidRPr="002937E3" w:rsidRDefault="00281788" w:rsidP="00F6357B">
      <w:pPr>
        <w:tabs>
          <w:tab w:val="left" w:pos="0"/>
        </w:tabs>
        <w:spacing w:after="0" w:line="240" w:lineRule="auto"/>
        <w:jc w:val="both"/>
      </w:pPr>
    </w:p>
    <w:p w:rsidR="004241AC" w:rsidRPr="00BA7D67" w:rsidRDefault="004241AC" w:rsidP="00F6357B">
      <w:pPr>
        <w:autoSpaceDE w:val="0"/>
        <w:autoSpaceDN w:val="0"/>
        <w:adjustRightInd w:val="0"/>
        <w:spacing w:after="0" w:line="240" w:lineRule="auto"/>
        <w:jc w:val="both"/>
        <w:rPr>
          <w:rFonts w:eastAsia="Calibri" w:cs="Verdana"/>
          <w:color w:val="000000"/>
          <w:lang w:eastAsia="it-IT"/>
        </w:rPr>
      </w:pPr>
    </w:p>
    <w:p w:rsidR="004241AC" w:rsidRPr="00BA7D67" w:rsidRDefault="004241AC" w:rsidP="00F6357B">
      <w:pPr>
        <w:autoSpaceDE w:val="0"/>
        <w:autoSpaceDN w:val="0"/>
        <w:adjustRightInd w:val="0"/>
        <w:spacing w:after="0" w:line="240" w:lineRule="auto"/>
        <w:jc w:val="both"/>
        <w:rPr>
          <w:rFonts w:eastAsia="Calibri" w:cs="Calibri"/>
          <w:color w:val="000000"/>
          <w:lang w:eastAsia="it-IT"/>
        </w:rPr>
      </w:pPr>
      <w:r w:rsidRPr="00BA7D67">
        <w:rPr>
          <w:rFonts w:eastAsia="Calibri" w:cs="Calibri"/>
          <w:b/>
          <w:bCs/>
          <w:color w:val="000000"/>
          <w:lang w:eastAsia="it-IT"/>
        </w:rPr>
        <w:t xml:space="preserve">3) COME FUNZIONA </w:t>
      </w:r>
      <w:proofErr w:type="spellStart"/>
      <w:r w:rsidR="00281788">
        <w:rPr>
          <w:rFonts w:eastAsia="Calibri" w:cs="Calibri"/>
          <w:b/>
          <w:bCs/>
          <w:color w:val="000000"/>
          <w:lang w:eastAsia="it-IT"/>
        </w:rPr>
        <w:t>Regalbax</w:t>
      </w:r>
      <w:proofErr w:type="spellEnd"/>
      <w:r w:rsidRPr="00BA7D67">
        <w:rPr>
          <w:rFonts w:eastAsia="Calibri" w:cs="Calibri"/>
          <w:b/>
          <w:bCs/>
          <w:color w:val="000000"/>
          <w:lang w:eastAsia="it-IT"/>
        </w:rPr>
        <w:t xml:space="preserve">? </w:t>
      </w:r>
    </w:p>
    <w:p w:rsidR="00156BA7" w:rsidRDefault="00281788" w:rsidP="00156BA7">
      <w:pPr>
        <w:autoSpaceDE w:val="0"/>
        <w:autoSpaceDN w:val="0"/>
        <w:adjustRightInd w:val="0"/>
        <w:spacing w:after="0" w:line="240" w:lineRule="auto"/>
        <w:jc w:val="both"/>
      </w:pPr>
      <w:proofErr w:type="spellStart"/>
      <w:r>
        <w:rPr>
          <w:rFonts w:eastAsia="Calibri" w:cs="Calibri"/>
          <w:bCs/>
          <w:color w:val="000000"/>
          <w:lang w:eastAsia="it-IT"/>
        </w:rPr>
        <w:t>Regalbax</w:t>
      </w:r>
      <w:proofErr w:type="spellEnd"/>
      <w:r w:rsidR="00B27F42">
        <w:rPr>
          <w:rFonts w:eastAsia="Calibri" w:cs="Calibri"/>
          <w:bCs/>
          <w:color w:val="000000"/>
          <w:lang w:eastAsia="it-IT"/>
        </w:rPr>
        <w:t xml:space="preserve">, </w:t>
      </w:r>
      <w:r w:rsidR="00B27F42" w:rsidRPr="000E1A3B">
        <w:rPr>
          <w:rFonts w:eastAsia="Calibri" w:cs="Calibri"/>
          <w:bCs/>
          <w:color w:val="000000"/>
          <w:lang w:eastAsia="it-IT"/>
        </w:rPr>
        <w:t xml:space="preserve">il cui codice ATC è </w:t>
      </w:r>
      <w:r w:rsidRPr="009C6D91">
        <w:rPr>
          <w:rFonts w:ascii="Calibri" w:hAnsi="Calibri"/>
          <w:sz w:val="20"/>
        </w:rPr>
        <w:t>N03AX16</w:t>
      </w:r>
      <w:r w:rsidR="00B27F42">
        <w:rPr>
          <w:lang w:eastAsia="it-IT"/>
        </w:rPr>
        <w:t>,</w:t>
      </w:r>
      <w:r w:rsidR="00E43089" w:rsidRPr="000E1A3B">
        <w:rPr>
          <w:rFonts w:eastAsia="DejaVuSans" w:cs="DejaVuSans"/>
        </w:rPr>
        <w:t xml:space="preserve"> </w:t>
      </w:r>
      <w:r w:rsidR="004241AC" w:rsidRPr="000E1A3B">
        <w:rPr>
          <w:rFonts w:eastAsia="Calibri" w:cs="Calibri"/>
          <w:color w:val="000000"/>
          <w:lang w:eastAsia="it-IT"/>
        </w:rPr>
        <w:t>contiene i</w:t>
      </w:r>
      <w:r w:rsidR="00EF062E" w:rsidRPr="000E1A3B">
        <w:rPr>
          <w:rFonts w:eastAsia="Calibri" w:cs="Calibri"/>
          <w:color w:val="000000"/>
          <w:lang w:eastAsia="it-IT"/>
        </w:rPr>
        <w:t>l</w:t>
      </w:r>
      <w:r w:rsidR="004241AC" w:rsidRPr="000E1A3B">
        <w:rPr>
          <w:rFonts w:eastAsia="Calibri" w:cs="Calibri"/>
          <w:color w:val="000000"/>
          <w:lang w:eastAsia="it-IT"/>
        </w:rPr>
        <w:t xml:space="preserve"> principi</w:t>
      </w:r>
      <w:r w:rsidR="00EF062E" w:rsidRPr="000E1A3B">
        <w:rPr>
          <w:rFonts w:eastAsia="Calibri" w:cs="Calibri"/>
          <w:color w:val="000000"/>
          <w:lang w:eastAsia="it-IT"/>
        </w:rPr>
        <w:t>o</w:t>
      </w:r>
      <w:r w:rsidR="004241AC" w:rsidRPr="000E1A3B">
        <w:rPr>
          <w:rFonts w:eastAsia="Calibri" w:cs="Calibri"/>
          <w:color w:val="000000"/>
          <w:lang w:eastAsia="it-IT"/>
        </w:rPr>
        <w:t xml:space="preserve"> attiv</w:t>
      </w:r>
      <w:r w:rsidR="00EF062E" w:rsidRPr="000E1A3B">
        <w:rPr>
          <w:rFonts w:eastAsia="Calibri" w:cs="Calibri"/>
          <w:color w:val="000000"/>
          <w:lang w:eastAsia="it-IT"/>
        </w:rPr>
        <w:t>o</w:t>
      </w:r>
      <w:r w:rsidR="004241AC" w:rsidRPr="000E1A3B">
        <w:rPr>
          <w:rFonts w:eastAsia="Calibri" w:cs="Calibri"/>
          <w:color w:val="000000"/>
          <w:lang w:eastAsia="it-IT"/>
        </w:rPr>
        <w:t xml:space="preserve"> </w:t>
      </w:r>
      <w:proofErr w:type="spellStart"/>
      <w:r>
        <w:rPr>
          <w:rFonts w:eastAsia="Calibri" w:cs="Calibri"/>
          <w:color w:val="000000"/>
          <w:lang w:eastAsia="it-IT"/>
        </w:rPr>
        <w:t>pregabalin</w:t>
      </w:r>
      <w:proofErr w:type="spellEnd"/>
      <w:r w:rsidR="00B27F42">
        <w:rPr>
          <w:rFonts w:eastAsia="Calibri" w:cs="Calibri"/>
          <w:color w:val="000000"/>
          <w:lang w:eastAsia="it-IT"/>
        </w:rPr>
        <w:t xml:space="preserve"> che </w:t>
      </w:r>
      <w:r w:rsidR="00CA7C91">
        <w:rPr>
          <w:rFonts w:eastAsia="Calibri" w:cs="Calibri"/>
          <w:color w:val="000000"/>
          <w:lang w:eastAsia="it-IT"/>
        </w:rPr>
        <w:t xml:space="preserve">è </w:t>
      </w:r>
      <w:r w:rsidR="00EE1623">
        <w:t xml:space="preserve">simile nella struttura al “neurotrasmettitore” acido </w:t>
      </w:r>
      <w:proofErr w:type="spellStart"/>
      <w:r w:rsidR="00EE1623">
        <w:t>gamma-ammino</w:t>
      </w:r>
      <w:proofErr w:type="spellEnd"/>
      <w:r w:rsidR="00EE1623">
        <w:t xml:space="preserve"> butirrico (GABA). I neurotrasmettitori sono sostanze chimiche che permettono alle cellule nervose di comunicare tra di loro. Le precise modalità d’azione di </w:t>
      </w:r>
      <w:proofErr w:type="spellStart"/>
      <w:r w:rsidR="00EE1623">
        <w:t>pregabalin</w:t>
      </w:r>
      <w:proofErr w:type="spellEnd"/>
      <w:r w:rsidR="00EE1623">
        <w:t xml:space="preserve"> non sono del tutto note, ma si ritiene che esso agisca regolando l’entrata del calcio nelle cellule nervose. In questo modo si riduce l’attività di alcune cellule nervose nel cervello e nel midollo spinale, con conseguente riduzione del rilascio di altri neurotrasmettitori che intervengono nell’epilessia e nell’ansia.</w:t>
      </w:r>
    </w:p>
    <w:p w:rsidR="00EE1623" w:rsidRDefault="00EE1623" w:rsidP="00156BA7">
      <w:pPr>
        <w:autoSpaceDE w:val="0"/>
        <w:autoSpaceDN w:val="0"/>
        <w:adjustRightInd w:val="0"/>
        <w:spacing w:after="0" w:line="240" w:lineRule="auto"/>
        <w:jc w:val="both"/>
        <w:rPr>
          <w:iCs/>
        </w:rPr>
      </w:pPr>
    </w:p>
    <w:p w:rsidR="00BA7D67" w:rsidRPr="00BA7D67" w:rsidRDefault="00BA7D67" w:rsidP="00F6357B">
      <w:pPr>
        <w:tabs>
          <w:tab w:val="left" w:pos="0"/>
        </w:tabs>
        <w:overflowPunct w:val="0"/>
        <w:autoSpaceDE w:val="0"/>
        <w:autoSpaceDN w:val="0"/>
        <w:adjustRightInd w:val="0"/>
        <w:spacing w:after="0" w:line="240" w:lineRule="auto"/>
        <w:jc w:val="both"/>
        <w:textAlignment w:val="baseline"/>
        <w:rPr>
          <w:iCs/>
        </w:rPr>
      </w:pPr>
    </w:p>
    <w:p w:rsidR="004241AC" w:rsidRPr="00BA7D67" w:rsidRDefault="004241AC" w:rsidP="00F6357B">
      <w:pPr>
        <w:autoSpaceDE w:val="0"/>
        <w:autoSpaceDN w:val="0"/>
        <w:adjustRightInd w:val="0"/>
        <w:spacing w:after="0" w:line="240" w:lineRule="auto"/>
        <w:jc w:val="both"/>
        <w:rPr>
          <w:rFonts w:eastAsia="Calibri" w:cs="Calibri"/>
          <w:lang w:eastAsia="it-IT"/>
        </w:rPr>
      </w:pPr>
      <w:r w:rsidRPr="00BA7D67">
        <w:rPr>
          <w:rFonts w:eastAsia="Calibri" w:cs="Calibri"/>
          <w:b/>
          <w:bCs/>
          <w:lang w:eastAsia="it-IT"/>
        </w:rPr>
        <w:t xml:space="preserve">4) COME È STATO STUDIATO </w:t>
      </w:r>
      <w:proofErr w:type="spellStart"/>
      <w:r w:rsidR="00281788">
        <w:rPr>
          <w:rFonts w:eastAsia="Calibri" w:cs="Calibri"/>
          <w:b/>
          <w:bCs/>
          <w:color w:val="000000"/>
          <w:lang w:eastAsia="it-IT"/>
        </w:rPr>
        <w:t>Regalbax</w:t>
      </w:r>
      <w:proofErr w:type="spellEnd"/>
      <w:r w:rsidRPr="00BA7D67">
        <w:rPr>
          <w:rFonts w:eastAsia="Calibri" w:cs="Calibri"/>
          <w:b/>
          <w:bCs/>
          <w:lang w:eastAsia="it-IT"/>
        </w:rPr>
        <w:t xml:space="preserve">? </w:t>
      </w:r>
    </w:p>
    <w:p w:rsidR="004241AC" w:rsidRPr="004E389D" w:rsidRDefault="004241AC" w:rsidP="00F6357B">
      <w:pPr>
        <w:spacing w:after="0" w:line="240" w:lineRule="auto"/>
        <w:jc w:val="both"/>
        <w:rPr>
          <w:rFonts w:ascii="Calibri" w:hAnsi="Calibri" w:cs="Arial"/>
        </w:rPr>
      </w:pPr>
      <w:r w:rsidRPr="00BA7D67">
        <w:rPr>
          <w:rFonts w:cs="Arial"/>
        </w:rPr>
        <w:t xml:space="preserve">Poiché </w:t>
      </w:r>
      <w:proofErr w:type="spellStart"/>
      <w:r w:rsidR="00281788">
        <w:rPr>
          <w:rFonts w:cs="Arial"/>
        </w:rPr>
        <w:t>Regalbax</w:t>
      </w:r>
      <w:proofErr w:type="spellEnd"/>
      <w:r w:rsidR="00B9671B">
        <w:rPr>
          <w:rFonts w:cs="Arial"/>
        </w:rPr>
        <w:t xml:space="preserve"> </w:t>
      </w:r>
      <w:r w:rsidR="00013020" w:rsidRPr="00BA7D67">
        <w:rPr>
          <w:rFonts w:cs="Arial"/>
        </w:rPr>
        <w:t>è un medicinale generico</w:t>
      </w:r>
      <w:r w:rsidRPr="00BA7D67">
        <w:rPr>
          <w:rFonts w:cs="Arial"/>
        </w:rPr>
        <w:t>, è stato sufficiente effettuare prove cliniche per determinare</w:t>
      </w:r>
      <w:r w:rsidRPr="00BA7D67">
        <w:rPr>
          <w:rFonts w:cs="Arial"/>
          <w:b/>
        </w:rPr>
        <w:t xml:space="preserve"> </w:t>
      </w:r>
      <w:r w:rsidRPr="00BA7D67">
        <w:rPr>
          <w:rFonts w:cs="Arial"/>
        </w:rPr>
        <w:t xml:space="preserve">la bioequivalenza rispetto </w:t>
      </w:r>
      <w:r w:rsidR="00013020" w:rsidRPr="00BA7D67">
        <w:rPr>
          <w:rFonts w:cs="Arial"/>
        </w:rPr>
        <w:t>al</w:t>
      </w:r>
      <w:r w:rsidRPr="00BA7D67">
        <w:rPr>
          <w:rFonts w:cs="Arial"/>
        </w:rPr>
        <w:t xml:space="preserve"> medicinal</w:t>
      </w:r>
      <w:r w:rsidR="00013020" w:rsidRPr="00BA7D67">
        <w:rPr>
          <w:rFonts w:cs="Arial"/>
        </w:rPr>
        <w:t xml:space="preserve">e </w:t>
      </w:r>
      <w:r w:rsidRPr="00BA7D67">
        <w:rPr>
          <w:rFonts w:cs="Arial"/>
        </w:rPr>
        <w:t xml:space="preserve">di riferimento </w:t>
      </w:r>
      <w:proofErr w:type="spellStart"/>
      <w:r w:rsidR="00281788">
        <w:rPr>
          <w:rFonts w:cs="Arial"/>
        </w:rPr>
        <w:t>Lyrica</w:t>
      </w:r>
      <w:proofErr w:type="spellEnd"/>
      <w:r w:rsidR="00013020" w:rsidRPr="00BA7D67">
        <w:rPr>
          <w:rFonts w:cs="Arial"/>
        </w:rPr>
        <w:t>. Due medicinali sono</w:t>
      </w:r>
      <w:r w:rsidR="00013020">
        <w:rPr>
          <w:rFonts w:ascii="Calibri" w:hAnsi="Calibri" w:cs="Arial"/>
        </w:rPr>
        <w:t xml:space="preserve"> </w:t>
      </w:r>
      <w:proofErr w:type="spellStart"/>
      <w:r w:rsidR="00013020">
        <w:rPr>
          <w:rFonts w:ascii="Calibri" w:hAnsi="Calibri" w:cs="Arial"/>
        </w:rPr>
        <w:t>bioequivalenti</w:t>
      </w:r>
      <w:proofErr w:type="spellEnd"/>
      <w:r w:rsidR="00013020">
        <w:rPr>
          <w:rFonts w:ascii="Calibri" w:hAnsi="Calibri" w:cs="Arial"/>
        </w:rPr>
        <w:t xml:space="preserve"> quando producono gli stessi livelli di principio attivo nell’organismo</w:t>
      </w:r>
      <w:r w:rsidRPr="004E389D">
        <w:rPr>
          <w:rFonts w:ascii="Calibri" w:hAnsi="Calibri" w:cs="Arial"/>
        </w:rPr>
        <w:t xml:space="preserve">. </w:t>
      </w:r>
    </w:p>
    <w:p w:rsidR="004241AC" w:rsidRDefault="004241AC" w:rsidP="00F6357B">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281788">
        <w:rPr>
          <w:rFonts w:eastAsia="Calibri" w:cs="Calibri"/>
          <w:b/>
          <w:bCs/>
          <w:color w:val="000000"/>
          <w:lang w:eastAsia="it-IT"/>
        </w:rPr>
        <w:t>Regalbax</w:t>
      </w:r>
      <w:proofErr w:type="spellEnd"/>
      <w:r w:rsidRPr="009B03DB">
        <w:rPr>
          <w:rFonts w:eastAsia="Calibri" w:cs="Calibri"/>
          <w:b/>
          <w:lang w:eastAsia="it-IT"/>
        </w:rPr>
        <w:t>?</w:t>
      </w:r>
      <w:r w:rsidRPr="002A3F14">
        <w:rPr>
          <w:rFonts w:eastAsia="Calibri" w:cs="Calibri"/>
          <w:lang w:eastAsia="it-IT"/>
        </w:rPr>
        <w:t xml:space="preserve"> </w:t>
      </w:r>
    </w:p>
    <w:p w:rsidR="004241AC" w:rsidRPr="002A3F14" w:rsidRDefault="00281788" w:rsidP="004241AC">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Regalbax</w:t>
      </w:r>
      <w:proofErr w:type="spellEnd"/>
      <w:r w:rsidR="00B9671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 xml:space="preserve">generico ed è </w:t>
      </w:r>
      <w:proofErr w:type="spellStart"/>
      <w:r w:rsidR="00013020">
        <w:rPr>
          <w:rFonts w:eastAsia="Calibri" w:cs="Calibri"/>
          <w:lang w:eastAsia="it-IT"/>
        </w:rPr>
        <w:t>bioequivale</w:t>
      </w:r>
      <w:r w:rsidR="009B03DB">
        <w:rPr>
          <w:rFonts w:eastAsia="Calibri" w:cs="Calibri"/>
          <w:lang w:eastAsia="it-IT"/>
        </w:rPr>
        <w:t>n</w:t>
      </w:r>
      <w:r w:rsidR="00013020">
        <w:rPr>
          <w:rFonts w:eastAsia="Calibri" w:cs="Calibri"/>
          <w:lang w:eastAsia="it-IT"/>
        </w:rPr>
        <w:t>te</w:t>
      </w:r>
      <w:proofErr w:type="spellEnd"/>
      <w:r w:rsidR="00013020">
        <w:rPr>
          <w:rFonts w:eastAsia="Calibri" w:cs="Calibri"/>
          <w:lang w:eastAsia="it-IT"/>
        </w:rPr>
        <w:t xml:space="preserve"> al medicinale di riferimento</w:t>
      </w:r>
      <w:r w:rsidR="00BA7D67">
        <w:rPr>
          <w:rFonts w:eastAsia="Calibri" w:cs="Calibri"/>
          <w:lang w:eastAsia="it-IT"/>
        </w:rPr>
        <w:t>; pertanto,</w:t>
      </w:r>
      <w:r w:rsidR="00BA7D6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281788">
        <w:rPr>
          <w:rFonts w:eastAsia="Calibri" w:cs="Calibri"/>
          <w:b/>
          <w:bCs/>
          <w:color w:val="000000"/>
          <w:lang w:eastAsia="it-IT"/>
        </w:rPr>
        <w:t>Regalbax</w:t>
      </w:r>
      <w:proofErr w:type="spellEnd"/>
      <w:r w:rsidR="00B9671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nella </w:t>
      </w:r>
      <w:r w:rsidRPr="00CA3A1E">
        <w:rPr>
          <w:rFonts w:eastAsia="Calibri" w:cs="Calibri"/>
          <w:lang w:eastAsia="it-IT"/>
        </w:rPr>
        <w:t xml:space="preserve">seduta del </w:t>
      </w:r>
      <w:r w:rsidR="00156BA7">
        <w:rPr>
          <w:rFonts w:eastAsia="Calibri" w:cs="Calibri"/>
          <w:lang w:eastAsia="it-IT"/>
        </w:rPr>
        <w:t>13-14 luglio</w:t>
      </w:r>
      <w:r w:rsidR="002937E3">
        <w:rPr>
          <w:rFonts w:eastAsia="Calibri" w:cs="Calibri"/>
          <w:lang w:eastAsia="it-IT"/>
        </w:rPr>
        <w:t xml:space="preserve"> 2015</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281788">
        <w:rPr>
          <w:rFonts w:eastAsia="Calibri" w:cs="Calibri"/>
          <w:lang w:eastAsia="it-IT"/>
        </w:rPr>
        <w:t>Lyrica</w:t>
      </w:r>
      <w:proofErr w:type="spellEnd"/>
      <w:r>
        <w:rPr>
          <w:rFonts w:eastAsia="Calibri" w:cs="Calibri"/>
          <w:lang w:eastAsia="it-IT"/>
        </w:rPr>
        <w:t xml:space="preserve">, i benefici di </w:t>
      </w:r>
      <w:proofErr w:type="spellStart"/>
      <w:r w:rsidR="00281788">
        <w:rPr>
          <w:rFonts w:eastAsia="Calibri" w:cs="Calibri"/>
          <w:lang w:eastAsia="it-IT"/>
        </w:rPr>
        <w:t>Regalbax</w:t>
      </w:r>
      <w:proofErr w:type="spellEnd"/>
      <w:r w:rsidR="00B9671B">
        <w:rPr>
          <w:rFonts w:eastAsia="Calibri" w:cs="Calibri"/>
          <w:lang w:eastAsia="it-IT"/>
        </w:rPr>
        <w:t xml:space="preserve"> </w:t>
      </w:r>
      <w:r w:rsidR="001C1A8E">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w:t>
      </w:r>
      <w:r w:rsidRPr="0011250C">
        <w:rPr>
          <w:rFonts w:eastAsia="Calibri" w:cs="Calibri"/>
          <w:lang w:eastAsia="it-IT"/>
        </w:rPr>
        <w:t>d</w:t>
      </w:r>
      <w:r w:rsidR="00BB4CC4">
        <w:rPr>
          <w:rFonts w:eastAsia="Calibri" w:cs="Calibri"/>
          <w:lang w:eastAsia="it-IT"/>
        </w:rPr>
        <w:t xml:space="preserve">i prescrizione di cui al punto </w:t>
      </w:r>
      <w:r w:rsidRPr="0011250C">
        <w:rPr>
          <w:rFonts w:eastAsia="Calibri" w:cs="Calibri"/>
          <w:lang w:eastAsia="it-IT"/>
        </w:rPr>
        <w:t xml:space="preserve">2) di questo Riassunto e la classe di rimborsabilità del </w:t>
      </w:r>
      <w:r w:rsidRPr="00E64379">
        <w:rPr>
          <w:rFonts w:eastAsia="Calibri" w:cs="Calibri"/>
          <w:lang w:eastAsia="it-IT"/>
        </w:rPr>
        <w:t>medicinale</w:t>
      </w:r>
      <w:r w:rsidR="00D20170" w:rsidRPr="00E64379">
        <w:rPr>
          <w:rFonts w:eastAsia="Calibri" w:cs="Calibri"/>
          <w:lang w:eastAsia="it-IT"/>
        </w:rPr>
        <w:t xml:space="preserve"> </w:t>
      </w:r>
      <w:r w:rsidRPr="00E64379">
        <w:rPr>
          <w:rFonts w:eastAsia="Calibri" w:cs="Calibri"/>
          <w:lang w:eastAsia="it-IT"/>
        </w:rPr>
        <w:t>(</w:t>
      </w:r>
      <w:r w:rsidR="0011250C" w:rsidRPr="00E64379">
        <w:rPr>
          <w:rFonts w:eastAsia="Calibri" w:cs="Calibri"/>
          <w:lang w:eastAsia="it-IT"/>
        </w:rPr>
        <w:t xml:space="preserve">A con nota </w:t>
      </w:r>
      <w:r w:rsidR="00156BA7" w:rsidRPr="00E64379">
        <w:rPr>
          <w:rFonts w:eastAsia="Calibri" w:cs="Calibri"/>
          <w:lang w:eastAsia="it-IT"/>
        </w:rPr>
        <w:t>04</w:t>
      </w:r>
      <w:r w:rsidR="00BB7117" w:rsidRPr="00E64379">
        <w:rPr>
          <w:rFonts w:eastAsia="Calibri" w:cs="Calibri"/>
          <w:lang w:eastAsia="it-IT"/>
        </w:rPr>
        <w:t>: la nota stabilisce per quali pazienti il medicinale è rimborsato dal Servizio Sanitario Nazionale</w:t>
      </w:r>
      <w:r w:rsidRPr="00E64379">
        <w:rPr>
          <w:rFonts w:eastAsia="Calibri" w:cs="Calibri"/>
          <w:lang w:eastAsia="it-IT"/>
        </w:rPr>
        <w:t>).</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281788">
        <w:rPr>
          <w:rFonts w:eastAsia="Calibri" w:cs="Calibri"/>
          <w:b/>
          <w:bCs/>
          <w:color w:val="000000"/>
          <w:lang w:eastAsia="it-IT"/>
        </w:rPr>
        <w:t>Regalbax</w:t>
      </w:r>
      <w:proofErr w:type="spellEnd"/>
      <w:r w:rsidRPr="002A3F14">
        <w:rPr>
          <w:rFonts w:eastAsia="Calibri" w:cs="Calibri"/>
          <w:b/>
          <w:bCs/>
          <w:color w:val="000000"/>
          <w:lang w:eastAsia="it-IT"/>
        </w:rPr>
        <w:t>?</w:t>
      </w:r>
    </w:p>
    <w:p w:rsidR="004241AC" w:rsidRPr="002A3F14" w:rsidRDefault="00B90347"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281788">
        <w:rPr>
          <w:rFonts w:eastAsia="Calibri" w:cs="Calibri"/>
          <w:lang w:eastAsia="it-IT"/>
        </w:rPr>
        <w:t>Regalbax</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281788">
        <w:rPr>
          <w:rFonts w:eastAsia="Calibri" w:cs="Calibri"/>
          <w:b/>
          <w:bCs/>
          <w:color w:val="000000"/>
          <w:lang w:eastAsia="it-IT"/>
        </w:rPr>
        <w:t>Regalbax</w:t>
      </w:r>
      <w:proofErr w:type="spellEnd"/>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E64379">
        <w:rPr>
          <w:rFonts w:eastAsia="Calibri" w:cs="Calibri"/>
          <w:bCs/>
          <w:iCs/>
          <w:lang w:eastAsia="it-IT"/>
        </w:rPr>
        <w:t xml:space="preserve">Il </w:t>
      </w:r>
      <w:r w:rsidR="00E64379" w:rsidRPr="00E64379">
        <w:rPr>
          <w:rFonts w:eastAsia="Calibri" w:cs="Calibri"/>
          <w:bCs/>
          <w:iCs/>
          <w:lang w:eastAsia="it-IT"/>
        </w:rPr>
        <w:t>9 novembre</w:t>
      </w:r>
      <w:r w:rsidRPr="00E64379">
        <w:rPr>
          <w:rFonts w:eastAsia="Calibri" w:cs="Calibri"/>
          <w:bCs/>
          <w:iCs/>
          <w:lang w:eastAsia="it-IT"/>
        </w:rPr>
        <w:t xml:space="preserve"> 2015 l’AIFA ha rilasciato l’autorizzazione all’immissione in commercio di </w:t>
      </w:r>
      <w:proofErr w:type="spellStart"/>
      <w:r w:rsidR="00281788" w:rsidRPr="00E64379">
        <w:rPr>
          <w:rFonts w:eastAsia="Calibri" w:cs="Calibri"/>
          <w:bCs/>
          <w:color w:val="000000"/>
          <w:lang w:eastAsia="it-IT"/>
        </w:rPr>
        <w:t>Regalbax</w:t>
      </w:r>
      <w:proofErr w:type="spellEnd"/>
      <w:r w:rsidRPr="00E64379">
        <w:rPr>
          <w:rFonts w:eastAsia="Calibri" w:cs="Calibri"/>
          <w:bCs/>
          <w:lang w:eastAsia="it-IT"/>
        </w:rPr>
        <w:t>.</w:t>
      </w:r>
      <w:r w:rsidRPr="00CA3A1E">
        <w:rPr>
          <w:rFonts w:eastAsia="Calibri" w:cs="Calibri"/>
          <w:bCs/>
          <w:lang w:eastAsia="it-IT"/>
        </w:rPr>
        <w:t xml:space="preserve"> </w:t>
      </w:r>
    </w:p>
    <w:p w:rsidR="00AB54C2" w:rsidRDefault="00AB54C2" w:rsidP="004241AC">
      <w:pPr>
        <w:autoSpaceDE w:val="0"/>
        <w:autoSpaceDN w:val="0"/>
        <w:adjustRightInd w:val="0"/>
        <w:spacing w:after="0" w:line="240" w:lineRule="auto"/>
        <w:jc w:val="both"/>
        <w:rPr>
          <w:rFonts w:eastAsia="Calibri" w:cs="Calibri"/>
          <w:lang w:eastAsia="it-IT"/>
        </w:rPr>
      </w:pPr>
    </w:p>
    <w:p w:rsidR="00AB54C2" w:rsidRDefault="00AB54C2" w:rsidP="00AB54C2">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281788">
        <w:rPr>
          <w:rFonts w:eastAsia="Calibri" w:cs="Calibri"/>
          <w:bCs/>
          <w:color w:val="000000"/>
          <w:lang w:eastAsia="it-IT"/>
        </w:rPr>
        <w:t>Regalbax</w:t>
      </w:r>
      <w:proofErr w:type="spellEnd"/>
      <w:r w:rsidR="00B9671B">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2748E4">
        <w:rPr>
          <w:rFonts w:eastAsia="Calibri" w:cs="Calibri"/>
          <w:lang w:eastAsia="it-IT"/>
        </w:rPr>
        <w:t>(</w:t>
      </w:r>
      <w:hyperlink r:id="rId7" w:history="1">
        <w:r w:rsidR="002748E4">
          <w:rPr>
            <w:rStyle w:val="Collegamentoipertestuale"/>
            <w:rFonts w:eastAsia="Calibri" w:cs="Calibri"/>
            <w:lang w:eastAsia="it-IT"/>
          </w:rPr>
          <w:t>https://farmaci.agenziafarmaco.gov.it/bancadatifarmaci</w:t>
        </w:r>
      </w:hyperlink>
      <w:r w:rsidR="002748E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DC5CC3">
        <w:rPr>
          <w:rFonts w:eastAsia="Calibri" w:cs="Calibri"/>
          <w:lang w:eastAsia="it-IT"/>
        </w:rPr>
        <w:t>01.09.2015</w:t>
      </w:r>
      <w:r w:rsidRPr="002A3F14">
        <w:rPr>
          <w:rFonts w:eastAsia="Calibri" w:cs="Calibri"/>
          <w:lang w:eastAsia="it-IT"/>
        </w:rPr>
        <w:t xml:space="preserve">. </w:t>
      </w:r>
    </w:p>
    <w:p w:rsidR="002937E3" w:rsidRDefault="002937E3" w:rsidP="004241AC">
      <w:pPr>
        <w:spacing w:after="0" w:line="240" w:lineRule="auto"/>
        <w:jc w:val="both"/>
        <w:rPr>
          <w:rFonts w:eastAsia="Calibri" w:cs="Calibri"/>
          <w:lang w:eastAsia="it-IT"/>
        </w:rPr>
      </w:pPr>
    </w:p>
    <w:p w:rsidR="002937E3" w:rsidRDefault="002937E3" w:rsidP="004241AC">
      <w:pPr>
        <w:spacing w:after="0" w:line="240" w:lineRule="auto"/>
        <w:jc w:val="both"/>
        <w:rPr>
          <w:rFonts w:eastAsia="Calibri" w:cs="Calibri"/>
          <w:lang w:eastAsia="it-IT"/>
        </w:rPr>
      </w:pPr>
    </w:p>
    <w:p w:rsidR="002937E3" w:rsidRDefault="002937E3" w:rsidP="004241AC">
      <w:pPr>
        <w:spacing w:after="0" w:line="240" w:lineRule="auto"/>
        <w:jc w:val="both"/>
        <w:rPr>
          <w:rFonts w:eastAsia="Calibri" w:cs="Calibri"/>
          <w:lang w:eastAsia="it-IT"/>
        </w:rPr>
      </w:pPr>
    </w:p>
    <w:p w:rsidR="002937E3" w:rsidRDefault="002937E3" w:rsidP="004241AC">
      <w:pPr>
        <w:spacing w:after="0" w:line="240" w:lineRule="auto"/>
        <w:jc w:val="both"/>
        <w:rPr>
          <w:rFonts w:eastAsia="Calibri" w:cs="Calibri"/>
          <w:lang w:eastAsia="it-IT"/>
        </w:rPr>
      </w:pPr>
    </w:p>
    <w:p w:rsidR="00BA08FD" w:rsidRDefault="00BA08FD" w:rsidP="004241AC">
      <w:pPr>
        <w:spacing w:after="0" w:line="240" w:lineRule="auto"/>
        <w:jc w:val="both"/>
        <w:rPr>
          <w:rFonts w:eastAsia="Calibri" w:cs="Calibri"/>
          <w:lang w:eastAsia="it-IT"/>
        </w:rPr>
      </w:pPr>
    </w:p>
    <w:p w:rsidR="00BA08FD" w:rsidRDefault="00BA08FD" w:rsidP="004241AC">
      <w:pPr>
        <w:spacing w:after="0" w:line="240" w:lineRule="auto"/>
        <w:jc w:val="both"/>
        <w:rPr>
          <w:rFonts w:eastAsia="Calibri" w:cs="Calibri"/>
          <w:lang w:eastAsia="it-IT"/>
        </w:rPr>
      </w:pPr>
    </w:p>
    <w:p w:rsidR="00BA08FD" w:rsidRDefault="00BA08FD" w:rsidP="004241AC">
      <w:pPr>
        <w:spacing w:after="0" w:line="240" w:lineRule="auto"/>
        <w:jc w:val="both"/>
        <w:rPr>
          <w:rFonts w:eastAsia="Calibri" w:cs="Calibri"/>
          <w:lang w:eastAsia="it-IT"/>
        </w:rPr>
      </w:pPr>
    </w:p>
    <w:p w:rsidR="002937E3" w:rsidRPr="002A3F14" w:rsidRDefault="002937E3" w:rsidP="004241AC">
      <w:pPr>
        <w:spacing w:after="0" w:line="240" w:lineRule="auto"/>
        <w:jc w:val="both"/>
        <w:rPr>
          <w:rFonts w:eastAsia="Calibri" w:cs="Calibri"/>
          <w:lang w:eastAsia="it-IT"/>
        </w:rPr>
      </w:pPr>
    </w:p>
    <w:p w:rsidR="004241AC" w:rsidRDefault="004241AC" w:rsidP="004241AC">
      <w:pPr>
        <w:spacing w:after="0" w:line="240" w:lineRule="auto"/>
        <w:jc w:val="both"/>
      </w:pPr>
    </w:p>
    <w:p w:rsidR="00AB54C2" w:rsidRDefault="00AB54C2" w:rsidP="00AB54C2">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Pr="0033523E" w:rsidRDefault="00AB54C2" w:rsidP="00AB54C2">
      <w:pPr>
        <w:spacing w:after="0" w:line="240" w:lineRule="auto"/>
        <w:jc w:val="center"/>
        <w:rPr>
          <w:b/>
        </w:rPr>
      </w:pPr>
      <w:r w:rsidRPr="0033523E">
        <w:rPr>
          <w:b/>
        </w:rPr>
        <w:t>INDICE</w:t>
      </w:r>
    </w:p>
    <w:p w:rsidR="00AB54C2" w:rsidRDefault="00AB54C2" w:rsidP="00AB54C2">
      <w:pPr>
        <w:spacing w:after="0" w:line="240" w:lineRule="auto"/>
        <w:jc w:val="both"/>
      </w:pPr>
    </w:p>
    <w:p w:rsidR="00AB54C2" w:rsidRDefault="00AB54C2" w:rsidP="00AB54C2">
      <w:pPr>
        <w:spacing w:after="0" w:line="240" w:lineRule="auto"/>
        <w:jc w:val="both"/>
      </w:pPr>
    </w:p>
    <w:p w:rsidR="00AB54C2" w:rsidRDefault="00AB54C2" w:rsidP="00AB54C2">
      <w:pPr>
        <w:spacing w:after="0" w:line="240" w:lineRule="auto"/>
        <w:jc w:val="both"/>
      </w:pPr>
    </w:p>
    <w:p w:rsidR="00AB54C2" w:rsidRPr="008206E7" w:rsidRDefault="00AB54C2" w:rsidP="00AB54C2">
      <w:pPr>
        <w:pStyle w:val="Paragrafoelenco"/>
        <w:numPr>
          <w:ilvl w:val="0"/>
          <w:numId w:val="6"/>
        </w:numPr>
        <w:spacing w:after="0" w:line="240" w:lineRule="auto"/>
        <w:rPr>
          <w:b/>
        </w:rPr>
      </w:pPr>
      <w:r w:rsidRPr="008206E7">
        <w:rPr>
          <w:b/>
        </w:rPr>
        <w:t>INTRODUZIONE</w:t>
      </w:r>
    </w:p>
    <w:p w:rsidR="00AB54C2" w:rsidRPr="002A3F14" w:rsidRDefault="00AB54C2" w:rsidP="00AB54C2">
      <w:pPr>
        <w:spacing w:after="0" w:line="240" w:lineRule="auto"/>
        <w:jc w:val="both"/>
      </w:pPr>
    </w:p>
    <w:p w:rsidR="00AB54C2" w:rsidRDefault="00AB54C2" w:rsidP="00AB54C2">
      <w:pPr>
        <w:pStyle w:val="Paragrafoelenco"/>
        <w:numPr>
          <w:ilvl w:val="0"/>
          <w:numId w:val="6"/>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AB54C2" w:rsidRPr="0033523E" w:rsidRDefault="00AB54C2" w:rsidP="00AB54C2">
      <w:pPr>
        <w:pStyle w:val="Paragrafoelenco"/>
        <w:rPr>
          <w:b/>
        </w:rPr>
      </w:pPr>
    </w:p>
    <w:p w:rsidR="00AB54C2" w:rsidRDefault="00AB54C2" w:rsidP="00AB54C2">
      <w:pPr>
        <w:pStyle w:val="Paragrafoelenco"/>
        <w:numPr>
          <w:ilvl w:val="0"/>
          <w:numId w:val="6"/>
        </w:numPr>
        <w:spacing w:after="0" w:line="240" w:lineRule="auto"/>
        <w:jc w:val="both"/>
        <w:rPr>
          <w:b/>
        </w:rPr>
      </w:pPr>
      <w:r w:rsidRPr="00DF7B22">
        <w:rPr>
          <w:b/>
        </w:rPr>
        <w:t>ASPETTI NON CLINICI</w:t>
      </w:r>
    </w:p>
    <w:p w:rsidR="00AB54C2" w:rsidRPr="0033523E" w:rsidRDefault="00AB54C2" w:rsidP="00AB54C2">
      <w:pPr>
        <w:pStyle w:val="Paragrafoelenco"/>
        <w:rPr>
          <w:b/>
        </w:rPr>
      </w:pPr>
    </w:p>
    <w:p w:rsidR="00AB54C2" w:rsidRDefault="00AB54C2" w:rsidP="00AB54C2">
      <w:pPr>
        <w:pStyle w:val="Paragrafoelenco"/>
        <w:numPr>
          <w:ilvl w:val="0"/>
          <w:numId w:val="6"/>
        </w:numPr>
        <w:spacing w:after="0" w:line="240" w:lineRule="auto"/>
        <w:jc w:val="both"/>
        <w:rPr>
          <w:b/>
        </w:rPr>
      </w:pPr>
      <w:r w:rsidRPr="005A38F5">
        <w:rPr>
          <w:b/>
        </w:rPr>
        <w:t>A</w:t>
      </w:r>
      <w:r>
        <w:rPr>
          <w:b/>
        </w:rPr>
        <w:t>S</w:t>
      </w:r>
      <w:r w:rsidRPr="005A38F5">
        <w:rPr>
          <w:b/>
        </w:rPr>
        <w:t>PETTI CLINICI</w:t>
      </w:r>
    </w:p>
    <w:p w:rsidR="00AB54C2" w:rsidRPr="0033523E" w:rsidRDefault="00AB54C2" w:rsidP="00AB54C2">
      <w:pPr>
        <w:pStyle w:val="Paragrafoelenco"/>
        <w:rPr>
          <w:b/>
        </w:rPr>
      </w:pPr>
    </w:p>
    <w:p w:rsidR="00AB54C2" w:rsidRPr="002E4DCB" w:rsidRDefault="00AB54C2" w:rsidP="00AB54C2">
      <w:pPr>
        <w:pStyle w:val="Paragrafoelenco"/>
        <w:numPr>
          <w:ilvl w:val="0"/>
          <w:numId w:val="6"/>
        </w:numPr>
        <w:spacing w:after="0" w:line="240" w:lineRule="auto"/>
        <w:jc w:val="both"/>
        <w:rPr>
          <w:b/>
        </w:rPr>
      </w:pPr>
      <w:r w:rsidRPr="002E4DCB">
        <w:rPr>
          <w:b/>
        </w:rPr>
        <w:t xml:space="preserve">CONSULTAZIONE </w:t>
      </w:r>
      <w:r>
        <w:rPr>
          <w:b/>
        </w:rPr>
        <w:t>SUL FOGLIO ILLUSTRATIVO</w:t>
      </w:r>
    </w:p>
    <w:p w:rsidR="00AB54C2" w:rsidRDefault="00AB54C2" w:rsidP="00AB54C2">
      <w:pPr>
        <w:pStyle w:val="Paragrafoelenco"/>
        <w:spacing w:after="0" w:line="240" w:lineRule="auto"/>
        <w:ind w:left="1080"/>
        <w:jc w:val="both"/>
        <w:rPr>
          <w:b/>
        </w:rPr>
      </w:pPr>
    </w:p>
    <w:p w:rsidR="00AB54C2" w:rsidRPr="00BC23ED" w:rsidRDefault="00AB54C2" w:rsidP="00AB54C2">
      <w:pPr>
        <w:pStyle w:val="Paragrafoelenco"/>
        <w:numPr>
          <w:ilvl w:val="0"/>
          <w:numId w:val="6"/>
        </w:numPr>
        <w:spacing w:after="0" w:line="240" w:lineRule="auto"/>
        <w:jc w:val="both"/>
        <w:rPr>
          <w:b/>
        </w:rPr>
      </w:pPr>
      <w:r w:rsidRPr="00BC23ED">
        <w:rPr>
          <w:b/>
        </w:rPr>
        <w:t>CONCLUSIONI, VALUTAZIONE DEL RAPPORTO BENEFICIO/RISCHIO E RACCOMANDAZIONI</w:t>
      </w:r>
    </w:p>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BA08FD" w:rsidRDefault="00BA08FD" w:rsidP="00AB54C2"/>
    <w:p w:rsidR="00AB54C2" w:rsidRPr="008206E7" w:rsidRDefault="00AB54C2" w:rsidP="00AB54C2">
      <w:pPr>
        <w:pStyle w:val="Paragrafoelenco"/>
        <w:numPr>
          <w:ilvl w:val="0"/>
          <w:numId w:val="7"/>
        </w:numPr>
        <w:spacing w:after="0" w:line="240" w:lineRule="auto"/>
        <w:rPr>
          <w:b/>
        </w:rPr>
      </w:pPr>
      <w:r w:rsidRPr="008206E7">
        <w:rPr>
          <w:b/>
        </w:rPr>
        <w:lastRenderedPageBreak/>
        <w:t>INTRODUZIONE</w:t>
      </w:r>
    </w:p>
    <w:p w:rsidR="00AB54C2" w:rsidRDefault="00AB54C2" w:rsidP="00AB54C2">
      <w:pPr>
        <w:autoSpaceDE w:val="0"/>
        <w:autoSpaceDN w:val="0"/>
        <w:adjustRightInd w:val="0"/>
        <w:spacing w:after="0" w:line="240" w:lineRule="auto"/>
        <w:jc w:val="both"/>
      </w:pPr>
      <w:r>
        <w:t xml:space="preserve">Sulla base dei dati di qualità, sicurezza ed efficacia, l’AIFA ha rilasciato a </w:t>
      </w:r>
      <w:proofErr w:type="spellStart"/>
      <w:r w:rsidR="00EE1623">
        <w:t>Laboatorio</w:t>
      </w:r>
      <w:proofErr w:type="spellEnd"/>
      <w:r w:rsidR="00EE1623">
        <w:t xml:space="preserve"> Farmaceutico CT</w:t>
      </w:r>
      <w:r>
        <w:t xml:space="preserve"> l’autorizzazione all’immissione in commercio (AIC) per il </w:t>
      </w:r>
      <w:r w:rsidRPr="006B2CC3">
        <w:t xml:space="preserve">medicinale </w:t>
      </w:r>
      <w:proofErr w:type="spellStart"/>
      <w:r w:rsidR="00281788">
        <w:t>Regalbax</w:t>
      </w:r>
      <w:proofErr w:type="spellEnd"/>
      <w:r w:rsidR="00B9671B">
        <w:t xml:space="preserve"> </w:t>
      </w:r>
      <w:r w:rsidR="00E64379">
        <w:t xml:space="preserve">il </w:t>
      </w:r>
      <w:r w:rsidR="00E64379" w:rsidRPr="00E64379">
        <w:rPr>
          <w:rFonts w:eastAsia="Calibri" w:cs="Calibri"/>
          <w:bCs/>
          <w:iCs/>
          <w:lang w:eastAsia="it-IT"/>
        </w:rPr>
        <w:t>9 novembre 2015</w:t>
      </w:r>
      <w:r>
        <w:t xml:space="preserve">.  </w:t>
      </w:r>
    </w:p>
    <w:p w:rsidR="00AB54C2" w:rsidRDefault="00AB54C2" w:rsidP="00AB54C2">
      <w:pPr>
        <w:spacing w:after="0" w:line="240" w:lineRule="auto"/>
        <w:jc w:val="both"/>
      </w:pPr>
    </w:p>
    <w:p w:rsidR="00AB54C2" w:rsidRPr="007461B9" w:rsidRDefault="00281788" w:rsidP="00AB54C2">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Regalbax</w:t>
      </w:r>
      <w:proofErr w:type="spellEnd"/>
      <w:r w:rsidR="00B9671B">
        <w:rPr>
          <w:rFonts w:eastAsia="Calibri" w:cs="Calibri"/>
          <w:color w:val="000000"/>
          <w:lang w:eastAsia="it-IT"/>
        </w:rPr>
        <w:t xml:space="preserve"> </w:t>
      </w:r>
      <w:r w:rsidR="00AB54C2" w:rsidRPr="00FE36E7">
        <w:rPr>
          <w:rFonts w:eastAsia="Calibri" w:cs="Calibri"/>
          <w:color w:val="000000"/>
          <w:lang w:eastAsia="it-IT"/>
        </w:rPr>
        <w:t xml:space="preserve">può essere ottenuto solo dietro prescrizione da parte del medico </w:t>
      </w:r>
      <w:r w:rsidR="00AB54C2" w:rsidRPr="007461B9">
        <w:rPr>
          <w:rFonts w:eastAsia="Calibri" w:cs="Calibri"/>
          <w:color w:val="000000"/>
          <w:lang w:eastAsia="it-IT"/>
        </w:rPr>
        <w:t>(ricetta ripetibile).</w:t>
      </w:r>
    </w:p>
    <w:p w:rsidR="00AB54C2" w:rsidRPr="00EE1623" w:rsidRDefault="00AB54C2" w:rsidP="00EE1623">
      <w:pPr>
        <w:spacing w:after="0" w:line="240" w:lineRule="auto"/>
        <w:jc w:val="both"/>
      </w:pPr>
    </w:p>
    <w:p w:rsidR="00AB54C2" w:rsidRPr="00EE1623" w:rsidRDefault="00AB54C2" w:rsidP="00EE1623">
      <w:pPr>
        <w:spacing w:after="0" w:line="240" w:lineRule="auto"/>
        <w:jc w:val="both"/>
      </w:pPr>
      <w:r w:rsidRPr="00EE1623">
        <w:t xml:space="preserve">Questa procedura è stata presentata ai sensi dell’art. 10(1) della Direttiva 2001/83/EU </w:t>
      </w:r>
      <w:proofErr w:type="spellStart"/>
      <w:r w:rsidRPr="00EE1623">
        <w:t>s.m.i.</w:t>
      </w:r>
      <w:proofErr w:type="spellEnd"/>
    </w:p>
    <w:p w:rsidR="00AB54C2" w:rsidRPr="00EE1623" w:rsidRDefault="00AB54C2" w:rsidP="00EE1623">
      <w:pPr>
        <w:widowControl w:val="0"/>
        <w:spacing w:after="0" w:line="240" w:lineRule="auto"/>
        <w:jc w:val="both"/>
        <w:rPr>
          <w:rFonts w:eastAsia="Calibri" w:cs="Calibri"/>
          <w:bCs/>
          <w:color w:val="000000"/>
          <w:lang w:eastAsia="it-IT"/>
        </w:rPr>
      </w:pPr>
    </w:p>
    <w:p w:rsidR="00AB54C2" w:rsidRPr="00EE1623" w:rsidRDefault="00281788" w:rsidP="00EE1623">
      <w:pPr>
        <w:widowControl w:val="0"/>
        <w:spacing w:after="0" w:line="240" w:lineRule="auto"/>
        <w:jc w:val="both"/>
        <w:rPr>
          <w:rFonts w:eastAsia="Calibri" w:cs="Calibri"/>
          <w:color w:val="000000"/>
          <w:lang w:eastAsia="it-IT"/>
        </w:rPr>
      </w:pPr>
      <w:proofErr w:type="spellStart"/>
      <w:r w:rsidRPr="00EE1623">
        <w:rPr>
          <w:rFonts w:eastAsia="Calibri" w:cs="Calibri"/>
          <w:bCs/>
          <w:color w:val="000000"/>
          <w:lang w:eastAsia="it-IT"/>
        </w:rPr>
        <w:t>Regalbax</w:t>
      </w:r>
      <w:proofErr w:type="spellEnd"/>
      <w:r w:rsidR="00B9671B" w:rsidRPr="00EE1623">
        <w:rPr>
          <w:rFonts w:eastAsia="Calibri" w:cs="Calibri"/>
          <w:bCs/>
          <w:color w:val="000000"/>
          <w:lang w:eastAsia="it-IT"/>
        </w:rPr>
        <w:t xml:space="preserve"> </w:t>
      </w:r>
      <w:r w:rsidR="00AB54C2" w:rsidRPr="00EE1623">
        <w:rPr>
          <w:rFonts w:eastAsia="Calibri" w:cs="Calibri"/>
          <w:color w:val="000000"/>
          <w:lang w:eastAsia="it-IT"/>
        </w:rPr>
        <w:t xml:space="preserve">è un medicinale </w:t>
      </w:r>
      <w:r w:rsidR="00B27F42" w:rsidRPr="00EE1623">
        <w:rPr>
          <w:rFonts w:eastAsia="Calibri" w:cs="Calibri"/>
          <w:color w:val="000000"/>
          <w:lang w:eastAsia="it-IT"/>
        </w:rPr>
        <w:t xml:space="preserve">generico </w:t>
      </w:r>
      <w:r w:rsidR="00AB54C2" w:rsidRPr="00EE1623">
        <w:rPr>
          <w:rFonts w:eastAsia="Calibri" w:cs="Calibri"/>
          <w:color w:val="000000"/>
          <w:lang w:eastAsia="it-IT"/>
        </w:rPr>
        <w:t xml:space="preserve">contenente il principio attivo </w:t>
      </w:r>
      <w:proofErr w:type="spellStart"/>
      <w:r w:rsidRPr="00EE1623">
        <w:rPr>
          <w:rFonts w:eastAsia="Calibri" w:cs="Calibri"/>
          <w:color w:val="000000"/>
          <w:lang w:eastAsia="it-IT"/>
        </w:rPr>
        <w:t>pregabalin</w:t>
      </w:r>
      <w:proofErr w:type="spellEnd"/>
      <w:r w:rsidR="00AB54C2" w:rsidRPr="00EE1623">
        <w:rPr>
          <w:rFonts w:eastAsia="Calibri" w:cs="Calibri"/>
          <w:color w:val="000000"/>
          <w:lang w:eastAsia="it-IT"/>
        </w:rPr>
        <w:t xml:space="preserve"> presente nel medicinale di riferimento </w:t>
      </w:r>
      <w:proofErr w:type="spellStart"/>
      <w:r w:rsidRPr="00EE1623">
        <w:rPr>
          <w:rFonts w:eastAsia="Calibri" w:cs="Calibri"/>
          <w:color w:val="000000"/>
          <w:lang w:eastAsia="it-IT"/>
        </w:rPr>
        <w:t>Lyrica</w:t>
      </w:r>
      <w:proofErr w:type="spellEnd"/>
      <w:r w:rsidR="00AB54C2" w:rsidRPr="00EE1623">
        <w:rPr>
          <w:rFonts w:eastAsia="Calibri" w:cs="Calibri"/>
          <w:color w:val="000000"/>
          <w:lang w:eastAsia="it-IT"/>
        </w:rPr>
        <w:t>, autorizzato in Italia da più di 10 anni.</w:t>
      </w:r>
    </w:p>
    <w:p w:rsidR="00AB54C2" w:rsidRPr="00EE1623" w:rsidRDefault="00AB54C2" w:rsidP="00EE1623">
      <w:pPr>
        <w:spacing w:after="0" w:line="240" w:lineRule="auto"/>
        <w:jc w:val="both"/>
        <w:rPr>
          <w:highlight w:val="yellow"/>
        </w:rPr>
      </w:pPr>
    </w:p>
    <w:p w:rsidR="00EE1623" w:rsidRPr="00EE1623" w:rsidRDefault="00281788" w:rsidP="00EE1623">
      <w:pPr>
        <w:widowControl w:val="0"/>
        <w:autoSpaceDE w:val="0"/>
        <w:autoSpaceDN w:val="0"/>
        <w:adjustRightInd w:val="0"/>
        <w:spacing w:after="0" w:line="240" w:lineRule="auto"/>
        <w:jc w:val="both"/>
        <w:rPr>
          <w:rFonts w:ascii="Calibri" w:hAnsi="Calibri"/>
          <w:color w:val="000000"/>
        </w:rPr>
      </w:pPr>
      <w:proofErr w:type="spellStart"/>
      <w:r w:rsidRPr="00EE1623">
        <w:rPr>
          <w:rFonts w:eastAsia="Calibri" w:cs="Calibri"/>
          <w:bCs/>
          <w:color w:val="000000"/>
          <w:lang w:eastAsia="it-IT"/>
        </w:rPr>
        <w:t>Regalbax</w:t>
      </w:r>
      <w:proofErr w:type="spellEnd"/>
      <w:r w:rsidR="00AB54C2" w:rsidRPr="00EE1623">
        <w:rPr>
          <w:rFonts w:eastAsia="Calibri" w:cs="Calibri"/>
          <w:bCs/>
          <w:color w:val="000000"/>
          <w:lang w:eastAsia="it-IT"/>
        </w:rPr>
        <w:t xml:space="preserve">, </w:t>
      </w:r>
      <w:r w:rsidR="00AB54C2" w:rsidRPr="00EE1623">
        <w:rPr>
          <w:color w:val="000000"/>
        </w:rPr>
        <w:t>il cui c</w:t>
      </w:r>
      <w:r w:rsidR="00AB54C2" w:rsidRPr="00EE1623">
        <w:rPr>
          <w:iCs/>
        </w:rPr>
        <w:t xml:space="preserve">odice ATC è </w:t>
      </w:r>
      <w:r w:rsidR="00EE1623" w:rsidRPr="00EE1623">
        <w:rPr>
          <w:rFonts w:ascii="Calibri" w:hAnsi="Calibri"/>
        </w:rPr>
        <w:t>N03AX16</w:t>
      </w:r>
      <w:r w:rsidR="00AB54C2" w:rsidRPr="00EE1623">
        <w:rPr>
          <w:rFonts w:eastAsia="DejaVuSans" w:cs="DejaVuSans"/>
        </w:rPr>
        <w:t>,</w:t>
      </w:r>
      <w:r w:rsidR="00AB54C2" w:rsidRPr="00EE1623">
        <w:rPr>
          <w:rFonts w:eastAsia="Calibri" w:cs="Calibri"/>
          <w:bCs/>
          <w:color w:val="000000"/>
          <w:lang w:eastAsia="it-IT"/>
        </w:rPr>
        <w:t xml:space="preserve"> </w:t>
      </w:r>
      <w:r w:rsidR="00AB54C2" w:rsidRPr="00EE1623">
        <w:rPr>
          <w:rFonts w:eastAsia="Calibri" w:cs="Calibri"/>
          <w:color w:val="000000"/>
          <w:lang w:eastAsia="it-IT"/>
        </w:rPr>
        <w:t xml:space="preserve">contiene il principio attivo </w:t>
      </w:r>
      <w:proofErr w:type="spellStart"/>
      <w:r w:rsidRPr="00EE1623">
        <w:rPr>
          <w:rFonts w:eastAsia="Calibri" w:cs="Calibri"/>
          <w:color w:val="000000"/>
          <w:lang w:eastAsia="it-IT"/>
        </w:rPr>
        <w:t>pregabalin</w:t>
      </w:r>
      <w:proofErr w:type="spellEnd"/>
      <w:r w:rsidR="00AB54C2" w:rsidRPr="00EE1623">
        <w:rPr>
          <w:rFonts w:eastAsia="Calibri" w:cs="Calibri"/>
          <w:bCs/>
          <w:color w:val="000000"/>
          <w:lang w:eastAsia="it-IT"/>
        </w:rPr>
        <w:t xml:space="preserve"> </w:t>
      </w:r>
      <w:r w:rsidR="00AB54C2" w:rsidRPr="00EE1623">
        <w:rPr>
          <w:rFonts w:eastAsia="Calibri" w:cs="Calibri"/>
          <w:color w:val="000000"/>
          <w:lang w:eastAsia="it-IT"/>
        </w:rPr>
        <w:t xml:space="preserve">che </w:t>
      </w:r>
      <w:r w:rsidR="00EE1623" w:rsidRPr="00EE1623">
        <w:rPr>
          <w:rFonts w:eastAsia="Calibri" w:cs="Calibri"/>
          <w:color w:val="000000"/>
          <w:lang w:eastAsia="it-IT"/>
        </w:rPr>
        <w:t xml:space="preserve">è </w:t>
      </w:r>
      <w:r w:rsidR="00EE1623" w:rsidRPr="00EE1623">
        <w:rPr>
          <w:rFonts w:ascii="Calibri" w:hAnsi="Calibri"/>
        </w:rPr>
        <w:t>un analogo ((S-3-(</w:t>
      </w:r>
      <w:proofErr w:type="spellStart"/>
      <w:r w:rsidR="00EE1623" w:rsidRPr="00EE1623">
        <w:rPr>
          <w:rFonts w:ascii="Calibri" w:hAnsi="Calibri"/>
        </w:rPr>
        <w:t>aminometil</w:t>
      </w:r>
      <w:proofErr w:type="spellEnd"/>
      <w:r w:rsidR="00EE1623" w:rsidRPr="00EE1623">
        <w:rPr>
          <w:rFonts w:ascii="Calibri" w:hAnsi="Calibri"/>
        </w:rPr>
        <w:t xml:space="preserve">)-5-acido </w:t>
      </w:r>
      <w:proofErr w:type="spellStart"/>
      <w:r w:rsidR="00EE1623" w:rsidRPr="00EE1623">
        <w:rPr>
          <w:rFonts w:ascii="Calibri" w:hAnsi="Calibri"/>
        </w:rPr>
        <w:t>metilesanoico</w:t>
      </w:r>
      <w:proofErr w:type="spellEnd"/>
      <w:r w:rsidR="00EE1623" w:rsidRPr="00EE1623">
        <w:rPr>
          <w:rFonts w:ascii="Calibri" w:hAnsi="Calibri"/>
        </w:rPr>
        <w:t xml:space="preserve">) dell’acido </w:t>
      </w:r>
      <w:proofErr w:type="spellStart"/>
      <w:r w:rsidR="00EE1623" w:rsidRPr="00EE1623">
        <w:rPr>
          <w:rFonts w:ascii="Calibri" w:hAnsi="Calibri"/>
        </w:rPr>
        <w:t>gamma-aminobutirrico</w:t>
      </w:r>
      <w:proofErr w:type="spellEnd"/>
      <w:r w:rsidR="00EE1623" w:rsidRPr="00EE1623">
        <w:rPr>
          <w:rFonts w:ascii="Calibri" w:hAnsi="Calibri"/>
        </w:rPr>
        <w:t>.</w:t>
      </w:r>
    </w:p>
    <w:p w:rsidR="00EE1623" w:rsidRPr="00EE1623" w:rsidRDefault="00EE1623" w:rsidP="00EE1623">
      <w:pPr>
        <w:widowControl w:val="0"/>
        <w:autoSpaceDE w:val="0"/>
        <w:autoSpaceDN w:val="0"/>
        <w:adjustRightInd w:val="0"/>
        <w:spacing w:after="0" w:line="240" w:lineRule="auto"/>
        <w:jc w:val="both"/>
        <w:rPr>
          <w:rFonts w:ascii="Calibri" w:hAnsi="Calibri"/>
        </w:rPr>
      </w:pPr>
      <w:proofErr w:type="spellStart"/>
      <w:r w:rsidRPr="00EE1623">
        <w:rPr>
          <w:rFonts w:ascii="Calibri" w:hAnsi="Calibri"/>
        </w:rPr>
        <w:t>Pregabalin</w:t>
      </w:r>
      <w:proofErr w:type="spellEnd"/>
      <w:r w:rsidRPr="00EE1623">
        <w:rPr>
          <w:rFonts w:ascii="Calibri" w:hAnsi="Calibri"/>
        </w:rPr>
        <w:t xml:space="preserve"> si lega alla </w:t>
      </w:r>
      <w:proofErr w:type="spellStart"/>
      <w:r w:rsidRPr="00EE1623">
        <w:rPr>
          <w:rFonts w:ascii="Calibri" w:hAnsi="Calibri"/>
        </w:rPr>
        <w:t>subunità</w:t>
      </w:r>
      <w:proofErr w:type="spellEnd"/>
      <w:r w:rsidRPr="00EE1623">
        <w:rPr>
          <w:rFonts w:ascii="Calibri" w:hAnsi="Calibri"/>
        </w:rPr>
        <w:t xml:space="preserve"> accessoria (proteina </w:t>
      </w:r>
      <w:r w:rsidRPr="00EE1623">
        <w:rPr>
          <w:rFonts w:ascii="Calibri" w:hAnsi="Calibri"/>
          <w:color w:val="000000"/>
        </w:rPr>
        <w:t>α2-δ</w:t>
      </w:r>
      <w:r w:rsidRPr="00EE1623">
        <w:rPr>
          <w:rFonts w:ascii="Calibri" w:hAnsi="Calibri"/>
        </w:rPr>
        <w:t xml:space="preserve">) dei canali del calcio voltaggio-dipendenti nel sistema nervoso centrale. </w:t>
      </w:r>
    </w:p>
    <w:p w:rsidR="00EE1623" w:rsidRPr="00EE1623" w:rsidRDefault="00EE1623" w:rsidP="00EE1623">
      <w:pPr>
        <w:widowControl w:val="0"/>
        <w:autoSpaceDE w:val="0"/>
        <w:autoSpaceDN w:val="0"/>
        <w:adjustRightInd w:val="0"/>
        <w:spacing w:after="0" w:line="240" w:lineRule="auto"/>
        <w:jc w:val="both"/>
        <w:rPr>
          <w:rFonts w:ascii="Calibri" w:hAnsi="Calibri"/>
          <w:color w:val="000000"/>
        </w:rPr>
      </w:pPr>
    </w:p>
    <w:p w:rsidR="00EE1623" w:rsidRPr="00EE1623" w:rsidRDefault="00281788" w:rsidP="00EE1623">
      <w:pPr>
        <w:widowControl w:val="0"/>
        <w:tabs>
          <w:tab w:val="left" w:pos="567"/>
        </w:tabs>
        <w:spacing w:after="0" w:line="240" w:lineRule="auto"/>
        <w:jc w:val="both"/>
        <w:rPr>
          <w:rFonts w:ascii="Calibri" w:hAnsi="Calibri"/>
        </w:rPr>
      </w:pPr>
      <w:proofErr w:type="spellStart"/>
      <w:r w:rsidRPr="00EE1623">
        <w:rPr>
          <w:rFonts w:eastAsia="Calibri" w:cs="Calibri"/>
          <w:color w:val="000000"/>
          <w:lang w:eastAsia="it-IT"/>
        </w:rPr>
        <w:t>Regalbax</w:t>
      </w:r>
      <w:proofErr w:type="spellEnd"/>
      <w:r w:rsidR="00B9671B" w:rsidRPr="00EE1623">
        <w:rPr>
          <w:rFonts w:eastAsia="Calibri" w:cs="Calibri"/>
          <w:color w:val="000000"/>
          <w:lang w:eastAsia="it-IT"/>
        </w:rPr>
        <w:t xml:space="preserve"> </w:t>
      </w:r>
      <w:r w:rsidR="00AB54C2" w:rsidRPr="00EE1623">
        <w:rPr>
          <w:rFonts w:cs="Helvetica"/>
        </w:rPr>
        <w:t>è utilizzato</w:t>
      </w:r>
      <w:r w:rsidR="00BA08FD" w:rsidRPr="00EE1623">
        <w:rPr>
          <w:rFonts w:eastAsia="Calibri" w:cs="Calibri"/>
          <w:color w:val="000000"/>
          <w:lang w:eastAsia="it-IT"/>
        </w:rPr>
        <w:t xml:space="preserve"> negli adulti </w:t>
      </w:r>
      <w:r w:rsidR="00EE1623" w:rsidRPr="00EE1623">
        <w:rPr>
          <w:rFonts w:ascii="Calibri" w:hAnsi="Calibri"/>
        </w:rPr>
        <w:t>come terapia aggiuntiva nei soggetti con attacchi epilettici parziali in presenza o in  assenza di generalizzazione secondaria e per il trattamento del Disturbo d’Ansia Generalizzata (GAD) negli adulti.</w:t>
      </w:r>
    </w:p>
    <w:p w:rsidR="00BA08FD" w:rsidRPr="00EE1623" w:rsidRDefault="00BA08FD" w:rsidP="00EE1623">
      <w:pPr>
        <w:spacing w:after="0" w:line="240" w:lineRule="auto"/>
        <w:jc w:val="both"/>
      </w:pPr>
    </w:p>
    <w:p w:rsidR="00AB54C2" w:rsidRPr="00EE1623" w:rsidRDefault="00AB54C2" w:rsidP="00EE1623">
      <w:pPr>
        <w:spacing w:after="0" w:line="240" w:lineRule="auto"/>
        <w:jc w:val="both"/>
      </w:pPr>
      <w:r w:rsidRPr="00EE1623">
        <w:t xml:space="preserve">Poiché </w:t>
      </w:r>
      <w:proofErr w:type="spellStart"/>
      <w:r w:rsidR="00281788" w:rsidRPr="00EE1623">
        <w:t>Regalbax</w:t>
      </w:r>
      <w:proofErr w:type="spellEnd"/>
      <w:r w:rsidR="00B9671B" w:rsidRPr="00EE1623">
        <w:t xml:space="preserve"> </w:t>
      </w:r>
      <w:r w:rsidRPr="00EE1623">
        <w:t xml:space="preserve">contiene un principio attivo noto non sono stati forniti nuovi dati non clinici e clinici: questo approccio è accettabile poiché il medicinale di riferimento </w:t>
      </w:r>
      <w:proofErr w:type="spellStart"/>
      <w:r w:rsidR="00281788" w:rsidRPr="00EE1623">
        <w:t>Lyrica</w:t>
      </w:r>
      <w:proofErr w:type="spellEnd"/>
      <w:r w:rsidRPr="00EE1623">
        <w:t xml:space="preserve"> è autorizzato in Italia da oltre 10 anni.</w:t>
      </w:r>
    </w:p>
    <w:p w:rsidR="00AB54C2" w:rsidRPr="00EE1623" w:rsidRDefault="00AB54C2" w:rsidP="00EE1623">
      <w:pPr>
        <w:spacing w:after="0" w:line="240" w:lineRule="auto"/>
        <w:jc w:val="both"/>
      </w:pPr>
      <w:r w:rsidRPr="00EE1623">
        <w:t xml:space="preserve">La richiesta di AIC è supportata da uno studio di bioequivalenza che ha confrontato i profili farmacocinetici del medicinale test </w:t>
      </w:r>
      <w:proofErr w:type="spellStart"/>
      <w:r w:rsidR="00281788" w:rsidRPr="00EE1623">
        <w:t>Regalbax</w:t>
      </w:r>
      <w:proofErr w:type="spellEnd"/>
      <w:r w:rsidR="00B9671B" w:rsidRPr="00EE1623">
        <w:t xml:space="preserve"> </w:t>
      </w:r>
      <w:r w:rsidRPr="00EE1623">
        <w:t xml:space="preserve">e quelli del medicinale di riferimento </w:t>
      </w:r>
      <w:proofErr w:type="spellStart"/>
      <w:r w:rsidR="00281788" w:rsidRPr="00EE1623">
        <w:t>Lyrica</w:t>
      </w:r>
      <w:proofErr w:type="spellEnd"/>
      <w:r w:rsidRPr="00EE1623">
        <w:t>.</w:t>
      </w:r>
    </w:p>
    <w:p w:rsidR="00AB54C2" w:rsidRPr="00EE1623" w:rsidRDefault="00AB54C2" w:rsidP="00EE1623">
      <w:pPr>
        <w:spacing w:after="0" w:line="240" w:lineRule="auto"/>
        <w:jc w:val="both"/>
      </w:pPr>
      <w:r w:rsidRPr="00EE1623">
        <w:t>Lo studio di bioequivalenza è stato condotto in conformità alle linee guida di Buona Pratica Clinica (</w:t>
      </w:r>
      <w:proofErr w:type="spellStart"/>
      <w:r w:rsidRPr="00EE1623">
        <w:rPr>
          <w:i/>
        </w:rPr>
        <w:t>Good</w:t>
      </w:r>
      <w:proofErr w:type="spellEnd"/>
      <w:r w:rsidRPr="00EE1623">
        <w:rPr>
          <w:i/>
        </w:rPr>
        <w:t xml:space="preserve"> </w:t>
      </w:r>
      <w:proofErr w:type="spellStart"/>
      <w:r w:rsidRPr="00EE1623">
        <w:rPr>
          <w:i/>
        </w:rPr>
        <w:t>Clinical</w:t>
      </w:r>
      <w:proofErr w:type="spellEnd"/>
      <w:r w:rsidRPr="00EE1623">
        <w:rPr>
          <w:i/>
        </w:rPr>
        <w:t xml:space="preserve"> </w:t>
      </w:r>
      <w:proofErr w:type="spellStart"/>
      <w:r w:rsidRPr="00EE1623">
        <w:rPr>
          <w:i/>
        </w:rPr>
        <w:t>Practice</w:t>
      </w:r>
      <w:proofErr w:type="spellEnd"/>
      <w:r w:rsidRPr="00EE1623">
        <w:t xml:space="preserve"> - GCP).</w:t>
      </w:r>
    </w:p>
    <w:p w:rsidR="00AB54C2" w:rsidRPr="00EE1623" w:rsidRDefault="00AB54C2" w:rsidP="00EE1623">
      <w:pPr>
        <w:spacing w:after="0" w:line="240" w:lineRule="auto"/>
        <w:jc w:val="both"/>
      </w:pPr>
    </w:p>
    <w:p w:rsidR="00826C22" w:rsidRPr="00EE1623" w:rsidRDefault="00AB54C2" w:rsidP="00EE1623">
      <w:pPr>
        <w:spacing w:after="0" w:line="240" w:lineRule="auto"/>
        <w:jc w:val="both"/>
      </w:pPr>
      <w:r w:rsidRPr="00EE1623">
        <w:t>Le officine coinvolte nella produzione sono conformi alle linee guida di Buona Pratica di Fabbricazione (</w:t>
      </w:r>
      <w:proofErr w:type="spellStart"/>
      <w:r w:rsidRPr="00EE1623">
        <w:rPr>
          <w:i/>
        </w:rPr>
        <w:t>Good</w:t>
      </w:r>
      <w:proofErr w:type="spellEnd"/>
      <w:r w:rsidRPr="00EE1623">
        <w:rPr>
          <w:i/>
        </w:rPr>
        <w:t xml:space="preserve"> Manufacturing </w:t>
      </w:r>
      <w:proofErr w:type="spellStart"/>
      <w:r w:rsidRPr="00EE1623">
        <w:rPr>
          <w:i/>
        </w:rPr>
        <w:t>Practice</w:t>
      </w:r>
      <w:proofErr w:type="spellEnd"/>
      <w:r w:rsidRPr="00EE1623">
        <w:t xml:space="preserve"> - GMP). </w:t>
      </w:r>
      <w:r w:rsidR="00826C22" w:rsidRPr="00EE1623">
        <w:t xml:space="preserve">Le autorità </w:t>
      </w:r>
      <w:r w:rsidR="009635D4" w:rsidRPr="00EE1623">
        <w:t>regolatorie</w:t>
      </w:r>
      <w:r w:rsidR="00826C22" w:rsidRPr="00EE1623">
        <w:t xml:space="preserve"> europee competenti hanno rilasciato i certificati GMP per i siti di produzione.</w:t>
      </w:r>
    </w:p>
    <w:p w:rsidR="00AB54C2" w:rsidRPr="00EE1623" w:rsidRDefault="00AB54C2" w:rsidP="00EE1623">
      <w:pPr>
        <w:spacing w:after="0" w:line="240" w:lineRule="auto"/>
        <w:jc w:val="both"/>
        <w:rPr>
          <w:highlight w:val="yellow"/>
        </w:rPr>
      </w:pPr>
    </w:p>
    <w:p w:rsidR="00AB54C2" w:rsidRPr="00900C91" w:rsidRDefault="00AB54C2" w:rsidP="00EE1623">
      <w:pPr>
        <w:spacing w:after="0" w:line="240" w:lineRule="auto"/>
        <w:jc w:val="both"/>
      </w:pPr>
      <w:r w:rsidRPr="00EE1623">
        <w:t>Il si</w:t>
      </w:r>
      <w:r w:rsidRPr="00900C91">
        <w:t>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AB54C2" w:rsidRPr="00900C91" w:rsidRDefault="00AB54C2" w:rsidP="00AB54C2">
      <w:pPr>
        <w:spacing w:after="0" w:line="240" w:lineRule="auto"/>
        <w:jc w:val="both"/>
      </w:pPr>
    </w:p>
    <w:p w:rsidR="00AB54C2" w:rsidRDefault="00AB54C2" w:rsidP="00AB54C2">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281788">
        <w:t>Regalbax</w:t>
      </w:r>
      <w:proofErr w:type="spellEnd"/>
      <w:r w:rsidR="00B9671B">
        <w:t xml:space="preserve"> </w:t>
      </w:r>
      <w:r w:rsidRPr="00900C91">
        <w:t>contiene</w:t>
      </w:r>
      <w:r w:rsidR="00B27F42">
        <w:t xml:space="preserve"> un </w:t>
      </w:r>
      <w:r w:rsidRPr="00900C91">
        <w:t xml:space="preserve"> principi</w:t>
      </w:r>
      <w:r w:rsidR="00B27F42">
        <w:t>o</w:t>
      </w:r>
      <w:r w:rsidRPr="00900C91">
        <w:t xml:space="preserve"> attiv</w:t>
      </w:r>
      <w:r w:rsidR="00B27F42">
        <w:t>o noto presente</w:t>
      </w:r>
      <w:r w:rsidRPr="00900C91">
        <w:t xml:space="preserve"> in medicinali autorizzati; inoltre, non sono presenti componenti geneticamente modificati; il metodo di produzione e la formulazione del medicinale non presentano problematiche di carattere ambientale.</w:t>
      </w:r>
    </w:p>
    <w:p w:rsidR="00AB54C2" w:rsidRDefault="00AB54C2" w:rsidP="00AB54C2">
      <w:pPr>
        <w:spacing w:after="0" w:line="240" w:lineRule="auto"/>
        <w:jc w:val="both"/>
      </w:pPr>
    </w:p>
    <w:p w:rsidR="00AB54C2" w:rsidRPr="00BA08FD" w:rsidRDefault="00AB54C2" w:rsidP="00AB54C2">
      <w:pPr>
        <w:spacing w:after="0" w:line="240" w:lineRule="auto"/>
        <w:jc w:val="both"/>
      </w:pPr>
    </w:p>
    <w:p w:rsidR="00AB54C2" w:rsidRPr="00824095" w:rsidRDefault="00AB54C2" w:rsidP="00AB54C2">
      <w:pPr>
        <w:pStyle w:val="Paragrafoelenco"/>
        <w:numPr>
          <w:ilvl w:val="0"/>
          <w:numId w:val="7"/>
        </w:numPr>
        <w:spacing w:after="0" w:line="240" w:lineRule="auto"/>
        <w:jc w:val="both"/>
        <w:rPr>
          <w:b/>
        </w:rPr>
      </w:pPr>
      <w:r w:rsidRPr="00824095">
        <w:rPr>
          <w:b/>
        </w:rPr>
        <w:t xml:space="preserve">ASPETTI </w:t>
      </w:r>
      <w:proofErr w:type="spellStart"/>
      <w:r w:rsidRPr="00824095">
        <w:rPr>
          <w:b/>
        </w:rPr>
        <w:t>DI</w:t>
      </w:r>
      <w:proofErr w:type="spellEnd"/>
      <w:r w:rsidRPr="00824095">
        <w:rPr>
          <w:b/>
        </w:rPr>
        <w:t xml:space="preserve"> QUALITA’</w:t>
      </w:r>
    </w:p>
    <w:p w:rsidR="00AB54C2" w:rsidRPr="00824095" w:rsidRDefault="00AB54C2" w:rsidP="00AB54C2">
      <w:pPr>
        <w:spacing w:after="0" w:line="240" w:lineRule="auto"/>
        <w:jc w:val="both"/>
      </w:pPr>
      <w:r w:rsidRPr="00824095">
        <w:rPr>
          <w:b/>
        </w:rPr>
        <w:t xml:space="preserve">II.1 PRINCIPIO ATTIVO </w:t>
      </w:r>
      <w:r w:rsidR="00281788" w:rsidRPr="00824095">
        <w:rPr>
          <w:b/>
        </w:rPr>
        <w:t>PREGABALIN</w:t>
      </w:r>
      <w:r w:rsidR="00BA08FD" w:rsidRPr="00824095">
        <w:rPr>
          <w:b/>
        </w:rPr>
        <w:t xml:space="preserve"> </w:t>
      </w:r>
    </w:p>
    <w:p w:rsidR="00AB54C2" w:rsidRPr="00DC5CC3" w:rsidRDefault="00AB54C2" w:rsidP="00AB54C2">
      <w:pPr>
        <w:autoSpaceDE w:val="0"/>
        <w:autoSpaceDN w:val="0"/>
        <w:adjustRightInd w:val="0"/>
        <w:spacing w:after="0" w:line="240" w:lineRule="auto"/>
        <w:rPr>
          <w:lang w:val="en-US"/>
        </w:rPr>
      </w:pPr>
      <w:r w:rsidRPr="00DC5CC3">
        <w:rPr>
          <w:u w:val="single"/>
          <w:lang w:val="en-US"/>
        </w:rPr>
        <w:t xml:space="preserve">Nome </w:t>
      </w:r>
      <w:proofErr w:type="spellStart"/>
      <w:r w:rsidRPr="00DC5CC3">
        <w:rPr>
          <w:u w:val="single"/>
          <w:lang w:val="en-US"/>
        </w:rPr>
        <w:t>chimico</w:t>
      </w:r>
      <w:proofErr w:type="spellEnd"/>
      <w:r w:rsidRPr="00DC5CC3">
        <w:rPr>
          <w:lang w:val="en-US"/>
        </w:rPr>
        <w:t xml:space="preserve">: </w:t>
      </w:r>
      <w:r w:rsidR="00EE1623" w:rsidRPr="00DC5CC3">
        <w:rPr>
          <w:lang w:val="en-US"/>
        </w:rPr>
        <w:t>(</w:t>
      </w:r>
      <w:r w:rsidR="00EE1623" w:rsidRPr="00DC5CC3">
        <w:rPr>
          <w:i/>
          <w:iCs/>
          <w:lang w:val="en-US"/>
        </w:rPr>
        <w:t>S</w:t>
      </w:r>
      <w:r w:rsidR="00EE1623" w:rsidRPr="00DC5CC3">
        <w:rPr>
          <w:lang w:val="en-US"/>
        </w:rPr>
        <w:t>)-3-(</w:t>
      </w:r>
      <w:proofErr w:type="spellStart"/>
      <w:r w:rsidR="00EE1623" w:rsidRPr="00DC5CC3">
        <w:rPr>
          <w:lang w:val="en-US"/>
        </w:rPr>
        <w:t>Aminomethyl</w:t>
      </w:r>
      <w:proofErr w:type="spellEnd"/>
      <w:r w:rsidR="00EE1623" w:rsidRPr="00DC5CC3">
        <w:rPr>
          <w:lang w:val="en-US"/>
        </w:rPr>
        <w:t>)-5-methylhexanoic acid (</w:t>
      </w:r>
      <w:r w:rsidR="00EE1623" w:rsidRPr="00DC5CC3">
        <w:rPr>
          <w:i/>
          <w:iCs/>
          <w:lang w:val="en-US"/>
        </w:rPr>
        <w:t>S</w:t>
      </w:r>
      <w:r w:rsidR="00EE1623" w:rsidRPr="00DC5CC3">
        <w:rPr>
          <w:lang w:val="en-US"/>
        </w:rPr>
        <w:t>)-(+)-4-amino-3-(2-methylpropyl)</w:t>
      </w:r>
      <w:proofErr w:type="spellStart"/>
      <w:r w:rsidR="00EE1623" w:rsidRPr="00DC5CC3">
        <w:rPr>
          <w:lang w:val="en-US"/>
        </w:rPr>
        <w:t>butanoic</w:t>
      </w:r>
      <w:proofErr w:type="spellEnd"/>
      <w:r w:rsidR="00EE1623" w:rsidRPr="00DC5CC3">
        <w:rPr>
          <w:lang w:val="en-US"/>
        </w:rPr>
        <w:t xml:space="preserve"> acid; (</w:t>
      </w:r>
      <w:r w:rsidR="00EE1623" w:rsidRPr="00DC5CC3">
        <w:rPr>
          <w:i/>
          <w:iCs/>
          <w:lang w:val="en-US"/>
        </w:rPr>
        <w:t>S</w:t>
      </w:r>
      <w:r w:rsidR="00EE1623" w:rsidRPr="00DC5CC3">
        <w:rPr>
          <w:lang w:val="en-US"/>
        </w:rPr>
        <w:t>)-(+)-3-isobutyl-</w:t>
      </w:r>
      <w:r w:rsidR="00EE1623" w:rsidRPr="00824095">
        <w:t>γ</w:t>
      </w:r>
      <w:r w:rsidR="00EE1623" w:rsidRPr="00DC5CC3">
        <w:rPr>
          <w:lang w:val="en-US"/>
        </w:rPr>
        <w:t>-</w:t>
      </w:r>
      <w:proofErr w:type="spellStart"/>
      <w:r w:rsidR="00EE1623" w:rsidRPr="00DC5CC3">
        <w:rPr>
          <w:lang w:val="en-US"/>
        </w:rPr>
        <w:t>aminobutyric</w:t>
      </w:r>
      <w:proofErr w:type="spellEnd"/>
      <w:r w:rsidR="00EE1623" w:rsidRPr="00DC5CC3">
        <w:rPr>
          <w:lang w:val="en-US"/>
        </w:rPr>
        <w:t xml:space="preserve"> acid</w:t>
      </w:r>
    </w:p>
    <w:p w:rsidR="00AB54C2" w:rsidRPr="00824095" w:rsidRDefault="00AB54C2" w:rsidP="00AB54C2">
      <w:pPr>
        <w:spacing w:after="0" w:line="240" w:lineRule="auto"/>
        <w:jc w:val="both"/>
        <w:rPr>
          <w:noProof/>
          <w:lang w:eastAsia="it-IT"/>
        </w:rPr>
      </w:pPr>
      <w:r w:rsidRPr="00AF0669">
        <w:rPr>
          <w:u w:val="single"/>
        </w:rPr>
        <w:t>Struttura</w:t>
      </w:r>
      <w:r w:rsidRPr="00AF0669">
        <w:t>:</w:t>
      </w:r>
    </w:p>
    <w:p w:rsidR="00AB54C2" w:rsidRPr="00824095" w:rsidRDefault="00824095" w:rsidP="00AB54C2">
      <w:pPr>
        <w:spacing w:after="0" w:line="240" w:lineRule="auto"/>
        <w:jc w:val="center"/>
        <w:rPr>
          <w:noProof/>
          <w:lang w:eastAsia="it-IT"/>
        </w:rPr>
      </w:pPr>
      <w:r>
        <w:rPr>
          <w:noProof/>
          <w:lang w:eastAsia="it-IT"/>
        </w:rPr>
        <w:drawing>
          <wp:inline distT="0" distB="0" distL="0" distR="0">
            <wp:extent cx="977202" cy="461176"/>
            <wp:effectExtent l="19050" t="0" r="0" b="0"/>
            <wp:docPr id="2" name="Immagine 1" descr="Pregabali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gabalin.svg"/>
                    <pic:cNvPicPr>
                      <a:picLocks noChangeAspect="1" noChangeArrowheads="1"/>
                    </pic:cNvPicPr>
                  </pic:nvPicPr>
                  <pic:blipFill>
                    <a:blip r:embed="rId8" cstate="print"/>
                    <a:srcRect/>
                    <a:stretch>
                      <a:fillRect/>
                    </a:stretch>
                  </pic:blipFill>
                  <pic:spPr bwMode="auto">
                    <a:xfrm>
                      <a:off x="0" y="0"/>
                      <a:ext cx="978497" cy="461787"/>
                    </a:xfrm>
                    <a:prstGeom prst="rect">
                      <a:avLst/>
                    </a:prstGeom>
                    <a:noFill/>
                    <a:ln w="9525">
                      <a:noFill/>
                      <a:miter lim="800000"/>
                      <a:headEnd/>
                      <a:tailEnd/>
                    </a:ln>
                  </pic:spPr>
                </pic:pic>
              </a:graphicData>
            </a:graphic>
          </wp:inline>
        </w:drawing>
      </w:r>
    </w:p>
    <w:p w:rsidR="00EE29EF" w:rsidRPr="00824095" w:rsidRDefault="00AB54C2" w:rsidP="00EE29EF">
      <w:pPr>
        <w:spacing w:after="0" w:line="240" w:lineRule="auto"/>
        <w:jc w:val="both"/>
        <w:rPr>
          <w:rStyle w:val="s1"/>
          <w:rFonts w:asciiTheme="minorHAnsi" w:hAnsiTheme="minorHAnsi"/>
          <w:vertAlign w:val="subscript"/>
        </w:rPr>
      </w:pPr>
      <w:r w:rsidRPr="00824095">
        <w:rPr>
          <w:u w:val="single"/>
        </w:rPr>
        <w:t>Formula molecolare</w:t>
      </w:r>
      <w:r w:rsidRPr="00824095">
        <w:t>:</w:t>
      </w:r>
      <w:r w:rsidRPr="00824095">
        <w:rPr>
          <w:rStyle w:val="s1"/>
          <w:rFonts w:asciiTheme="minorHAnsi" w:hAnsiTheme="minorHAnsi"/>
        </w:rPr>
        <w:t xml:space="preserve"> </w:t>
      </w:r>
      <w:r w:rsidR="00824095" w:rsidRPr="00824095">
        <w:rPr>
          <w:rFonts w:cs="Times New Roman"/>
        </w:rPr>
        <w:t>C</w:t>
      </w:r>
      <w:r w:rsidR="00824095" w:rsidRPr="00824095">
        <w:rPr>
          <w:rFonts w:cs="Times New Roman"/>
          <w:vertAlign w:val="subscript"/>
        </w:rPr>
        <w:t>8</w:t>
      </w:r>
      <w:r w:rsidR="00824095" w:rsidRPr="00824095">
        <w:rPr>
          <w:rFonts w:cs="Times New Roman"/>
        </w:rPr>
        <w:t>H</w:t>
      </w:r>
      <w:r w:rsidR="00824095" w:rsidRPr="00824095">
        <w:rPr>
          <w:rFonts w:cs="Times New Roman"/>
          <w:vertAlign w:val="subscript"/>
        </w:rPr>
        <w:t>17</w:t>
      </w:r>
      <w:r w:rsidR="00824095" w:rsidRPr="00824095">
        <w:rPr>
          <w:rFonts w:cs="Times New Roman"/>
        </w:rPr>
        <w:t>NO</w:t>
      </w:r>
      <w:r w:rsidR="00824095" w:rsidRPr="00824095">
        <w:rPr>
          <w:rFonts w:cs="Times New Roman"/>
          <w:vertAlign w:val="subscript"/>
        </w:rPr>
        <w:t>2</w:t>
      </w:r>
    </w:p>
    <w:p w:rsidR="00AB54C2" w:rsidRPr="00824095" w:rsidRDefault="00AB54C2" w:rsidP="00EE29EF">
      <w:pPr>
        <w:spacing w:after="0" w:line="240" w:lineRule="auto"/>
        <w:jc w:val="both"/>
      </w:pPr>
      <w:r w:rsidRPr="00824095">
        <w:rPr>
          <w:u w:val="single"/>
        </w:rPr>
        <w:t>Peso molecolare</w:t>
      </w:r>
      <w:r w:rsidRPr="00824095">
        <w:t>:</w:t>
      </w:r>
      <w:r w:rsidRPr="00824095">
        <w:rPr>
          <w:rFonts w:cs="Arial"/>
          <w:color w:val="252525"/>
          <w:shd w:val="clear" w:color="auto" w:fill="F9F9F9"/>
        </w:rPr>
        <w:t xml:space="preserve"> </w:t>
      </w:r>
      <w:r w:rsidR="00824095" w:rsidRPr="00824095">
        <w:rPr>
          <w:rFonts w:cs="Times New Roman"/>
        </w:rPr>
        <w:t xml:space="preserve">159.23 </w:t>
      </w:r>
      <w:r w:rsidRPr="00824095">
        <w:rPr>
          <w:rStyle w:val="s1"/>
          <w:rFonts w:asciiTheme="minorHAnsi" w:hAnsiTheme="minorHAnsi"/>
        </w:rPr>
        <w:t>g/mol</w:t>
      </w:r>
    </w:p>
    <w:p w:rsidR="00AB54C2" w:rsidRPr="00824095" w:rsidRDefault="00AB54C2" w:rsidP="00EE29EF">
      <w:pPr>
        <w:pStyle w:val="Titolo1"/>
        <w:shd w:val="clear" w:color="auto" w:fill="FFFFFF"/>
        <w:spacing w:before="0" w:beforeAutospacing="0" w:after="0" w:afterAutospacing="0"/>
        <w:rPr>
          <w:rFonts w:asciiTheme="minorHAnsi" w:hAnsiTheme="minorHAnsi"/>
          <w:b w:val="0"/>
          <w:sz w:val="22"/>
          <w:szCs w:val="22"/>
        </w:rPr>
      </w:pPr>
      <w:r w:rsidRPr="00824095">
        <w:rPr>
          <w:rFonts w:asciiTheme="minorHAnsi" w:hAnsiTheme="minorHAnsi"/>
          <w:b w:val="0"/>
          <w:sz w:val="22"/>
          <w:szCs w:val="22"/>
          <w:u w:val="single"/>
        </w:rPr>
        <w:t>CAS</w:t>
      </w:r>
      <w:r w:rsidRPr="00824095">
        <w:rPr>
          <w:rFonts w:asciiTheme="minorHAnsi" w:hAnsiTheme="minorHAnsi"/>
          <w:b w:val="0"/>
          <w:sz w:val="22"/>
          <w:szCs w:val="22"/>
        </w:rPr>
        <w:t xml:space="preserve">: </w:t>
      </w:r>
      <w:r w:rsidR="00EE29EF" w:rsidRPr="00824095">
        <w:rPr>
          <w:rStyle w:val="s1"/>
          <w:rFonts w:asciiTheme="minorHAnsi" w:hAnsiTheme="minorHAnsi"/>
          <w:b w:val="0"/>
          <w:sz w:val="22"/>
          <w:szCs w:val="22"/>
        </w:rPr>
        <w:t>[</w:t>
      </w:r>
      <w:hyperlink r:id="rId9" w:history="1">
        <w:r w:rsidR="00824095" w:rsidRPr="00824095">
          <w:rPr>
            <w:rStyle w:val="Collegamentoipertestuale"/>
            <w:rFonts w:asciiTheme="minorHAnsi" w:hAnsiTheme="minorHAnsi" w:cs="Arial"/>
            <w:b w:val="0"/>
            <w:color w:val="auto"/>
            <w:sz w:val="22"/>
            <w:szCs w:val="22"/>
            <w:u w:val="none"/>
          </w:rPr>
          <w:t>148553-50-8</w:t>
        </w:r>
      </w:hyperlink>
      <w:r w:rsidR="00EE29EF" w:rsidRPr="00824095">
        <w:rPr>
          <w:rStyle w:val="s1"/>
          <w:rFonts w:asciiTheme="minorHAnsi" w:hAnsiTheme="minorHAnsi"/>
          <w:b w:val="0"/>
          <w:sz w:val="22"/>
          <w:szCs w:val="22"/>
        </w:rPr>
        <w:t>]</w:t>
      </w:r>
    </w:p>
    <w:p w:rsidR="00AB54C2" w:rsidRPr="00824095" w:rsidRDefault="00AB54C2" w:rsidP="00EE29EF">
      <w:pPr>
        <w:spacing w:after="0" w:line="240" w:lineRule="auto"/>
        <w:jc w:val="both"/>
      </w:pPr>
      <w:r w:rsidRPr="00824095">
        <w:rPr>
          <w:u w:val="single"/>
        </w:rPr>
        <w:t>Aspetto</w:t>
      </w:r>
      <w:r w:rsidRPr="00824095">
        <w:t>: polvere bianca o quasi bianca</w:t>
      </w:r>
      <w:r w:rsidR="00BA08FD" w:rsidRPr="00824095">
        <w:t>.</w:t>
      </w:r>
    </w:p>
    <w:p w:rsidR="00AB54C2" w:rsidRPr="00824095" w:rsidRDefault="00AB54C2" w:rsidP="00BA08FD">
      <w:pPr>
        <w:spacing w:after="0" w:line="240" w:lineRule="auto"/>
        <w:jc w:val="both"/>
        <w:rPr>
          <w:rStyle w:val="s1"/>
          <w:rFonts w:asciiTheme="minorHAnsi" w:hAnsiTheme="minorHAnsi"/>
        </w:rPr>
      </w:pPr>
      <w:r w:rsidRPr="00824095">
        <w:rPr>
          <w:u w:val="single"/>
        </w:rPr>
        <w:t>Solubilità</w:t>
      </w:r>
      <w:r w:rsidRPr="00824095">
        <w:t xml:space="preserve">: </w:t>
      </w:r>
      <w:r w:rsidR="00EE1623" w:rsidRPr="00824095">
        <w:t>molto poco solubile in acqua, poco solubile in metanolo, prat</w:t>
      </w:r>
      <w:r w:rsidR="00824095">
        <w:t xml:space="preserve">icamente insolubile in acetone e </w:t>
      </w:r>
      <w:proofErr w:type="spellStart"/>
      <w:r w:rsidR="00EE1623" w:rsidRPr="00824095">
        <w:t>isopropanolo</w:t>
      </w:r>
      <w:proofErr w:type="spellEnd"/>
      <w:r w:rsidR="00BA08FD" w:rsidRPr="00824095">
        <w:rPr>
          <w:rStyle w:val="s1"/>
          <w:rFonts w:asciiTheme="minorHAnsi" w:hAnsiTheme="minorHAnsi"/>
        </w:rPr>
        <w:t>.</w:t>
      </w:r>
    </w:p>
    <w:p w:rsidR="00BA08FD" w:rsidRPr="00824095" w:rsidRDefault="00BA08FD" w:rsidP="00BA08FD">
      <w:pPr>
        <w:spacing w:after="0" w:line="240" w:lineRule="auto"/>
        <w:jc w:val="both"/>
      </w:pPr>
      <w:r w:rsidRPr="00824095">
        <w:rPr>
          <w:u w:val="single"/>
        </w:rPr>
        <w:lastRenderedPageBreak/>
        <w:t>Polimorfismo</w:t>
      </w:r>
      <w:r w:rsidRPr="00824095">
        <w:t>: il principio attivo presenta polimorfismo.</w:t>
      </w:r>
    </w:p>
    <w:p w:rsidR="00BA08FD" w:rsidRPr="00EE1623" w:rsidRDefault="00BA08FD" w:rsidP="00BA08FD">
      <w:pPr>
        <w:spacing w:after="0" w:line="240" w:lineRule="auto"/>
        <w:jc w:val="both"/>
        <w:rPr>
          <w:highlight w:val="yellow"/>
        </w:rPr>
      </w:pPr>
    </w:p>
    <w:p w:rsidR="009F16FA" w:rsidRPr="00BA08FD" w:rsidRDefault="009F16FA" w:rsidP="009F16FA">
      <w:pPr>
        <w:spacing w:after="0" w:line="240" w:lineRule="auto"/>
        <w:jc w:val="both"/>
      </w:pPr>
      <w:r w:rsidRPr="00BA08FD">
        <w:t xml:space="preserve">Il principio attivo </w:t>
      </w:r>
      <w:proofErr w:type="spellStart"/>
      <w:r w:rsidR="00281788">
        <w:t>pregabalin</w:t>
      </w:r>
      <w:proofErr w:type="spellEnd"/>
      <w:r w:rsidRPr="00BA08FD">
        <w:t xml:space="preserve"> </w:t>
      </w:r>
      <w:r w:rsidR="00845463">
        <w:t xml:space="preserve">non </w:t>
      </w:r>
      <w:r w:rsidRPr="00BA08FD">
        <w:t xml:space="preserve">è presente in Farmacopea Europea e </w:t>
      </w:r>
      <w:r w:rsidR="00845463">
        <w:t xml:space="preserve">i </w:t>
      </w:r>
      <w:proofErr w:type="spellStart"/>
      <w:r w:rsidR="00845463">
        <w:t>du</w:t>
      </w:r>
      <w:proofErr w:type="spellEnd"/>
      <w:r w:rsidR="00845463">
        <w:t xml:space="preserve"> produttori di principio attivo proposti hanno presentato un ASMF.</w:t>
      </w:r>
    </w:p>
    <w:p w:rsidR="00845463" w:rsidRDefault="00845463" w:rsidP="00845463">
      <w:pPr>
        <w:spacing w:after="0" w:line="240" w:lineRule="auto"/>
        <w:jc w:val="both"/>
      </w:pPr>
      <w:r>
        <w:t>La sintesi del principio attivo è stata adeguatamente descritta a partire da  idonei materiali di partenza; sono utilizzati appropriati controlli di processo e degli intermedi di sintesi.</w:t>
      </w:r>
    </w:p>
    <w:p w:rsidR="00845463" w:rsidRDefault="00845463" w:rsidP="00845463">
      <w:pPr>
        <w:spacing w:after="0" w:line="240" w:lineRule="auto"/>
        <w:jc w:val="both"/>
      </w:pPr>
      <w:r>
        <w:t>I materiali e i reagenti utilizzati nella sintesi sono di qualità adeguata.</w:t>
      </w:r>
    </w:p>
    <w:p w:rsidR="00845463" w:rsidRDefault="00845463" w:rsidP="00845463">
      <w:pPr>
        <w:spacing w:after="0" w:line="240" w:lineRule="auto"/>
        <w:jc w:val="both"/>
      </w:pPr>
      <w:r>
        <w:t>I materiali, gli intermedi, i reagenti utilizzati nella sintesi non sono di origine umana, biologica o geneticamente modificata. Sono state fornite prove adeguate della struttura isolata nonché della stabilità della forma polimorfica utilizzata. Tutte le potenziali impurezze note sono state identificate e caratterizzate</w:t>
      </w:r>
    </w:p>
    <w:p w:rsidR="00845463" w:rsidRDefault="00845463" w:rsidP="00845463">
      <w:pPr>
        <w:spacing w:after="0" w:line="240" w:lineRule="auto"/>
        <w:jc w:val="both"/>
      </w:pPr>
      <w:r>
        <w:t>Le specifiche del principio attivo sono appropriate e controllati con metodi analitici adeguatamente convalidati. Sono stati forniti certificati analitici che confermano la qualità del principio attivo.</w:t>
      </w:r>
    </w:p>
    <w:p w:rsidR="00845463" w:rsidRDefault="00845463" w:rsidP="00845463">
      <w:pPr>
        <w:spacing w:after="0" w:line="240" w:lineRule="auto"/>
        <w:jc w:val="both"/>
      </w:pPr>
      <w:r w:rsidRPr="00C97A20">
        <w:t xml:space="preserve">Il principio attivo è confezionato in un adeguato contenitore, per il quale sono stati forniti specifiche e </w:t>
      </w:r>
      <w:r w:rsidRPr="007469AE">
        <w:t xml:space="preserve">certificati analitici. Sono stati forniti adeguati studi di stabilità per il principio attivo conservato nel confezionamento proposto per il commercio. </w:t>
      </w:r>
    </w:p>
    <w:p w:rsidR="00845463" w:rsidRPr="0021191E" w:rsidRDefault="00845463" w:rsidP="0021191E">
      <w:pPr>
        <w:spacing w:after="0" w:line="240" w:lineRule="auto"/>
        <w:jc w:val="both"/>
      </w:pPr>
      <w:r w:rsidRPr="007469AE">
        <w:t xml:space="preserve">Sulla base di questi dati, </w:t>
      </w:r>
      <w:r>
        <w:t xml:space="preserve">per un produttore </w:t>
      </w:r>
      <w:r w:rsidRPr="007469AE">
        <w:t xml:space="preserve">è stato approvato un periodo di </w:t>
      </w:r>
      <w:proofErr w:type="spellStart"/>
      <w:r w:rsidRPr="007469AE">
        <w:t>retest</w:t>
      </w:r>
      <w:proofErr w:type="spellEnd"/>
      <w:r w:rsidRPr="007469AE">
        <w:t xml:space="preserve"> di </w:t>
      </w:r>
      <w:r>
        <w:t>2</w:t>
      </w:r>
      <w:r w:rsidRPr="007469AE">
        <w:t xml:space="preserve"> anni </w:t>
      </w:r>
      <w:r>
        <w:t xml:space="preserve">per il principio attivo confezionato in </w:t>
      </w:r>
      <w:r w:rsidRPr="007469AE">
        <w:t>una busta di polietilene trasparente posta all’interno di un</w:t>
      </w:r>
      <w:r>
        <w:t xml:space="preserve"> fustino; per altro, è stato </w:t>
      </w:r>
      <w:r w:rsidRPr="0021191E">
        <w:t xml:space="preserve">approvato un periodo di </w:t>
      </w:r>
      <w:proofErr w:type="spellStart"/>
      <w:r w:rsidRPr="0021191E">
        <w:t>retest</w:t>
      </w:r>
      <w:proofErr w:type="spellEnd"/>
      <w:r w:rsidRPr="0021191E">
        <w:t xml:space="preserve"> di </w:t>
      </w:r>
      <w:r w:rsidR="0021191E" w:rsidRPr="0021191E">
        <w:t>4</w:t>
      </w:r>
      <w:r w:rsidRPr="0021191E">
        <w:t xml:space="preserve"> anni per il principio attivo confezionato in una sacca di alluminio laminato posta in un contenitore in polietilene ad alta densità</w:t>
      </w:r>
      <w:r w:rsidR="0021191E" w:rsidRPr="0021191E">
        <w:t>.</w:t>
      </w:r>
    </w:p>
    <w:p w:rsidR="0021191E" w:rsidRPr="0021191E" w:rsidRDefault="0021191E" w:rsidP="0021191E">
      <w:pPr>
        <w:spacing w:after="0" w:line="240" w:lineRule="auto"/>
        <w:jc w:val="both"/>
      </w:pPr>
    </w:p>
    <w:p w:rsidR="0021191E" w:rsidRPr="0021191E" w:rsidRDefault="0021191E" w:rsidP="0021191E">
      <w:pPr>
        <w:spacing w:after="0" w:line="240" w:lineRule="auto"/>
        <w:jc w:val="both"/>
      </w:pPr>
    </w:p>
    <w:p w:rsidR="00AB54C2" w:rsidRPr="0021191E" w:rsidRDefault="00AB54C2" w:rsidP="0021191E">
      <w:pPr>
        <w:spacing w:after="0" w:line="240" w:lineRule="auto"/>
        <w:jc w:val="both"/>
        <w:rPr>
          <w:b/>
        </w:rPr>
      </w:pPr>
      <w:r w:rsidRPr="0021191E">
        <w:rPr>
          <w:b/>
        </w:rPr>
        <w:t>II.2 PRODOTTO FINITO</w:t>
      </w:r>
    </w:p>
    <w:p w:rsidR="00AB54C2" w:rsidRPr="0021191E" w:rsidRDefault="00AB54C2" w:rsidP="0021191E">
      <w:pPr>
        <w:spacing w:after="0" w:line="240" w:lineRule="auto"/>
        <w:jc w:val="both"/>
        <w:rPr>
          <w:b/>
        </w:rPr>
      </w:pPr>
      <w:r w:rsidRPr="0021191E">
        <w:rPr>
          <w:b/>
        </w:rPr>
        <w:t>Descrizione e composizione</w:t>
      </w:r>
    </w:p>
    <w:p w:rsidR="00AB54C2" w:rsidRPr="0021191E" w:rsidRDefault="00281788" w:rsidP="0021191E">
      <w:pPr>
        <w:widowControl w:val="0"/>
        <w:spacing w:after="0" w:line="240" w:lineRule="auto"/>
        <w:jc w:val="both"/>
        <w:rPr>
          <w:rFonts w:eastAsia="Calibri" w:cs="Calibri"/>
          <w:color w:val="000000"/>
          <w:lang w:eastAsia="it-IT"/>
        </w:rPr>
      </w:pPr>
      <w:proofErr w:type="spellStart"/>
      <w:r w:rsidRPr="0021191E">
        <w:rPr>
          <w:rFonts w:eastAsia="Calibri" w:cs="Calibri"/>
          <w:color w:val="000000"/>
          <w:lang w:eastAsia="it-IT"/>
        </w:rPr>
        <w:t>Regalbax</w:t>
      </w:r>
      <w:proofErr w:type="spellEnd"/>
      <w:r w:rsidR="00B9671B" w:rsidRPr="0021191E">
        <w:rPr>
          <w:rFonts w:eastAsia="Calibri" w:cs="Calibri"/>
          <w:color w:val="000000"/>
          <w:lang w:eastAsia="it-IT"/>
        </w:rPr>
        <w:t xml:space="preserve"> </w:t>
      </w:r>
      <w:r w:rsidR="00AB54C2" w:rsidRPr="0021191E">
        <w:rPr>
          <w:rFonts w:eastAsia="Calibri" w:cs="Calibri"/>
          <w:color w:val="000000"/>
          <w:lang w:eastAsia="it-IT"/>
        </w:rPr>
        <w:t xml:space="preserve">è disponibile in </w:t>
      </w:r>
      <w:r w:rsidR="000062DD" w:rsidRPr="0021191E">
        <w:rPr>
          <w:rFonts w:eastAsia="Calibri" w:cs="Calibri"/>
          <w:color w:val="000000"/>
          <w:lang w:eastAsia="it-IT"/>
        </w:rPr>
        <w:t xml:space="preserve">capsule rigide contenenti </w:t>
      </w:r>
      <w:r w:rsidR="0021191E" w:rsidRPr="0021191E">
        <w:rPr>
          <w:rFonts w:eastAsia="Calibri" w:cs="Calibri"/>
          <w:color w:val="000000"/>
          <w:lang w:eastAsia="it-IT"/>
        </w:rPr>
        <w:t xml:space="preserve">25 </w:t>
      </w:r>
      <w:r w:rsidR="000062DD" w:rsidRPr="0021191E">
        <w:rPr>
          <w:rFonts w:eastAsia="Calibri" w:cs="Calibri"/>
          <w:color w:val="000000"/>
          <w:lang w:eastAsia="it-IT"/>
        </w:rPr>
        <w:t>mg</w:t>
      </w:r>
      <w:r w:rsidR="0021191E" w:rsidRPr="0021191E">
        <w:rPr>
          <w:rFonts w:eastAsia="Calibri" w:cs="Calibri"/>
          <w:color w:val="000000"/>
          <w:lang w:eastAsia="it-IT"/>
        </w:rPr>
        <w:t>, 75 mg, 150 mg</w:t>
      </w:r>
      <w:r w:rsidR="000062DD" w:rsidRPr="0021191E">
        <w:rPr>
          <w:rFonts w:eastAsia="Calibri" w:cs="Calibri"/>
          <w:color w:val="000000"/>
          <w:lang w:eastAsia="it-IT"/>
        </w:rPr>
        <w:t xml:space="preserve"> e </w:t>
      </w:r>
      <w:r w:rsidR="0021191E" w:rsidRPr="0021191E">
        <w:rPr>
          <w:rFonts w:eastAsia="Calibri" w:cs="Calibri"/>
          <w:color w:val="000000"/>
          <w:lang w:eastAsia="it-IT"/>
        </w:rPr>
        <w:t>30</w:t>
      </w:r>
      <w:r w:rsidR="000062DD" w:rsidRPr="0021191E">
        <w:rPr>
          <w:rFonts w:eastAsia="Calibri" w:cs="Calibri"/>
          <w:color w:val="000000"/>
          <w:lang w:eastAsia="it-IT"/>
        </w:rPr>
        <w:t>0 mg</w:t>
      </w:r>
      <w:r w:rsidR="00AB54C2" w:rsidRPr="0021191E">
        <w:rPr>
          <w:rFonts w:eastAsia="Calibri" w:cs="Calibri"/>
          <w:color w:val="000000"/>
          <w:lang w:eastAsia="it-IT"/>
        </w:rPr>
        <w:t xml:space="preserve"> di </w:t>
      </w:r>
      <w:proofErr w:type="spellStart"/>
      <w:r w:rsidRPr="0021191E">
        <w:rPr>
          <w:rFonts w:eastAsia="Calibri" w:cs="Calibri"/>
          <w:color w:val="000000"/>
          <w:lang w:eastAsia="it-IT"/>
        </w:rPr>
        <w:t>pregabalin</w:t>
      </w:r>
      <w:proofErr w:type="spellEnd"/>
      <w:r w:rsidR="00AB54C2" w:rsidRPr="0021191E">
        <w:rPr>
          <w:rFonts w:eastAsia="Calibri" w:cs="Calibri"/>
          <w:color w:val="000000"/>
          <w:lang w:eastAsia="it-IT"/>
        </w:rPr>
        <w:t>.</w:t>
      </w:r>
    </w:p>
    <w:p w:rsidR="0021191E" w:rsidRPr="0021191E" w:rsidRDefault="0021191E" w:rsidP="0021191E">
      <w:pPr>
        <w:widowControl w:val="0"/>
        <w:tabs>
          <w:tab w:val="left" w:pos="567"/>
        </w:tabs>
        <w:spacing w:after="0" w:line="240" w:lineRule="auto"/>
        <w:jc w:val="both"/>
      </w:pPr>
      <w:r w:rsidRPr="0021191E">
        <w:rPr>
          <w:i/>
        </w:rPr>
        <w:t>Capsule da 25 mg</w:t>
      </w:r>
      <w:r w:rsidRPr="0021191E">
        <w:t xml:space="preserve">: </w:t>
      </w:r>
      <w:r w:rsidRPr="0021191E">
        <w:rPr>
          <w:noProof/>
        </w:rPr>
        <w:t xml:space="preserve"> </w:t>
      </w:r>
      <w:r w:rsidRPr="0021191E">
        <w:t xml:space="preserve">il corpo della capsula è di colore bianco, la testa della capsula è di colore bianco ed è contrassegnata con inchiostro nero dalla scritta P25. </w:t>
      </w:r>
    </w:p>
    <w:p w:rsidR="0021191E" w:rsidRPr="0021191E" w:rsidRDefault="0021191E" w:rsidP="0021191E">
      <w:pPr>
        <w:widowControl w:val="0"/>
        <w:tabs>
          <w:tab w:val="left" w:pos="567"/>
        </w:tabs>
        <w:spacing w:after="0" w:line="240" w:lineRule="auto"/>
        <w:jc w:val="both"/>
      </w:pPr>
      <w:r w:rsidRPr="0021191E">
        <w:rPr>
          <w:i/>
        </w:rPr>
        <w:t>Capsule da 75 mg</w:t>
      </w:r>
      <w:r w:rsidRPr="0021191E">
        <w:t>:</w:t>
      </w:r>
      <w:r w:rsidRPr="0021191E">
        <w:rPr>
          <w:noProof/>
        </w:rPr>
        <w:t xml:space="preserve"> i</w:t>
      </w:r>
      <w:r w:rsidRPr="0021191E">
        <w:t xml:space="preserve">l corpo della capsula è di colore giallo brunastro, la testa della capsula è di colore giallo brunastro ed è contrassegnata con inchiostro nero dalla scritta P75. </w:t>
      </w:r>
    </w:p>
    <w:p w:rsidR="0021191E" w:rsidRPr="0021191E" w:rsidRDefault="0021191E" w:rsidP="0021191E">
      <w:pPr>
        <w:widowControl w:val="0"/>
        <w:tabs>
          <w:tab w:val="left" w:pos="567"/>
        </w:tabs>
        <w:spacing w:after="0" w:line="240" w:lineRule="auto"/>
        <w:jc w:val="both"/>
      </w:pPr>
      <w:r w:rsidRPr="0021191E">
        <w:rPr>
          <w:i/>
        </w:rPr>
        <w:t>Capsule da 150 mg</w:t>
      </w:r>
      <w:r w:rsidRPr="0021191E">
        <w:t>:</w:t>
      </w:r>
      <w:r w:rsidRPr="0021191E">
        <w:rPr>
          <w:noProof/>
        </w:rPr>
        <w:t xml:space="preserve"> </w:t>
      </w:r>
      <w:r w:rsidRPr="0021191E">
        <w:t xml:space="preserve">il corpo della capsula è di colore bianco, la testa della capsula è di colore marrone giallastro ed è contrassegnata con inchiostro nero dalla scritta P150. </w:t>
      </w:r>
    </w:p>
    <w:p w:rsidR="0021191E" w:rsidRPr="0021191E" w:rsidRDefault="0021191E" w:rsidP="0021191E">
      <w:pPr>
        <w:widowControl w:val="0"/>
        <w:tabs>
          <w:tab w:val="left" w:pos="567"/>
        </w:tabs>
        <w:spacing w:after="0" w:line="240" w:lineRule="auto"/>
        <w:jc w:val="both"/>
      </w:pPr>
      <w:r w:rsidRPr="0021191E">
        <w:rPr>
          <w:i/>
        </w:rPr>
        <w:t>Capsule da 300 mg</w:t>
      </w:r>
      <w:r w:rsidRPr="0021191E">
        <w:t>:</w:t>
      </w:r>
      <w:r w:rsidRPr="0021191E">
        <w:rPr>
          <w:noProof/>
        </w:rPr>
        <w:t xml:space="preserve"> </w:t>
      </w:r>
      <w:r w:rsidRPr="0021191E">
        <w:t xml:space="preserve">il corpo della capsula è di colore bianco, la testa della capsula è di colore marrone scuro ed è contrassegnata con inchiostro nero dalla scritta bianca P300. </w:t>
      </w:r>
    </w:p>
    <w:p w:rsidR="009F16FA" w:rsidRPr="0021191E" w:rsidRDefault="009F16FA" w:rsidP="0021191E">
      <w:pPr>
        <w:spacing w:after="0" w:line="240" w:lineRule="auto"/>
        <w:jc w:val="both"/>
      </w:pPr>
      <w:r w:rsidRPr="0021191E">
        <w:t>Gli eccipienti sono i seguenti:</w:t>
      </w:r>
    </w:p>
    <w:p w:rsidR="0021191E" w:rsidRPr="0021191E" w:rsidRDefault="0021191E" w:rsidP="0021191E">
      <w:pPr>
        <w:widowControl w:val="0"/>
        <w:tabs>
          <w:tab w:val="left" w:pos="567"/>
        </w:tabs>
        <w:spacing w:after="0" w:line="240" w:lineRule="auto"/>
        <w:jc w:val="both"/>
        <w:rPr>
          <w:noProof/>
        </w:rPr>
      </w:pPr>
      <w:r w:rsidRPr="0021191E">
        <w:rPr>
          <w:i/>
        </w:rPr>
        <w:t xml:space="preserve">Contenuto della capsula: </w:t>
      </w:r>
      <w:r w:rsidRPr="0021191E">
        <w:t xml:space="preserve">amido </w:t>
      </w:r>
      <w:proofErr w:type="spellStart"/>
      <w:r w:rsidRPr="0021191E">
        <w:t>pregelatinizzato</w:t>
      </w:r>
      <w:proofErr w:type="spellEnd"/>
      <w:r w:rsidRPr="0021191E">
        <w:t>, talco  (E553b)</w:t>
      </w:r>
    </w:p>
    <w:p w:rsidR="0021191E" w:rsidRPr="0021191E" w:rsidRDefault="0021191E" w:rsidP="0021191E">
      <w:pPr>
        <w:widowControl w:val="0"/>
        <w:tabs>
          <w:tab w:val="left" w:pos="567"/>
        </w:tabs>
        <w:spacing w:after="0" w:line="240" w:lineRule="auto"/>
        <w:jc w:val="both"/>
        <w:rPr>
          <w:i/>
          <w:noProof/>
          <w:u w:val="single"/>
        </w:rPr>
      </w:pPr>
      <w:r w:rsidRPr="0021191E">
        <w:rPr>
          <w:i/>
        </w:rPr>
        <w:t>Involucro della capsula</w:t>
      </w:r>
      <w:r w:rsidRPr="0021191E">
        <w:rPr>
          <w:i/>
          <w:u w:val="single"/>
        </w:rPr>
        <w:t xml:space="preserve">: </w:t>
      </w:r>
    </w:p>
    <w:p w:rsidR="0021191E" w:rsidRPr="0021191E" w:rsidRDefault="0021191E" w:rsidP="0021191E">
      <w:pPr>
        <w:widowControl w:val="0"/>
        <w:tabs>
          <w:tab w:val="left" w:pos="567"/>
        </w:tabs>
        <w:spacing w:after="0" w:line="240" w:lineRule="auto"/>
        <w:jc w:val="both"/>
        <w:rPr>
          <w:noProof/>
        </w:rPr>
      </w:pPr>
      <w:r w:rsidRPr="0021191E">
        <w:rPr>
          <w:u w:val="single"/>
        </w:rPr>
        <w:t>Capsule da 25 mg</w:t>
      </w:r>
      <w:r>
        <w:t>: t</w:t>
      </w:r>
      <w:r w:rsidRPr="0021191E">
        <w:t>itanio diossido (E171)</w:t>
      </w:r>
      <w:r>
        <w:t>, g</w:t>
      </w:r>
      <w:r w:rsidRPr="0021191E">
        <w:t>elatina (E441)</w:t>
      </w:r>
      <w:r>
        <w:t>, i</w:t>
      </w:r>
      <w:r w:rsidRPr="0021191E">
        <w:t xml:space="preserve">nchiostro di stampa nero (gommalacca (​​E904), ossido di ferro nero (E172), alcol </w:t>
      </w:r>
      <w:proofErr w:type="spellStart"/>
      <w:r w:rsidRPr="0021191E">
        <w:t>N-butilico</w:t>
      </w:r>
      <w:proofErr w:type="spellEnd"/>
      <w:r w:rsidRPr="0021191E">
        <w:t xml:space="preserve">, acqua depurata, glicole </w:t>
      </w:r>
      <w:proofErr w:type="spellStart"/>
      <w:r w:rsidRPr="0021191E">
        <w:t>propilenico</w:t>
      </w:r>
      <w:proofErr w:type="spellEnd"/>
      <w:r w:rsidRPr="0021191E">
        <w:t xml:space="preserve"> (E1520), etanolo anidro, alcool isopropilico, idrossido di ammonio (E527)).</w:t>
      </w:r>
    </w:p>
    <w:p w:rsidR="0021191E" w:rsidRPr="0021191E" w:rsidRDefault="0021191E" w:rsidP="0021191E">
      <w:pPr>
        <w:widowControl w:val="0"/>
        <w:tabs>
          <w:tab w:val="left" w:pos="567"/>
        </w:tabs>
        <w:spacing w:after="0" w:line="240" w:lineRule="auto"/>
        <w:jc w:val="both"/>
        <w:rPr>
          <w:noProof/>
        </w:rPr>
      </w:pPr>
      <w:r w:rsidRPr="0021191E">
        <w:rPr>
          <w:u w:val="single"/>
        </w:rPr>
        <w:t xml:space="preserve">Capsule da </w:t>
      </w:r>
      <w:r>
        <w:rPr>
          <w:u w:val="single"/>
        </w:rPr>
        <w:t>75 mg</w:t>
      </w:r>
      <w:r>
        <w:t>: t</w:t>
      </w:r>
      <w:r w:rsidRPr="0021191E">
        <w:t>itanio diossido (E171)</w:t>
      </w:r>
      <w:r>
        <w:t>, g</w:t>
      </w:r>
      <w:r w:rsidRPr="0021191E">
        <w:t>elatina (E441)</w:t>
      </w:r>
      <w:r>
        <w:t>, o</w:t>
      </w:r>
      <w:r w:rsidRPr="0021191E">
        <w:t>ssido di ferro giallo (E 172)</w:t>
      </w:r>
      <w:r>
        <w:t>, i</w:t>
      </w:r>
      <w:r w:rsidRPr="0021191E">
        <w:t xml:space="preserve">nchiostro di stampa nero (gommalacca (​​E904), ossido di ferro nero (E172), alcol </w:t>
      </w:r>
      <w:proofErr w:type="spellStart"/>
      <w:r w:rsidRPr="0021191E">
        <w:t>N-butilico</w:t>
      </w:r>
      <w:proofErr w:type="spellEnd"/>
      <w:r w:rsidRPr="0021191E">
        <w:t xml:space="preserve">, acqua depurata, glicole </w:t>
      </w:r>
      <w:proofErr w:type="spellStart"/>
      <w:r w:rsidRPr="0021191E">
        <w:t>propilenico</w:t>
      </w:r>
      <w:proofErr w:type="spellEnd"/>
      <w:r w:rsidRPr="0021191E">
        <w:t xml:space="preserve"> (E1520), etanolo anidro, alcool isopropilico, idrossido di ammonio (E527)).</w:t>
      </w:r>
    </w:p>
    <w:p w:rsidR="0021191E" w:rsidRPr="0021191E" w:rsidRDefault="0021191E" w:rsidP="0021191E">
      <w:pPr>
        <w:widowControl w:val="0"/>
        <w:tabs>
          <w:tab w:val="left" w:pos="567"/>
        </w:tabs>
        <w:spacing w:after="0" w:line="240" w:lineRule="auto"/>
        <w:jc w:val="both"/>
        <w:rPr>
          <w:noProof/>
        </w:rPr>
      </w:pPr>
      <w:r w:rsidRPr="0021191E">
        <w:rPr>
          <w:u w:val="single"/>
        </w:rPr>
        <w:t>Capsule da 150 mg</w:t>
      </w:r>
      <w:r>
        <w:t>: t</w:t>
      </w:r>
      <w:r w:rsidRPr="0021191E">
        <w:t>itanio diossido (E171)</w:t>
      </w:r>
      <w:r>
        <w:t>, g</w:t>
      </w:r>
      <w:r w:rsidRPr="0021191E">
        <w:t>elatina (E441)</w:t>
      </w:r>
      <w:r>
        <w:t>, o</w:t>
      </w:r>
      <w:r w:rsidRPr="0021191E">
        <w:t>ssido di ferro rosso (E172)</w:t>
      </w:r>
      <w:r>
        <w:t>, o</w:t>
      </w:r>
      <w:r w:rsidRPr="0021191E">
        <w:t>ssido di ferro giallo (E 172)</w:t>
      </w:r>
      <w:r>
        <w:t>, i</w:t>
      </w:r>
      <w:r w:rsidRPr="0021191E">
        <w:t xml:space="preserve">nchiostro di stampa nero (gommalacca (​​E904), ossido di ferro nero (E172), alcol </w:t>
      </w:r>
      <w:proofErr w:type="spellStart"/>
      <w:r w:rsidRPr="0021191E">
        <w:t>N-butilico</w:t>
      </w:r>
      <w:proofErr w:type="spellEnd"/>
      <w:r w:rsidRPr="0021191E">
        <w:t xml:space="preserve">, acqua depurata, glicole </w:t>
      </w:r>
      <w:proofErr w:type="spellStart"/>
      <w:r w:rsidRPr="0021191E">
        <w:t>propilenico</w:t>
      </w:r>
      <w:proofErr w:type="spellEnd"/>
      <w:r w:rsidRPr="0021191E">
        <w:t xml:space="preserve"> (E1520), etanolo anidro, alcool isopropilico, idrossido di ammonio (E527)).</w:t>
      </w:r>
    </w:p>
    <w:p w:rsidR="0021191E" w:rsidRPr="0021191E" w:rsidRDefault="0021191E" w:rsidP="0021191E">
      <w:pPr>
        <w:widowControl w:val="0"/>
        <w:tabs>
          <w:tab w:val="left" w:pos="567"/>
        </w:tabs>
        <w:spacing w:after="0" w:line="240" w:lineRule="auto"/>
        <w:jc w:val="both"/>
        <w:rPr>
          <w:noProof/>
        </w:rPr>
      </w:pPr>
      <w:r w:rsidRPr="0021191E">
        <w:rPr>
          <w:u w:val="single"/>
        </w:rPr>
        <w:t>Capsule da 300 mg</w:t>
      </w:r>
      <w:r>
        <w:t>: t</w:t>
      </w:r>
      <w:r w:rsidRPr="0021191E">
        <w:t>itanio diossido (E171)</w:t>
      </w:r>
      <w:r>
        <w:t>, g</w:t>
      </w:r>
      <w:r w:rsidRPr="0021191E">
        <w:t>elatina (E441)</w:t>
      </w:r>
      <w:r>
        <w:t>, o</w:t>
      </w:r>
      <w:r w:rsidRPr="0021191E">
        <w:t>ssido di ferro rosso (E172)</w:t>
      </w:r>
      <w:r>
        <w:t>, o</w:t>
      </w:r>
      <w:r w:rsidRPr="0021191E">
        <w:t>ssido di ferro giallo (E 172)</w:t>
      </w:r>
      <w:r>
        <w:t>, o</w:t>
      </w:r>
      <w:r w:rsidRPr="0021191E">
        <w:t>ssido di ferro nero  (E 172)</w:t>
      </w:r>
      <w:r>
        <w:t>, i</w:t>
      </w:r>
      <w:r w:rsidRPr="0021191E">
        <w:t xml:space="preserve">nchiostro da stampa bianco (gommalacca (​​E904), alcool disidratato, alcool isopropilico, alcool butilico, glicole </w:t>
      </w:r>
      <w:proofErr w:type="spellStart"/>
      <w:r w:rsidRPr="0021191E">
        <w:t>propilenico</w:t>
      </w:r>
      <w:proofErr w:type="spellEnd"/>
      <w:r w:rsidRPr="0021191E">
        <w:t xml:space="preserve"> (E1520), idrossido di ammonio (E527), acqua depurata, idrossido di potassio (E525), biossido di titanio (E171)).</w:t>
      </w:r>
    </w:p>
    <w:p w:rsidR="009F16FA" w:rsidRPr="0021191E" w:rsidRDefault="009F16FA" w:rsidP="0021191E">
      <w:pPr>
        <w:spacing w:after="0" w:line="240" w:lineRule="auto"/>
        <w:jc w:val="both"/>
      </w:pPr>
      <w:r w:rsidRPr="0021191E">
        <w:t>Tutti gli eccipienti sono conformi alla relativa monografia di Farmacopea Europea</w:t>
      </w:r>
      <w:r w:rsidR="0021191E" w:rsidRPr="00AF0669">
        <w:t xml:space="preserve">, ad eccezione </w:t>
      </w:r>
      <w:r w:rsidR="00824095" w:rsidRPr="00AF0669">
        <w:t>dei coloranti</w:t>
      </w:r>
      <w:r w:rsidR="00824095">
        <w:t xml:space="preserve"> ossido di ferro rosso, o</w:t>
      </w:r>
      <w:r w:rsidR="00824095" w:rsidRPr="0021191E">
        <w:t>ssido di ferro giallo</w:t>
      </w:r>
      <w:r w:rsidR="00824095">
        <w:t xml:space="preserve">, </w:t>
      </w:r>
      <w:r w:rsidR="00824095" w:rsidRPr="0021191E">
        <w:t>ossido di ferro nero</w:t>
      </w:r>
      <w:r w:rsidR="00824095">
        <w:t xml:space="preserve"> le cui monografie sono presenti nella Farmacopea degli Stati Uniti (USP) e dell’inchiostro di stampa nero</w:t>
      </w:r>
      <w:r w:rsidR="00B53F5A">
        <w:t>: le specifiche di tutti i</w:t>
      </w:r>
      <w:r w:rsidR="00824095">
        <w:t xml:space="preserve"> componenti</w:t>
      </w:r>
      <w:r w:rsidR="00B53F5A">
        <w:t xml:space="preserve"> di questo</w:t>
      </w:r>
      <w:r w:rsidR="00824095">
        <w:t xml:space="preserve"> sono state adeguatamente definite dal produttore.</w:t>
      </w:r>
    </w:p>
    <w:p w:rsidR="00E2236C" w:rsidRPr="0021191E" w:rsidRDefault="00E2236C" w:rsidP="0021191E">
      <w:pPr>
        <w:spacing w:after="0" w:line="240" w:lineRule="auto"/>
        <w:jc w:val="both"/>
        <w:rPr>
          <w:noProof/>
        </w:rPr>
      </w:pPr>
      <w:r w:rsidRPr="0021191E">
        <w:lastRenderedPageBreak/>
        <w:t xml:space="preserve">Il solo eccipiente di originale animale è la gelatina; a tutti i produttori di gelatina utilizzati il </w:t>
      </w:r>
      <w:proofErr w:type="spellStart"/>
      <w:r w:rsidRPr="0021191E">
        <w:t>Direttorato</w:t>
      </w:r>
      <w:proofErr w:type="spellEnd"/>
      <w:r w:rsidRPr="0021191E">
        <w:t xml:space="preserve"> Europeo per la Qualità dei Medicinali (</w:t>
      </w:r>
      <w:proofErr w:type="spellStart"/>
      <w:r w:rsidRPr="0021191E">
        <w:rPr>
          <w:i/>
        </w:rPr>
        <w:t>European</w:t>
      </w:r>
      <w:proofErr w:type="spellEnd"/>
      <w:r w:rsidRPr="0021191E">
        <w:rPr>
          <w:i/>
        </w:rPr>
        <w:t xml:space="preserve"> </w:t>
      </w:r>
      <w:proofErr w:type="spellStart"/>
      <w:r w:rsidRPr="0021191E">
        <w:rPr>
          <w:i/>
        </w:rPr>
        <w:t>Directorate</w:t>
      </w:r>
      <w:proofErr w:type="spellEnd"/>
      <w:r w:rsidRPr="0021191E">
        <w:rPr>
          <w:i/>
        </w:rPr>
        <w:t xml:space="preserve"> </w:t>
      </w:r>
      <w:proofErr w:type="spellStart"/>
      <w:r w:rsidRPr="0021191E">
        <w:rPr>
          <w:i/>
        </w:rPr>
        <w:t>for</w:t>
      </w:r>
      <w:proofErr w:type="spellEnd"/>
      <w:r w:rsidRPr="0021191E">
        <w:rPr>
          <w:i/>
        </w:rPr>
        <w:t xml:space="preserve"> </w:t>
      </w:r>
      <w:proofErr w:type="spellStart"/>
      <w:r w:rsidRPr="0021191E">
        <w:rPr>
          <w:i/>
        </w:rPr>
        <w:t>Quality</w:t>
      </w:r>
      <w:proofErr w:type="spellEnd"/>
      <w:r w:rsidRPr="0021191E">
        <w:rPr>
          <w:i/>
        </w:rPr>
        <w:t xml:space="preserve"> </w:t>
      </w:r>
      <w:proofErr w:type="spellStart"/>
      <w:r w:rsidRPr="0021191E">
        <w:rPr>
          <w:i/>
        </w:rPr>
        <w:t>of</w:t>
      </w:r>
      <w:proofErr w:type="spellEnd"/>
      <w:r w:rsidRPr="0021191E">
        <w:rPr>
          <w:i/>
        </w:rPr>
        <w:t xml:space="preserve"> </w:t>
      </w:r>
      <w:proofErr w:type="spellStart"/>
      <w:r w:rsidRPr="0021191E">
        <w:rPr>
          <w:i/>
        </w:rPr>
        <w:t>Medicnals</w:t>
      </w:r>
      <w:proofErr w:type="spellEnd"/>
      <w:r w:rsidRPr="0021191E">
        <w:t xml:space="preserve"> – EDQM) ha i certificati di conformità alla Farmacopea Europea che ne certificano la sicurezza d’uso.</w:t>
      </w:r>
      <w:r w:rsidRPr="0021191E">
        <w:rPr>
          <w:noProof/>
        </w:rPr>
        <w:t xml:space="preserve"> </w:t>
      </w:r>
    </w:p>
    <w:p w:rsidR="00AB54C2" w:rsidRPr="0021191E" w:rsidRDefault="00AB54C2" w:rsidP="0021191E">
      <w:pPr>
        <w:spacing w:after="0" w:line="240" w:lineRule="auto"/>
        <w:jc w:val="both"/>
      </w:pPr>
      <w:r w:rsidRPr="0021191E">
        <w:t>Nessun eccipiente è ottenuto da organismi geneticamente modificati; non sono presenti eccipienti mai utilizzati nell’uomo.</w:t>
      </w:r>
    </w:p>
    <w:p w:rsidR="00AB54C2" w:rsidRPr="0021191E" w:rsidRDefault="00AB54C2" w:rsidP="0021191E">
      <w:pPr>
        <w:spacing w:after="0" w:line="240" w:lineRule="auto"/>
        <w:jc w:val="both"/>
      </w:pPr>
    </w:p>
    <w:p w:rsidR="00AB54C2" w:rsidRPr="0021191E" w:rsidRDefault="00AB54C2" w:rsidP="0021191E">
      <w:pPr>
        <w:spacing w:after="0" w:line="240" w:lineRule="auto"/>
        <w:jc w:val="both"/>
        <w:rPr>
          <w:b/>
        </w:rPr>
      </w:pPr>
      <w:r w:rsidRPr="0021191E">
        <w:rPr>
          <w:b/>
        </w:rPr>
        <w:t>Sviluppo farmaceutico</w:t>
      </w:r>
    </w:p>
    <w:p w:rsidR="00AB54C2" w:rsidRPr="0021191E" w:rsidRDefault="00AB54C2" w:rsidP="0021191E">
      <w:pPr>
        <w:spacing w:after="0" w:line="240" w:lineRule="auto"/>
        <w:jc w:val="both"/>
      </w:pPr>
      <w:r w:rsidRPr="0021191E">
        <w:t>Sono stati forniti dettagli dello sviluppo farmaceutico e questi sono stati ritenuti soddisfacenti.</w:t>
      </w:r>
    </w:p>
    <w:p w:rsidR="00AB54C2" w:rsidRPr="0021191E" w:rsidRDefault="00AB54C2" w:rsidP="0021191E">
      <w:pPr>
        <w:spacing w:after="0" w:line="240" w:lineRule="auto"/>
        <w:jc w:val="both"/>
      </w:pPr>
      <w:r w:rsidRPr="0021191E">
        <w:t xml:space="preserve">Lo scopo era quello di ottenere un medicinale </w:t>
      </w:r>
      <w:proofErr w:type="spellStart"/>
      <w:r w:rsidRPr="0021191E">
        <w:t>bioequivalente</w:t>
      </w:r>
      <w:proofErr w:type="spellEnd"/>
      <w:r w:rsidRPr="0021191E">
        <w:t xml:space="preserve"> al medicinale di riferimento </w:t>
      </w:r>
      <w:proofErr w:type="spellStart"/>
      <w:r w:rsidR="00281788" w:rsidRPr="0021191E">
        <w:t>Lyrica</w:t>
      </w:r>
      <w:proofErr w:type="spellEnd"/>
      <w:r w:rsidRPr="0021191E">
        <w:t>.</w:t>
      </w:r>
    </w:p>
    <w:p w:rsidR="00AB54C2" w:rsidRPr="0021191E" w:rsidRDefault="00AB54C2" w:rsidP="0021191E">
      <w:pPr>
        <w:spacing w:after="0" w:line="240" w:lineRule="auto"/>
        <w:jc w:val="both"/>
      </w:pPr>
      <w:r w:rsidRPr="0021191E">
        <w:t>Sono stati forniti dati comparativi relativi al profilo di dissoluzione e al profilo di impurezze rispetto al medicinale di riferimento. I dati sono soddisfacenti.</w:t>
      </w:r>
    </w:p>
    <w:p w:rsidR="00097D78" w:rsidRPr="0021191E" w:rsidRDefault="00097D78" w:rsidP="0021191E">
      <w:pPr>
        <w:spacing w:after="0" w:line="240" w:lineRule="auto"/>
        <w:jc w:val="both"/>
      </w:pPr>
    </w:p>
    <w:p w:rsidR="00AB54C2" w:rsidRPr="0021191E" w:rsidRDefault="00AB54C2" w:rsidP="0021191E">
      <w:pPr>
        <w:spacing w:after="0" w:line="240" w:lineRule="auto"/>
        <w:jc w:val="both"/>
        <w:rPr>
          <w:b/>
        </w:rPr>
      </w:pPr>
      <w:r w:rsidRPr="0021191E">
        <w:rPr>
          <w:b/>
        </w:rPr>
        <w:t xml:space="preserve">Produzione </w:t>
      </w:r>
    </w:p>
    <w:p w:rsidR="00AB54C2" w:rsidRPr="0021191E" w:rsidRDefault="00AB54C2" w:rsidP="0021191E">
      <w:pPr>
        <w:spacing w:after="0" w:line="240" w:lineRule="auto"/>
        <w:jc w:val="both"/>
      </w:pPr>
      <w:r w:rsidRPr="0021191E">
        <w:t>Sono stati forniti una descrizione del metodo di produzione e la relativa flow-chart.</w:t>
      </w:r>
    </w:p>
    <w:p w:rsidR="00AB54C2" w:rsidRPr="0021191E" w:rsidRDefault="00AB54C2" w:rsidP="0021191E">
      <w:pPr>
        <w:spacing w:after="0" w:line="240" w:lineRule="auto"/>
        <w:jc w:val="both"/>
      </w:pPr>
      <w:r w:rsidRPr="0021191E">
        <w:t>I controlli effettuati nel corso della produzione sono appropriati per la natura del medicinale e del metodo di produzione. Sono stati forniti, inoltre, dati soddisfacenti relativi alla convalida del metodo di produzione.</w:t>
      </w:r>
    </w:p>
    <w:p w:rsidR="00AB54C2" w:rsidRPr="0021191E" w:rsidRDefault="00AB54C2" w:rsidP="0021191E">
      <w:pPr>
        <w:spacing w:after="0" w:line="240" w:lineRule="auto"/>
        <w:jc w:val="both"/>
      </w:pPr>
    </w:p>
    <w:p w:rsidR="00AB54C2" w:rsidRPr="0021191E" w:rsidRDefault="00AB54C2" w:rsidP="0021191E">
      <w:pPr>
        <w:spacing w:after="0" w:line="240" w:lineRule="auto"/>
        <w:jc w:val="both"/>
        <w:rPr>
          <w:b/>
        </w:rPr>
      </w:pPr>
      <w:r w:rsidRPr="0021191E">
        <w:rPr>
          <w:b/>
        </w:rPr>
        <w:t>Specifiche del prodotto finito</w:t>
      </w:r>
    </w:p>
    <w:p w:rsidR="00AB54C2" w:rsidRPr="0021191E" w:rsidRDefault="00AB54C2" w:rsidP="0021191E">
      <w:pPr>
        <w:spacing w:after="0" w:line="240" w:lineRule="auto"/>
        <w:jc w:val="both"/>
      </w:pPr>
      <w:r w:rsidRPr="0021191E">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AB54C2" w:rsidRPr="0021191E" w:rsidRDefault="00AB54C2" w:rsidP="0021191E">
      <w:pPr>
        <w:spacing w:after="0" w:line="240" w:lineRule="auto"/>
        <w:jc w:val="both"/>
        <w:rPr>
          <w:b/>
        </w:rPr>
      </w:pPr>
    </w:p>
    <w:p w:rsidR="00AB54C2" w:rsidRPr="0021191E" w:rsidRDefault="00AB54C2" w:rsidP="0021191E">
      <w:pPr>
        <w:spacing w:after="0" w:line="240" w:lineRule="auto"/>
        <w:jc w:val="both"/>
        <w:rPr>
          <w:b/>
        </w:rPr>
      </w:pPr>
      <w:r w:rsidRPr="0021191E">
        <w:rPr>
          <w:b/>
        </w:rPr>
        <w:t>Contenitore</w:t>
      </w:r>
    </w:p>
    <w:p w:rsidR="00AB54C2" w:rsidRPr="0021191E" w:rsidRDefault="00281788" w:rsidP="0021191E">
      <w:pPr>
        <w:spacing w:after="0" w:line="240" w:lineRule="auto"/>
        <w:jc w:val="both"/>
      </w:pPr>
      <w:proofErr w:type="spellStart"/>
      <w:r w:rsidRPr="0021191E">
        <w:t>Regalbax</w:t>
      </w:r>
      <w:proofErr w:type="spellEnd"/>
      <w:r w:rsidR="00B9671B" w:rsidRPr="0021191E">
        <w:t xml:space="preserve"> </w:t>
      </w:r>
      <w:r w:rsidR="00AB54C2" w:rsidRPr="0021191E">
        <w:t>è confezionato in</w:t>
      </w:r>
      <w:r w:rsidR="00E2236C" w:rsidRPr="0021191E">
        <w:t xml:space="preserve"> blister</w:t>
      </w:r>
      <w:r w:rsidR="0021191E">
        <w:t xml:space="preserve"> di</w:t>
      </w:r>
      <w:r w:rsidR="00E2236C" w:rsidRPr="0021191E">
        <w:t xml:space="preserve"> </w:t>
      </w:r>
      <w:r w:rsidR="00AB54C2" w:rsidRPr="0021191E">
        <w:t>PVC/</w:t>
      </w:r>
      <w:r w:rsidR="00EF5475" w:rsidRPr="0021191E">
        <w:t>PVDC</w:t>
      </w:r>
      <w:r w:rsidR="00DD27A5" w:rsidRPr="0021191E">
        <w:t>/Alluminio</w:t>
      </w:r>
      <w:r w:rsidR="00AB54C2" w:rsidRPr="0021191E">
        <w:t>. Sono state fornite specifiche e certificati analitici per tutti i componenti del confezionamento primario, che è adeguato per il medicinale.</w:t>
      </w:r>
    </w:p>
    <w:p w:rsidR="00AB54C2" w:rsidRPr="0021191E" w:rsidRDefault="00AB54C2" w:rsidP="0021191E">
      <w:pPr>
        <w:spacing w:after="0" w:line="240" w:lineRule="auto"/>
        <w:jc w:val="both"/>
      </w:pPr>
    </w:p>
    <w:p w:rsidR="00AB54C2" w:rsidRPr="0021191E" w:rsidRDefault="00AB54C2" w:rsidP="0021191E">
      <w:pPr>
        <w:spacing w:after="0" w:line="240" w:lineRule="auto"/>
        <w:jc w:val="both"/>
        <w:rPr>
          <w:b/>
        </w:rPr>
      </w:pPr>
      <w:r w:rsidRPr="0021191E">
        <w:rPr>
          <w:b/>
        </w:rPr>
        <w:t>Stabilità</w:t>
      </w:r>
    </w:p>
    <w:p w:rsidR="00AB54C2" w:rsidRPr="00C97A20" w:rsidRDefault="00AB54C2" w:rsidP="0021191E">
      <w:pPr>
        <w:spacing w:after="0" w:line="240" w:lineRule="auto"/>
        <w:jc w:val="both"/>
      </w:pPr>
      <w:r w:rsidRPr="0021191E">
        <w:t xml:space="preserve">Studi di stabilità sul prodotto finito sono stati condotti in accordo alle correnti linee guida e i risultati sono entro i limiti delle specifiche autorizzate. Sulla base di questi risultati, è stato autorizzato un periodo di validità di </w:t>
      </w:r>
      <w:r w:rsidR="0021191E">
        <w:t>18 mesi</w:t>
      </w:r>
      <w:r w:rsidRPr="0021191E">
        <w:t xml:space="preserve">  </w:t>
      </w:r>
      <w:r w:rsidR="0021191E">
        <w:t xml:space="preserve">con </w:t>
      </w:r>
      <w:r w:rsidRPr="00C97A20">
        <w:t>conservazione</w:t>
      </w:r>
      <w:r w:rsidR="0021191E">
        <w:t xml:space="preserve"> a temperatura non superiore a 30°C.</w:t>
      </w:r>
    </w:p>
    <w:p w:rsidR="00AB54C2" w:rsidRPr="00C97A20" w:rsidRDefault="00AB54C2" w:rsidP="00AB54C2">
      <w:pPr>
        <w:spacing w:after="0" w:line="240" w:lineRule="auto"/>
        <w:jc w:val="both"/>
      </w:pPr>
    </w:p>
    <w:p w:rsidR="00AB54C2" w:rsidRPr="00DF7B22" w:rsidRDefault="00AB54C2" w:rsidP="00AB54C2">
      <w:pPr>
        <w:spacing w:after="0" w:line="240" w:lineRule="auto"/>
        <w:jc w:val="both"/>
        <w:rPr>
          <w:b/>
        </w:rPr>
      </w:pPr>
      <w:r w:rsidRPr="00DF7B22">
        <w:rPr>
          <w:b/>
        </w:rPr>
        <w:t>II.3 Discussione sugli aspetti di qualità</w:t>
      </w:r>
    </w:p>
    <w:p w:rsidR="00AB54C2" w:rsidRDefault="00AB54C2" w:rsidP="00AB54C2">
      <w:pPr>
        <w:spacing w:after="0" w:line="240" w:lineRule="auto"/>
        <w:jc w:val="both"/>
      </w:pPr>
      <w:r>
        <w:t xml:space="preserve">Tutte le criticità evidenziate nel corso della valutazione sono state risolte e la qualità di </w:t>
      </w:r>
      <w:proofErr w:type="spellStart"/>
      <w:r w:rsidR="00281788">
        <w:t>Regalbax</w:t>
      </w:r>
      <w:proofErr w:type="spellEnd"/>
      <w:r w:rsidR="00B9671B">
        <w:t xml:space="preserve"> </w:t>
      </w:r>
      <w:r>
        <w:t xml:space="preserve">è considerata adeguata. Non ci sono obiezioni per l’approvazione di </w:t>
      </w:r>
      <w:proofErr w:type="spellStart"/>
      <w:r w:rsidR="00281788">
        <w:t>Regalbax</w:t>
      </w:r>
      <w:proofErr w:type="spellEnd"/>
      <w:r w:rsidR="00B9671B">
        <w:t xml:space="preserve"> </w:t>
      </w:r>
      <w:r>
        <w:t>dal punto di vista chimico-farmaceutico.</w:t>
      </w:r>
    </w:p>
    <w:p w:rsidR="00AB54C2" w:rsidRDefault="00AB54C2" w:rsidP="00AB54C2">
      <w:pPr>
        <w:spacing w:after="0" w:line="240" w:lineRule="auto"/>
        <w:jc w:val="both"/>
      </w:pPr>
    </w:p>
    <w:p w:rsidR="00AB54C2" w:rsidRDefault="00AB54C2" w:rsidP="00AB54C2">
      <w:pPr>
        <w:spacing w:after="0" w:line="240" w:lineRule="auto"/>
        <w:jc w:val="both"/>
      </w:pPr>
    </w:p>
    <w:p w:rsidR="00AB54C2" w:rsidRPr="00DF7B22" w:rsidRDefault="00AB54C2" w:rsidP="00AB54C2">
      <w:pPr>
        <w:pStyle w:val="Paragrafoelenco"/>
        <w:numPr>
          <w:ilvl w:val="0"/>
          <w:numId w:val="7"/>
        </w:numPr>
        <w:spacing w:after="0" w:line="240" w:lineRule="auto"/>
        <w:jc w:val="both"/>
        <w:rPr>
          <w:b/>
        </w:rPr>
      </w:pPr>
      <w:r w:rsidRPr="00DF7B22">
        <w:rPr>
          <w:b/>
        </w:rPr>
        <w:t>ASPETTI NON CLINICI</w:t>
      </w:r>
    </w:p>
    <w:p w:rsidR="00AB54C2" w:rsidRDefault="00AB54C2" w:rsidP="00AB54C2">
      <w:pPr>
        <w:spacing w:after="0" w:line="240" w:lineRule="auto"/>
        <w:jc w:val="both"/>
      </w:pPr>
      <w:r>
        <w:t xml:space="preserve">Non sono stati condotti specifici studi non clinici, in quanto </w:t>
      </w:r>
      <w:proofErr w:type="spellStart"/>
      <w:r w:rsidR="00281788">
        <w:t>Regalbax</w:t>
      </w:r>
      <w:proofErr w:type="spellEnd"/>
      <w:r w:rsidR="00B9671B">
        <w:t xml:space="preserve"> </w:t>
      </w:r>
      <w:r>
        <w:t xml:space="preserve">contiene un principio attivo noto: questo approccio è accettabile poiché il medicinale di riferimento </w:t>
      </w:r>
      <w:proofErr w:type="spellStart"/>
      <w:r w:rsidR="00281788">
        <w:t>Lyrica</w:t>
      </w:r>
      <w:proofErr w:type="spellEnd"/>
      <w:r>
        <w:t xml:space="preserve"> è autorizzato in Italia da oltre 10 anni.</w:t>
      </w:r>
    </w:p>
    <w:p w:rsidR="00AB54C2" w:rsidRDefault="00AB54C2" w:rsidP="00AB54C2">
      <w:pPr>
        <w:spacing w:after="0" w:line="240" w:lineRule="auto"/>
        <w:jc w:val="both"/>
      </w:pPr>
      <w:r>
        <w:t>Non ci sono obiezioni per l’approvazione dal punto di vista non clinico.</w:t>
      </w:r>
    </w:p>
    <w:p w:rsidR="00AB54C2" w:rsidRDefault="00AB54C2" w:rsidP="00AB54C2">
      <w:pPr>
        <w:spacing w:after="0" w:line="240" w:lineRule="auto"/>
        <w:jc w:val="both"/>
      </w:pPr>
    </w:p>
    <w:p w:rsidR="00AB54C2" w:rsidRDefault="00AB54C2" w:rsidP="00AB54C2">
      <w:pPr>
        <w:spacing w:after="0" w:line="240" w:lineRule="auto"/>
        <w:jc w:val="both"/>
      </w:pPr>
    </w:p>
    <w:p w:rsidR="00AB54C2" w:rsidRPr="005A38F5" w:rsidRDefault="00AB54C2" w:rsidP="00AB54C2">
      <w:pPr>
        <w:pStyle w:val="Paragrafoelenco"/>
        <w:numPr>
          <w:ilvl w:val="0"/>
          <w:numId w:val="7"/>
        </w:numPr>
        <w:spacing w:after="0" w:line="240" w:lineRule="auto"/>
        <w:jc w:val="both"/>
        <w:rPr>
          <w:b/>
        </w:rPr>
      </w:pPr>
      <w:r w:rsidRPr="005A38F5">
        <w:rPr>
          <w:b/>
        </w:rPr>
        <w:t>A</w:t>
      </w:r>
      <w:r>
        <w:rPr>
          <w:b/>
        </w:rPr>
        <w:t>S</w:t>
      </w:r>
      <w:r w:rsidRPr="005A38F5">
        <w:rPr>
          <w:b/>
        </w:rPr>
        <w:t>PETTI CLINICI</w:t>
      </w:r>
    </w:p>
    <w:p w:rsidR="0027535F" w:rsidRPr="00EE1623" w:rsidRDefault="0027535F" w:rsidP="0027535F">
      <w:pPr>
        <w:widowControl w:val="0"/>
        <w:tabs>
          <w:tab w:val="left" w:pos="567"/>
        </w:tabs>
        <w:spacing w:after="0" w:line="240" w:lineRule="auto"/>
        <w:jc w:val="both"/>
        <w:rPr>
          <w:rFonts w:ascii="Calibri" w:hAnsi="Calibri"/>
        </w:rPr>
      </w:pPr>
      <w:proofErr w:type="spellStart"/>
      <w:r w:rsidRPr="00EE1623">
        <w:rPr>
          <w:rFonts w:eastAsia="Calibri" w:cs="Calibri"/>
          <w:color w:val="000000"/>
          <w:lang w:eastAsia="it-IT"/>
        </w:rPr>
        <w:t>Regalbax</w:t>
      </w:r>
      <w:proofErr w:type="spellEnd"/>
      <w:r w:rsidRPr="00EE1623">
        <w:rPr>
          <w:rFonts w:eastAsia="Calibri" w:cs="Calibri"/>
          <w:color w:val="000000"/>
          <w:lang w:eastAsia="it-IT"/>
        </w:rPr>
        <w:t xml:space="preserve"> </w:t>
      </w:r>
      <w:r w:rsidRPr="00EE1623">
        <w:rPr>
          <w:rFonts w:cs="Helvetica"/>
        </w:rPr>
        <w:t>è utilizzato</w:t>
      </w:r>
      <w:r w:rsidRPr="00EE1623">
        <w:rPr>
          <w:rFonts w:eastAsia="Calibri" w:cs="Calibri"/>
          <w:color w:val="000000"/>
          <w:lang w:eastAsia="it-IT"/>
        </w:rPr>
        <w:t xml:space="preserve"> negli adulti </w:t>
      </w:r>
      <w:r w:rsidRPr="00EE1623">
        <w:rPr>
          <w:rFonts w:ascii="Calibri" w:hAnsi="Calibri"/>
        </w:rPr>
        <w:t>come terapia aggiuntiva nei soggetti con attacchi epilettici parziali in presenza o in  assenza di generalizzazione secondaria e per il trattamento del Disturbo d’Ansia Generalizzata (GAD) negli adulti.</w:t>
      </w:r>
    </w:p>
    <w:p w:rsidR="00AB54C2" w:rsidRPr="0002468C" w:rsidRDefault="00AB54C2" w:rsidP="00E2236C">
      <w:pPr>
        <w:spacing w:after="0" w:line="240" w:lineRule="auto"/>
        <w:jc w:val="both"/>
        <w:rPr>
          <w:rFonts w:eastAsia="Times New Roman"/>
          <w:lang w:eastAsia="it-IT"/>
        </w:rPr>
      </w:pPr>
    </w:p>
    <w:p w:rsidR="00AB54C2" w:rsidRPr="002B6D26" w:rsidRDefault="00AB54C2" w:rsidP="00AB54C2">
      <w:pPr>
        <w:spacing w:after="0" w:line="240" w:lineRule="auto"/>
        <w:ind w:right="6"/>
        <w:jc w:val="both"/>
        <w:rPr>
          <w:b/>
        </w:rPr>
      </w:pPr>
      <w:r w:rsidRPr="002B6D26">
        <w:rPr>
          <w:b/>
        </w:rPr>
        <w:t>Posologia e modalità di somministrazione</w:t>
      </w:r>
    </w:p>
    <w:p w:rsidR="00AB54C2" w:rsidRDefault="00AB54C2" w:rsidP="00AB54C2">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p>
    <w:p w:rsidR="00AB54C2" w:rsidRDefault="00AB54C2" w:rsidP="00AB54C2">
      <w:pPr>
        <w:spacing w:after="0" w:line="240" w:lineRule="auto"/>
        <w:ind w:right="6"/>
        <w:jc w:val="both"/>
        <w:rPr>
          <w:rFonts w:eastAsia="Calibri" w:cs="Calibri"/>
          <w:lang w:eastAsia="it-IT"/>
        </w:rPr>
      </w:pPr>
    </w:p>
    <w:p w:rsidR="00B53F5A" w:rsidRDefault="00B53F5A" w:rsidP="00AB54C2">
      <w:pPr>
        <w:spacing w:after="0" w:line="240" w:lineRule="auto"/>
        <w:ind w:right="6"/>
        <w:jc w:val="both"/>
        <w:rPr>
          <w:rFonts w:eastAsia="Calibri" w:cs="Calibri"/>
          <w:lang w:eastAsia="it-IT"/>
        </w:rPr>
      </w:pPr>
    </w:p>
    <w:p w:rsidR="00AB54C2" w:rsidRPr="002B6D26" w:rsidRDefault="00AB54C2" w:rsidP="00AB54C2">
      <w:pPr>
        <w:spacing w:after="0" w:line="240" w:lineRule="auto"/>
        <w:ind w:right="6"/>
        <w:jc w:val="both"/>
        <w:rPr>
          <w:rFonts w:eastAsia="Calibri" w:cs="Calibri"/>
          <w:b/>
          <w:lang w:eastAsia="it-IT"/>
        </w:rPr>
      </w:pPr>
      <w:r w:rsidRPr="002B6D26">
        <w:rPr>
          <w:rFonts w:eastAsia="Calibri" w:cs="Calibri"/>
          <w:b/>
          <w:lang w:eastAsia="it-IT"/>
        </w:rPr>
        <w:lastRenderedPageBreak/>
        <w:t>Tossicologia</w:t>
      </w:r>
    </w:p>
    <w:p w:rsidR="00AB54C2" w:rsidRDefault="00AB54C2" w:rsidP="00AB54C2">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rsidR="00281788">
        <w:t>pregabalin</w:t>
      </w:r>
      <w:proofErr w:type="spellEnd"/>
      <w:r>
        <w:t xml:space="preserve"> </w:t>
      </w:r>
      <w:r>
        <w:rPr>
          <w:rFonts w:eastAsia="Calibri" w:cs="Calibri"/>
          <w:lang w:eastAsia="it-IT"/>
        </w:rPr>
        <w:t>è ben conosciuta; non è stato necessario presentare ulteriori dati.</w:t>
      </w:r>
    </w:p>
    <w:p w:rsidR="00AB54C2" w:rsidRDefault="00AB54C2" w:rsidP="00AB54C2">
      <w:pPr>
        <w:spacing w:after="0" w:line="240" w:lineRule="auto"/>
        <w:ind w:right="6"/>
        <w:jc w:val="both"/>
        <w:rPr>
          <w:rFonts w:eastAsia="Calibri" w:cs="Calibri"/>
          <w:lang w:eastAsia="it-IT"/>
        </w:rPr>
      </w:pPr>
    </w:p>
    <w:p w:rsidR="00AB54C2" w:rsidRPr="006556D6" w:rsidRDefault="00AB54C2" w:rsidP="00AB54C2">
      <w:pPr>
        <w:spacing w:after="0" w:line="240" w:lineRule="auto"/>
        <w:ind w:right="6"/>
        <w:jc w:val="both"/>
        <w:rPr>
          <w:rFonts w:eastAsia="Times New Roman" w:cs="Times New Roman"/>
          <w:b/>
        </w:rPr>
      </w:pPr>
      <w:r w:rsidRPr="006556D6">
        <w:rPr>
          <w:rFonts w:eastAsia="Times New Roman" w:cs="Times New Roman"/>
          <w:b/>
        </w:rPr>
        <w:t>Farmacologia clinica</w:t>
      </w:r>
    </w:p>
    <w:p w:rsidR="00AB54C2" w:rsidRDefault="00AB54C2" w:rsidP="00AB54C2">
      <w:pPr>
        <w:spacing w:after="0" w:line="240" w:lineRule="auto"/>
        <w:jc w:val="both"/>
      </w:pPr>
      <w:r>
        <w:rPr>
          <w:rFonts w:eastAsia="Calibri" w:cs="Calibri"/>
          <w:lang w:eastAsia="it-IT"/>
        </w:rPr>
        <w:t xml:space="preserve">La farmacologia clinica di </w:t>
      </w:r>
      <w:proofErr w:type="spellStart"/>
      <w:r w:rsidR="00281788">
        <w:t>pregabalin</w:t>
      </w:r>
      <w:proofErr w:type="spellEnd"/>
      <w:r>
        <w:t xml:space="preserve"> </w:t>
      </w:r>
      <w:r>
        <w:rPr>
          <w:rFonts w:eastAsia="Calibri" w:cs="Calibri"/>
          <w:lang w:eastAsia="it-IT"/>
        </w:rPr>
        <w:t>è ben conosciuta.</w:t>
      </w:r>
      <w:r w:rsidRPr="00A34141">
        <w:t xml:space="preserve">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rsidR="00281788">
        <w:t>Regalbax</w:t>
      </w:r>
      <w:proofErr w:type="spellEnd"/>
      <w:r w:rsidR="00B9671B">
        <w:t xml:space="preserve"> </w:t>
      </w:r>
      <w:r w:rsidRPr="00A34141">
        <w:t xml:space="preserve">contiene </w:t>
      </w:r>
      <w:r>
        <w:t>un</w:t>
      </w:r>
      <w:r w:rsidRPr="00A34141">
        <w:t xml:space="preserve"> principi</w:t>
      </w:r>
      <w:r>
        <w:t>o</w:t>
      </w:r>
      <w:r w:rsidRPr="00A34141">
        <w:t xml:space="preserve"> attiv</w:t>
      </w:r>
      <w:r>
        <w:t>o</w:t>
      </w:r>
      <w:r w:rsidRPr="00A34141">
        <w:t xml:space="preserve"> not</w:t>
      </w:r>
      <w:r>
        <w:t>o</w:t>
      </w:r>
      <w:r w:rsidRPr="00A34141">
        <w:t xml:space="preserve"> e present</w:t>
      </w:r>
      <w:r>
        <w:t>e</w:t>
      </w:r>
      <w:r w:rsidRPr="00A34141">
        <w:t xml:space="preserve"> </w:t>
      </w:r>
      <w:r>
        <w:t>nel</w:t>
      </w:r>
      <w:r w:rsidRPr="00A34141">
        <w:t xml:space="preserve"> medicinal</w:t>
      </w:r>
      <w:r>
        <w:t>e</w:t>
      </w:r>
      <w:r w:rsidRPr="00A34141">
        <w:t xml:space="preserve"> </w:t>
      </w:r>
      <w:proofErr w:type="spellStart"/>
      <w:r w:rsidR="00281788">
        <w:t>Lyrica</w:t>
      </w:r>
      <w:proofErr w:type="spellEnd"/>
      <w:r w:rsidRPr="00A34141">
        <w:t xml:space="preserve"> autorizzat</w:t>
      </w:r>
      <w:r>
        <w:t xml:space="preserve">o in Italia </w:t>
      </w:r>
      <w:r w:rsidRPr="00A34141">
        <w:t>da più di 10 anni.</w:t>
      </w:r>
    </w:p>
    <w:p w:rsidR="00AB54C2" w:rsidRDefault="00AB54C2" w:rsidP="00AB54C2">
      <w:pPr>
        <w:spacing w:after="0" w:line="240" w:lineRule="auto"/>
        <w:jc w:val="both"/>
      </w:pPr>
    </w:p>
    <w:p w:rsidR="00AB54C2" w:rsidRPr="009F16FA" w:rsidRDefault="00AB54C2" w:rsidP="00AB54C2">
      <w:pPr>
        <w:spacing w:after="0" w:line="240" w:lineRule="auto"/>
        <w:jc w:val="both"/>
        <w:rPr>
          <w:b/>
        </w:rPr>
      </w:pPr>
      <w:r w:rsidRPr="009F16FA">
        <w:rPr>
          <w:b/>
        </w:rPr>
        <w:t>Studio di bioequivalenza</w:t>
      </w:r>
    </w:p>
    <w:p w:rsidR="009F16FA" w:rsidRDefault="009F16FA" w:rsidP="009F16FA">
      <w:pPr>
        <w:spacing w:after="0" w:line="240" w:lineRule="auto"/>
        <w:jc w:val="both"/>
      </w:pPr>
      <w:r w:rsidRPr="00C41D97">
        <w:t xml:space="preserve">La richiesta di AIC è supportata </w:t>
      </w:r>
      <w:r w:rsidR="00B44898" w:rsidRPr="00C41D97">
        <w:t>da due studi</w:t>
      </w:r>
      <w:r w:rsidRPr="00C41D97">
        <w:t xml:space="preserve"> di bioequivalenza</w:t>
      </w:r>
      <w:r w:rsidR="00B44898" w:rsidRPr="00C41D97">
        <w:t xml:space="preserve"> </w:t>
      </w:r>
      <w:r w:rsidRPr="00C41D97">
        <w:t xml:space="preserve"> che ha</w:t>
      </w:r>
      <w:r w:rsidR="00B44898" w:rsidRPr="00C41D97">
        <w:t>nno</w:t>
      </w:r>
      <w:r w:rsidRPr="00C41D97">
        <w:t xml:space="preserve"> confrontato i profili farmacocinetici di </w:t>
      </w:r>
      <w:proofErr w:type="spellStart"/>
      <w:r w:rsidR="00281788" w:rsidRPr="00C41D97">
        <w:t>Regalbax</w:t>
      </w:r>
      <w:proofErr w:type="spellEnd"/>
      <w:r w:rsidR="00B9671B" w:rsidRPr="00C41D97">
        <w:t xml:space="preserve"> </w:t>
      </w:r>
      <w:r w:rsidRPr="00C41D97">
        <w:t xml:space="preserve">e quelli del medicinale di riferimento </w:t>
      </w:r>
      <w:proofErr w:type="spellStart"/>
      <w:r w:rsidR="00281788" w:rsidRPr="00C41D97">
        <w:t>Lyrica</w:t>
      </w:r>
      <w:proofErr w:type="spellEnd"/>
      <w:r w:rsidRPr="00C41D97">
        <w:t>.</w:t>
      </w:r>
    </w:p>
    <w:p w:rsidR="00C41D97" w:rsidRPr="00C41D97" w:rsidRDefault="00C41D97" w:rsidP="009F16FA">
      <w:pPr>
        <w:spacing w:after="0" w:line="240" w:lineRule="auto"/>
        <w:jc w:val="both"/>
      </w:pPr>
      <w:r>
        <w:t>Uno studio è stato eseguito con il dosaggio da 300 mg, l’altro con il dosaggio da 50 mg.</w:t>
      </w:r>
    </w:p>
    <w:p w:rsidR="009F16FA" w:rsidRPr="00C41D97" w:rsidRDefault="00B44898" w:rsidP="009F16FA">
      <w:pPr>
        <w:pStyle w:val="Paragrafoelenco"/>
        <w:spacing w:after="0" w:line="240" w:lineRule="auto"/>
        <w:ind w:left="0"/>
        <w:jc w:val="both"/>
      </w:pPr>
      <w:r w:rsidRPr="00C41D97">
        <w:t>Gli studi</w:t>
      </w:r>
      <w:r w:rsidR="009F16FA" w:rsidRPr="00C41D97">
        <w:t xml:space="preserve"> era</w:t>
      </w:r>
      <w:r w:rsidRPr="00C41D97">
        <w:t>no</w:t>
      </w:r>
      <w:r w:rsidR="009F16FA" w:rsidRPr="00C41D97">
        <w:t xml:space="preserve"> caratterizzat</w:t>
      </w:r>
      <w:r w:rsidRPr="00C41D97">
        <w:t>i</w:t>
      </w:r>
      <w:r w:rsidR="009F16FA" w:rsidRPr="00C41D97">
        <w:t xml:space="preserve"> da un appropriato disegno e</w:t>
      </w:r>
      <w:r w:rsidRPr="00C41D97">
        <w:t xml:space="preserve"> sono</w:t>
      </w:r>
      <w:r w:rsidR="009F16FA" w:rsidRPr="00C41D97">
        <w:t xml:space="preserve"> stat</w:t>
      </w:r>
      <w:r w:rsidRPr="00C41D97">
        <w:t>i</w:t>
      </w:r>
      <w:r w:rsidR="009F16FA" w:rsidRPr="00C41D97">
        <w:t xml:space="preserve"> condott</w:t>
      </w:r>
      <w:r w:rsidRPr="00C41D97">
        <w:t>i</w:t>
      </w:r>
      <w:r w:rsidR="009F16FA" w:rsidRPr="00C41D97">
        <w:t xml:space="preserve"> in accordo ai principi GCP. Sono stati forniti certificati analitici per medicinale test e medicinale di riferimento.</w:t>
      </w:r>
    </w:p>
    <w:p w:rsidR="00E2236C" w:rsidRPr="00C41D97" w:rsidRDefault="00E2236C" w:rsidP="00E2236C">
      <w:pPr>
        <w:spacing w:after="0" w:line="240" w:lineRule="auto"/>
        <w:jc w:val="both"/>
      </w:pPr>
      <w:r w:rsidRPr="00C41D97">
        <w:rPr>
          <w:rFonts w:ascii="Calibri" w:hAnsi="Calibri"/>
        </w:rPr>
        <w:t xml:space="preserve">L’utilizzo </w:t>
      </w:r>
      <w:r w:rsidR="00C41D97" w:rsidRPr="00C41D97">
        <w:rPr>
          <w:rFonts w:ascii="Calibri" w:hAnsi="Calibri"/>
        </w:rPr>
        <w:t>dei due dosaggi (50 mg</w:t>
      </w:r>
      <w:r w:rsidR="00AF0669">
        <w:rPr>
          <w:rFonts w:ascii="Calibri" w:hAnsi="Calibri"/>
        </w:rPr>
        <w:t xml:space="preserve"> </w:t>
      </w:r>
      <w:r w:rsidR="00AF0669" w:rsidRPr="00C41D97">
        <w:rPr>
          <w:rFonts w:ascii="Calibri" w:hAnsi="Calibri"/>
        </w:rPr>
        <w:t>– dosaggio minore</w:t>
      </w:r>
      <w:r w:rsidR="00C41D97" w:rsidRPr="00C41D97">
        <w:rPr>
          <w:rFonts w:ascii="Calibri" w:hAnsi="Calibri"/>
        </w:rPr>
        <w:t xml:space="preserve"> e 300 mg </w:t>
      </w:r>
      <w:r w:rsidR="00AF0669" w:rsidRPr="00C41D97">
        <w:rPr>
          <w:rFonts w:ascii="Calibri" w:hAnsi="Calibri"/>
        </w:rPr>
        <w:t xml:space="preserve">– dosaggio </w:t>
      </w:r>
      <w:r w:rsidR="00C41D97" w:rsidRPr="00C41D97">
        <w:rPr>
          <w:rFonts w:ascii="Calibri" w:hAnsi="Calibri"/>
        </w:rPr>
        <w:t>maggiore)</w:t>
      </w:r>
      <w:r w:rsidRPr="00C41D97">
        <w:rPr>
          <w:rFonts w:ascii="Calibri" w:hAnsi="Calibri"/>
        </w:rPr>
        <w:t xml:space="preserve"> </w:t>
      </w:r>
      <w:r w:rsidRPr="00C41D97">
        <w:t xml:space="preserve">per </w:t>
      </w:r>
      <w:r w:rsidR="00B44898" w:rsidRPr="00C41D97">
        <w:t>gli</w:t>
      </w:r>
      <w:r w:rsidRPr="00C41D97">
        <w:t xml:space="preserve"> studi di bioequivalenza è stato opportunamente giustificato. </w:t>
      </w:r>
    </w:p>
    <w:p w:rsidR="00B44898" w:rsidRPr="00EE1623" w:rsidRDefault="00B44898" w:rsidP="00E2236C">
      <w:pPr>
        <w:spacing w:after="0" w:line="240" w:lineRule="auto"/>
        <w:jc w:val="both"/>
        <w:rPr>
          <w:highlight w:val="yellow"/>
        </w:rPr>
      </w:pPr>
    </w:p>
    <w:p w:rsidR="00B44898" w:rsidRPr="00C41D97" w:rsidRDefault="00B44898" w:rsidP="00B44898">
      <w:pPr>
        <w:pStyle w:val="Paragrafoelenco"/>
        <w:numPr>
          <w:ilvl w:val="0"/>
          <w:numId w:val="8"/>
        </w:numPr>
        <w:spacing w:after="0" w:line="240" w:lineRule="auto"/>
        <w:jc w:val="both"/>
        <w:rPr>
          <w:rFonts w:ascii="Calibri" w:hAnsi="Calibri"/>
          <w:u w:val="single"/>
        </w:rPr>
      </w:pPr>
      <w:r w:rsidRPr="00C41D97">
        <w:rPr>
          <w:rFonts w:ascii="Calibri" w:hAnsi="Calibri"/>
          <w:u w:val="single"/>
        </w:rPr>
        <w:t xml:space="preserve">Studio </w:t>
      </w:r>
      <w:r w:rsidR="00C41D97" w:rsidRPr="00C41D97">
        <w:rPr>
          <w:rFonts w:ascii="Calibri" w:hAnsi="Calibri"/>
          <w:u w:val="single"/>
        </w:rPr>
        <w:t>con 300 mg</w:t>
      </w:r>
    </w:p>
    <w:p w:rsidR="009F16FA" w:rsidRPr="00C41D97" w:rsidRDefault="009F16FA" w:rsidP="00B44898">
      <w:pPr>
        <w:spacing w:after="0" w:line="240" w:lineRule="auto"/>
        <w:jc w:val="both"/>
        <w:rPr>
          <w:rFonts w:cs="Arial"/>
        </w:rPr>
      </w:pPr>
      <w:r w:rsidRPr="00C41D97">
        <w:t xml:space="preserve">Lo studio di bioequivalenza è uno studio comparativo, </w:t>
      </w:r>
      <w:r w:rsidR="00DD27A5" w:rsidRPr="00C41D97">
        <w:t>aperto</w:t>
      </w:r>
      <w:r w:rsidRPr="00C41D97">
        <w:t>,  randomizzato, a dose singola (</w:t>
      </w:r>
      <w:r w:rsidR="00D0420D">
        <w:t>30</w:t>
      </w:r>
      <w:r w:rsidRPr="00C41D97">
        <w:t xml:space="preserve">0 mg), 2-periodi, crossover condotto in </w:t>
      </w:r>
      <w:r w:rsidR="00C41D97" w:rsidRPr="00C41D97">
        <w:t>24</w:t>
      </w:r>
      <w:r w:rsidR="00E2236C" w:rsidRPr="00C41D97">
        <w:t xml:space="preserve"> </w:t>
      </w:r>
      <w:r w:rsidRPr="00C41D97">
        <w:t xml:space="preserve">volontari sani </w:t>
      </w:r>
      <w:r w:rsidR="00C41D97" w:rsidRPr="00C41D97">
        <w:t>maschi</w:t>
      </w:r>
      <w:r w:rsidRPr="00C41D97">
        <w:t xml:space="preserve"> con somministrazione a digiuno. </w:t>
      </w:r>
      <w:r w:rsidRPr="00C41D97">
        <w:rPr>
          <w:rFonts w:cs="Arial"/>
        </w:rPr>
        <w:t>Dopo una notte di digiuno</w:t>
      </w:r>
      <w:r w:rsidR="00DD27A5" w:rsidRPr="00C41D97">
        <w:rPr>
          <w:rFonts w:cs="Arial"/>
        </w:rPr>
        <w:t xml:space="preserve"> (circa 10 ore)</w:t>
      </w:r>
      <w:r w:rsidRPr="00C41D97">
        <w:rPr>
          <w:rFonts w:cs="Arial"/>
        </w:rPr>
        <w:t>, il medicinale è stato somministrato con acqua</w:t>
      </w:r>
      <w:r w:rsidR="00C41D97" w:rsidRPr="00C41D97">
        <w:rPr>
          <w:rFonts w:cs="Arial"/>
        </w:rPr>
        <w:t>; subito i dopo i soggetti hanno assunto un pasto standardizzato</w:t>
      </w:r>
      <w:r w:rsidRPr="00C41D97">
        <w:rPr>
          <w:rFonts w:cs="Arial"/>
        </w:rPr>
        <w:t xml:space="preserve">. </w:t>
      </w:r>
      <w:r w:rsidRPr="00C41D97">
        <w:t xml:space="preserve">Un soddisfacente periodo di wash-out di </w:t>
      </w:r>
      <w:r w:rsidR="00C41D97" w:rsidRPr="00C41D97">
        <w:rPr>
          <w:rFonts w:cs="Arial"/>
        </w:rPr>
        <w:t>14</w:t>
      </w:r>
      <w:r w:rsidRPr="00C41D97">
        <w:rPr>
          <w:rFonts w:cs="Arial"/>
        </w:rPr>
        <w:t xml:space="preserve"> giorni è stato previsto tra le somministrazioni in ogni gruppo.</w:t>
      </w:r>
    </w:p>
    <w:p w:rsidR="009F16FA" w:rsidRPr="00C76C0A" w:rsidRDefault="009F16FA" w:rsidP="00B44898">
      <w:pPr>
        <w:pStyle w:val="Paragrafoelenco"/>
        <w:spacing w:after="0" w:line="240" w:lineRule="auto"/>
        <w:ind w:left="0"/>
        <w:jc w:val="both"/>
        <w:rPr>
          <w:rFonts w:cs="Arial"/>
        </w:rPr>
      </w:pPr>
      <w:r w:rsidRPr="00C41D97">
        <w:rPr>
          <w:rFonts w:cs="Arial"/>
        </w:rPr>
        <w:t>Campioni di sangue sono stati prelevati al tempo zero (</w:t>
      </w:r>
      <w:proofErr w:type="spellStart"/>
      <w:r w:rsidRPr="00C41D97">
        <w:rPr>
          <w:rFonts w:cs="Arial"/>
        </w:rPr>
        <w:t>pre-dose</w:t>
      </w:r>
      <w:proofErr w:type="spellEnd"/>
      <w:r w:rsidRPr="00C41D97">
        <w:rPr>
          <w:rFonts w:cs="Arial"/>
        </w:rPr>
        <w:t xml:space="preserve">) e a specificati tempi fino a </w:t>
      </w:r>
      <w:r w:rsidR="00C41D97" w:rsidRPr="00C41D97">
        <w:rPr>
          <w:rFonts w:cs="Arial"/>
        </w:rPr>
        <w:t>36</w:t>
      </w:r>
      <w:r w:rsidR="00DD27A5" w:rsidRPr="00C41D97">
        <w:rPr>
          <w:rFonts w:cs="Arial"/>
        </w:rPr>
        <w:t xml:space="preserve"> </w:t>
      </w:r>
      <w:r w:rsidRPr="00C41D97">
        <w:rPr>
          <w:rFonts w:cs="Arial"/>
        </w:rPr>
        <w:t xml:space="preserve">ore dopo la </w:t>
      </w:r>
      <w:r w:rsidRPr="00C76C0A">
        <w:rPr>
          <w:rFonts w:cs="Arial"/>
        </w:rPr>
        <w:t xml:space="preserve">somministrazione. I livelli plasmatici </w:t>
      </w:r>
      <w:r w:rsidR="009469B6" w:rsidRPr="00C76C0A">
        <w:rPr>
          <w:rFonts w:cs="Arial"/>
        </w:rPr>
        <w:t xml:space="preserve">di </w:t>
      </w:r>
      <w:proofErr w:type="spellStart"/>
      <w:r w:rsidR="00281788" w:rsidRPr="00C76C0A">
        <w:rPr>
          <w:rFonts w:cs="Arial"/>
        </w:rPr>
        <w:t>pregabalin</w:t>
      </w:r>
      <w:proofErr w:type="spellEnd"/>
      <w:r w:rsidRPr="00C76C0A">
        <w:rPr>
          <w:rFonts w:cs="Arial"/>
        </w:rPr>
        <w:t xml:space="preserve"> sono stati determinati mediante un metodo analitico HPLC-MS-MS opportunamente convalidato.</w:t>
      </w:r>
    </w:p>
    <w:p w:rsidR="009F16FA" w:rsidRPr="00C76C0A" w:rsidRDefault="009F16FA" w:rsidP="00C41D97">
      <w:pPr>
        <w:autoSpaceDE w:val="0"/>
        <w:autoSpaceDN w:val="0"/>
        <w:adjustRightInd w:val="0"/>
        <w:spacing w:after="0" w:line="240" w:lineRule="auto"/>
        <w:jc w:val="both"/>
        <w:rPr>
          <w:rFonts w:cs="Arial"/>
        </w:rPr>
      </w:pPr>
      <w:r w:rsidRPr="00C76C0A">
        <w:rPr>
          <w:rFonts w:cs="Arial"/>
        </w:rPr>
        <w:t xml:space="preserve">Le variabili farmacocinetiche definite sono state: </w:t>
      </w:r>
      <w:proofErr w:type="spellStart"/>
      <w:r w:rsidR="00C41D97" w:rsidRPr="00C76C0A">
        <w:rPr>
          <w:rFonts w:ascii="Calibri" w:hAnsi="Calibri" w:cs="Arial"/>
          <w:iCs/>
        </w:rPr>
        <w:t>C</w:t>
      </w:r>
      <w:r w:rsidR="00C41D97" w:rsidRPr="00C76C0A">
        <w:rPr>
          <w:rFonts w:ascii="Calibri" w:hAnsi="Calibri" w:cs="Arial"/>
          <w:iCs/>
          <w:vertAlign w:val="subscript"/>
        </w:rPr>
        <w:t>max</w:t>
      </w:r>
      <w:proofErr w:type="spellEnd"/>
      <w:r w:rsidR="00C41D97" w:rsidRPr="00C76C0A">
        <w:rPr>
          <w:rFonts w:ascii="Calibri" w:hAnsi="Calibri" w:cs="Arial"/>
          <w:iCs/>
        </w:rPr>
        <w:t xml:space="preserve">, </w:t>
      </w:r>
      <w:proofErr w:type="spellStart"/>
      <w:r w:rsidR="00C41D97" w:rsidRPr="00C76C0A">
        <w:rPr>
          <w:rFonts w:ascii="Calibri" w:hAnsi="Calibri" w:cs="Arial"/>
          <w:iCs/>
        </w:rPr>
        <w:t>AUC</w:t>
      </w:r>
      <w:r w:rsidR="00C41D97" w:rsidRPr="00C76C0A">
        <w:rPr>
          <w:rFonts w:ascii="Calibri" w:hAnsi="Calibri" w:cs="Arial"/>
          <w:iCs/>
          <w:vertAlign w:val="subscript"/>
        </w:rPr>
        <w:t>t</w:t>
      </w:r>
      <w:proofErr w:type="spellEnd"/>
      <w:r w:rsidR="00C41D97" w:rsidRPr="00C76C0A">
        <w:rPr>
          <w:rFonts w:ascii="Calibri" w:hAnsi="Calibri" w:cs="Arial"/>
          <w:iCs/>
          <w:vertAlign w:val="subscript"/>
        </w:rPr>
        <w:t xml:space="preserve"> </w:t>
      </w:r>
      <w:r w:rsidR="00C41D97" w:rsidRPr="00C76C0A">
        <w:rPr>
          <w:rFonts w:ascii="Calibri" w:hAnsi="Calibri" w:cs="Arial"/>
          <w:iCs/>
        </w:rPr>
        <w:t xml:space="preserve">, </w:t>
      </w:r>
      <w:proofErr w:type="spellStart"/>
      <w:r w:rsidR="00C41D97" w:rsidRPr="00C76C0A">
        <w:rPr>
          <w:rFonts w:ascii="Calibri" w:hAnsi="Calibri" w:cs="Arial"/>
          <w:iCs/>
        </w:rPr>
        <w:t>AUC</w:t>
      </w:r>
      <w:r w:rsidR="00C41D97" w:rsidRPr="00C76C0A">
        <w:rPr>
          <w:rFonts w:ascii="Calibri" w:hAnsi="Calibri" w:cs="Arial"/>
          <w:iCs/>
          <w:vertAlign w:val="subscript"/>
        </w:rPr>
        <w:t>i</w:t>
      </w:r>
      <w:proofErr w:type="spellEnd"/>
      <w:r w:rsidR="00C41D97" w:rsidRPr="00C76C0A">
        <w:rPr>
          <w:rFonts w:ascii="Calibri" w:hAnsi="Calibri" w:cs="Arial"/>
          <w:iCs/>
        </w:rPr>
        <w:t xml:space="preserve">, </w:t>
      </w:r>
      <w:proofErr w:type="spellStart"/>
      <w:r w:rsidR="00C41D97" w:rsidRPr="00C76C0A">
        <w:rPr>
          <w:rFonts w:ascii="Calibri" w:hAnsi="Calibri" w:cs="Arial"/>
          <w:iCs/>
        </w:rPr>
        <w:t>T</w:t>
      </w:r>
      <w:r w:rsidR="00C41D97" w:rsidRPr="00C76C0A">
        <w:rPr>
          <w:rFonts w:ascii="Calibri" w:hAnsi="Calibri" w:cs="Arial"/>
          <w:iCs/>
          <w:vertAlign w:val="subscript"/>
        </w:rPr>
        <w:t>max</w:t>
      </w:r>
      <w:proofErr w:type="spellEnd"/>
      <w:r w:rsidR="00C41D97" w:rsidRPr="00C76C0A">
        <w:rPr>
          <w:rFonts w:ascii="Calibri" w:hAnsi="Calibri" w:cs="Arial"/>
          <w:iCs/>
        </w:rPr>
        <w:t>, R</w:t>
      </w:r>
      <w:r w:rsidR="00C41D97" w:rsidRPr="00C76C0A">
        <w:rPr>
          <w:rFonts w:ascii="Calibri" w:hAnsi="Calibri" w:cs="Arial"/>
          <w:iCs/>
          <w:vertAlign w:val="subscript"/>
        </w:rPr>
        <w:t xml:space="preserve">AUC </w:t>
      </w:r>
      <w:r w:rsidR="00C41D97" w:rsidRPr="00C76C0A">
        <w:rPr>
          <w:rFonts w:ascii="Calibri" w:hAnsi="Calibri" w:cs="Arial"/>
          <w:iCs/>
        </w:rPr>
        <w:t>(area residua), T</w:t>
      </w:r>
      <w:r w:rsidR="00C41D97" w:rsidRPr="00C76C0A">
        <w:rPr>
          <w:rFonts w:ascii="Calibri" w:hAnsi="Calibri" w:cs="Arial"/>
          <w:iCs/>
          <w:vertAlign w:val="subscript"/>
        </w:rPr>
        <w:t>1/2f</w:t>
      </w:r>
      <w:r w:rsidR="00C41D97" w:rsidRPr="00C76C0A">
        <w:rPr>
          <w:rFonts w:ascii="Calibri" w:hAnsi="Calibri" w:cs="Arial"/>
          <w:iCs/>
        </w:rPr>
        <w:t xml:space="preserve"> e </w:t>
      </w:r>
      <w:proofErr w:type="spellStart"/>
      <w:r w:rsidR="00C41D97" w:rsidRPr="00C76C0A">
        <w:rPr>
          <w:rFonts w:ascii="Calibri" w:hAnsi="Calibri" w:cs="Arial"/>
          <w:iCs/>
        </w:rPr>
        <w:t>K</w:t>
      </w:r>
      <w:r w:rsidR="00C41D97" w:rsidRPr="00C76C0A">
        <w:rPr>
          <w:rFonts w:ascii="Calibri" w:hAnsi="Calibri" w:cs="Arial"/>
          <w:iCs/>
          <w:vertAlign w:val="subscript"/>
        </w:rPr>
        <w:t>el</w:t>
      </w:r>
      <w:proofErr w:type="spellEnd"/>
      <w:r w:rsidR="00C41D97" w:rsidRPr="00C76C0A">
        <w:rPr>
          <w:rFonts w:ascii="Calibri" w:hAnsi="Calibri" w:cs="Arial"/>
          <w:iCs/>
        </w:rPr>
        <w:t xml:space="preserve">. </w:t>
      </w:r>
      <w:r w:rsidRPr="00C76C0A">
        <w:rPr>
          <w:rFonts w:cs="Arial"/>
        </w:rPr>
        <w:t xml:space="preserve">La bioequivalenza tra medicinale test e medicinale di riferimento è dimostrata se gli intervalli di confidenza al 90% per la trasformata logaritmica di </w:t>
      </w:r>
      <w:proofErr w:type="spellStart"/>
      <w:r w:rsidRPr="00C76C0A">
        <w:rPr>
          <w:rFonts w:cs="Arial"/>
        </w:rPr>
        <w:t>C</w:t>
      </w:r>
      <w:r w:rsidRPr="00C76C0A">
        <w:rPr>
          <w:rFonts w:cs="Arial"/>
          <w:vertAlign w:val="subscript"/>
        </w:rPr>
        <w:t>max</w:t>
      </w:r>
      <w:proofErr w:type="spellEnd"/>
      <w:r w:rsidR="00DD27A5" w:rsidRPr="00C76C0A">
        <w:rPr>
          <w:rFonts w:cs="Arial"/>
        </w:rPr>
        <w:t xml:space="preserve">, </w:t>
      </w:r>
      <w:r w:rsidR="00DD27A5" w:rsidRPr="00C76C0A">
        <w:t>AUC</w:t>
      </w:r>
      <w:r w:rsidR="00DD27A5" w:rsidRPr="00C76C0A">
        <w:rPr>
          <w:vertAlign w:val="subscript"/>
        </w:rPr>
        <w:t>0-∞</w:t>
      </w:r>
      <w:r w:rsidR="00DD27A5" w:rsidRPr="00C76C0A">
        <w:rPr>
          <w:b/>
        </w:rPr>
        <w:t xml:space="preserve"> </w:t>
      </w:r>
      <w:r w:rsidRPr="00C76C0A">
        <w:rPr>
          <w:rFonts w:cs="Arial"/>
        </w:rPr>
        <w:t>e AUC</w:t>
      </w:r>
      <w:r w:rsidRPr="00C76C0A">
        <w:rPr>
          <w:rFonts w:cs="Arial"/>
          <w:vertAlign w:val="subscript"/>
        </w:rPr>
        <w:t>0-t</w:t>
      </w:r>
      <w:r w:rsidRPr="00C76C0A">
        <w:rPr>
          <w:rFonts w:cs="Arial"/>
        </w:rPr>
        <w:t xml:space="preserve"> cadono nel </w:t>
      </w:r>
      <w:proofErr w:type="spellStart"/>
      <w:r w:rsidRPr="00C76C0A">
        <w:rPr>
          <w:rFonts w:cs="Arial"/>
        </w:rPr>
        <w:t>range</w:t>
      </w:r>
      <w:proofErr w:type="spellEnd"/>
      <w:r w:rsidRPr="00C76C0A">
        <w:rPr>
          <w:rFonts w:cs="Arial"/>
        </w:rPr>
        <w:t xml:space="preserve"> di accettabilità di 0.80-1.25 (80%-125%).</w:t>
      </w:r>
    </w:p>
    <w:p w:rsidR="009F16FA" w:rsidRPr="00C41D97" w:rsidRDefault="009F16FA" w:rsidP="00B44898">
      <w:pPr>
        <w:pStyle w:val="Paragrafoelenco"/>
        <w:spacing w:after="0" w:line="240" w:lineRule="auto"/>
        <w:ind w:left="0"/>
        <w:jc w:val="both"/>
        <w:rPr>
          <w:highlight w:val="yellow"/>
        </w:rPr>
      </w:pPr>
    </w:p>
    <w:p w:rsidR="009F16FA" w:rsidRPr="00C41D97" w:rsidRDefault="009F16FA" w:rsidP="00B44898">
      <w:pPr>
        <w:pStyle w:val="Paragrafoelenco"/>
        <w:spacing w:after="0" w:line="240" w:lineRule="auto"/>
        <w:ind w:left="0"/>
        <w:jc w:val="both"/>
        <w:rPr>
          <w:u w:val="single"/>
        </w:rPr>
      </w:pPr>
      <w:r w:rsidRPr="00C41D97">
        <w:rPr>
          <w:u w:val="single"/>
        </w:rPr>
        <w:t>Risultati</w:t>
      </w:r>
    </w:p>
    <w:p w:rsidR="009F16FA" w:rsidRPr="00C41D97" w:rsidRDefault="00C41D97" w:rsidP="00B44898">
      <w:pPr>
        <w:spacing w:after="0" w:line="240" w:lineRule="auto"/>
        <w:jc w:val="both"/>
      </w:pPr>
      <w:r w:rsidRPr="00C41D97">
        <w:rPr>
          <w:rFonts w:cs="Arial"/>
        </w:rPr>
        <w:t>24</w:t>
      </w:r>
      <w:r w:rsidR="009F16FA" w:rsidRPr="00C41D97">
        <w:rPr>
          <w:rFonts w:cs="Arial"/>
        </w:rPr>
        <w:t xml:space="preserve"> volontari sani sono stati arruolati negli studi. </w:t>
      </w:r>
      <w:r w:rsidRPr="00C41D97">
        <w:t>Tutti i</w:t>
      </w:r>
      <w:r w:rsidR="009F16FA" w:rsidRPr="00C41D97">
        <w:t xml:space="preserve"> soggetti hanno completato fase clinica e sono stati analizzati.</w:t>
      </w:r>
    </w:p>
    <w:p w:rsidR="009F16FA" w:rsidRPr="00EE1623" w:rsidRDefault="009F16FA" w:rsidP="00B44898">
      <w:pPr>
        <w:pStyle w:val="Paragrafoelenco"/>
        <w:spacing w:after="0" w:line="240" w:lineRule="auto"/>
        <w:ind w:left="0"/>
        <w:jc w:val="both"/>
        <w:rPr>
          <w:rFonts w:cs="Arial"/>
          <w:b/>
          <w:i/>
          <w:highlight w:val="yellow"/>
        </w:rPr>
      </w:pPr>
    </w:p>
    <w:p w:rsidR="009F16FA" w:rsidRPr="00C76C0A" w:rsidRDefault="009F16FA" w:rsidP="00B44898">
      <w:pPr>
        <w:pStyle w:val="Didascalia"/>
        <w:keepNext/>
        <w:spacing w:before="0" w:after="0"/>
        <w:jc w:val="both"/>
        <w:outlineLvl w:val="0"/>
        <w:rPr>
          <w:rFonts w:ascii="Calibri" w:hAnsi="Calibri" w:cs="Arial"/>
          <w:b w:val="0"/>
          <w:sz w:val="22"/>
          <w:szCs w:val="22"/>
          <w:lang w:val="it-IT"/>
        </w:rPr>
      </w:pPr>
      <w:r w:rsidRPr="00C76C0A">
        <w:rPr>
          <w:rFonts w:ascii="Calibri" w:hAnsi="Calibri" w:cs="Arial"/>
          <w:b w:val="0"/>
          <w:i/>
          <w:sz w:val="22"/>
          <w:szCs w:val="22"/>
          <w:lang w:val="it-IT"/>
        </w:rPr>
        <w:t>Sicurezza</w:t>
      </w:r>
    </w:p>
    <w:p w:rsidR="00C76C0A" w:rsidRPr="00C76C0A" w:rsidRDefault="00C76C0A" w:rsidP="00B44898">
      <w:pPr>
        <w:autoSpaceDE w:val="0"/>
        <w:autoSpaceDN w:val="0"/>
        <w:adjustRightInd w:val="0"/>
        <w:spacing w:after="0" w:line="240" w:lineRule="auto"/>
        <w:jc w:val="both"/>
        <w:rPr>
          <w:rFonts w:ascii="Calibri" w:hAnsi="Calibri"/>
        </w:rPr>
      </w:pPr>
      <w:r w:rsidRPr="00C76C0A">
        <w:rPr>
          <w:rFonts w:ascii="Calibri" w:hAnsi="Calibri"/>
        </w:rPr>
        <w:t>Nel corso dello studio non sono stati riportati eventi avveri gravi.</w:t>
      </w:r>
    </w:p>
    <w:p w:rsidR="00B44898" w:rsidRPr="00C76C0A" w:rsidRDefault="00B44898" w:rsidP="00B44898">
      <w:pPr>
        <w:autoSpaceDE w:val="0"/>
        <w:autoSpaceDN w:val="0"/>
        <w:adjustRightInd w:val="0"/>
        <w:spacing w:after="0" w:line="240" w:lineRule="auto"/>
        <w:jc w:val="both"/>
        <w:rPr>
          <w:rFonts w:ascii="Calibri" w:hAnsi="Calibri"/>
        </w:rPr>
      </w:pPr>
      <w:r w:rsidRPr="00C76C0A">
        <w:rPr>
          <w:rFonts w:ascii="Calibri" w:hAnsi="Calibri"/>
        </w:rPr>
        <w:t xml:space="preserve">In totale </w:t>
      </w:r>
      <w:r w:rsidR="00C76C0A" w:rsidRPr="00C76C0A">
        <w:rPr>
          <w:rFonts w:ascii="Calibri" w:hAnsi="Calibri"/>
        </w:rPr>
        <w:t>si sono rilevati 18</w:t>
      </w:r>
      <w:r w:rsidRPr="00C76C0A">
        <w:rPr>
          <w:rFonts w:ascii="Calibri" w:hAnsi="Calibri"/>
        </w:rPr>
        <w:t xml:space="preserve"> eventi avversi</w:t>
      </w:r>
      <w:r w:rsidR="00C76C0A" w:rsidRPr="00C76C0A">
        <w:rPr>
          <w:rFonts w:ascii="Calibri" w:hAnsi="Calibri"/>
        </w:rPr>
        <w:t xml:space="preserve"> (in 9 soggetti)</w:t>
      </w:r>
      <w:r w:rsidRPr="00C76C0A">
        <w:rPr>
          <w:rFonts w:ascii="Calibri" w:hAnsi="Calibri"/>
        </w:rPr>
        <w:t xml:space="preserve"> di entità da lieve a grave</w:t>
      </w:r>
      <w:r w:rsidR="00C76C0A" w:rsidRPr="00C76C0A">
        <w:rPr>
          <w:rFonts w:ascii="Calibri" w:hAnsi="Calibri"/>
        </w:rPr>
        <w:t>: di questi, 6 eventi avversi si sono verificati dopo somministrazione del medicinale test e 12 dopo somministrazione del medicinale di riferimento</w:t>
      </w:r>
      <w:r w:rsidRPr="00C76C0A">
        <w:rPr>
          <w:rFonts w:ascii="Calibri" w:hAnsi="Calibri"/>
        </w:rPr>
        <w:t xml:space="preserve">. </w:t>
      </w:r>
      <w:r w:rsidR="00C76C0A" w:rsidRPr="00C76C0A">
        <w:rPr>
          <w:rFonts w:ascii="Calibri" w:hAnsi="Calibri"/>
        </w:rPr>
        <w:t xml:space="preserve">In particolare, si sono verificati: sonnolenza (10 eventi), </w:t>
      </w:r>
      <w:r w:rsidR="00C76C0A">
        <w:rPr>
          <w:rFonts w:ascii="Calibri" w:hAnsi="Calibri"/>
        </w:rPr>
        <w:t>vertigini (4 eventi), nausea (3 eventi), mal di testa (1 evento).</w:t>
      </w:r>
    </w:p>
    <w:p w:rsidR="009469B6" w:rsidRPr="00C76C0A" w:rsidRDefault="009469B6" w:rsidP="00C41D97">
      <w:pPr>
        <w:autoSpaceDE w:val="0"/>
        <w:autoSpaceDN w:val="0"/>
        <w:adjustRightInd w:val="0"/>
        <w:spacing w:after="0" w:line="240" w:lineRule="auto"/>
        <w:jc w:val="both"/>
        <w:rPr>
          <w:rFonts w:ascii="Calibri" w:hAnsi="Calibri"/>
          <w:highlight w:val="yellow"/>
        </w:rPr>
      </w:pPr>
    </w:p>
    <w:p w:rsidR="009F16FA" w:rsidRPr="00C76C0A" w:rsidRDefault="009F16FA" w:rsidP="00C41D97">
      <w:pPr>
        <w:pStyle w:val="Didascalia"/>
        <w:keepNext/>
        <w:spacing w:before="0" w:after="0"/>
        <w:jc w:val="both"/>
        <w:outlineLvl w:val="0"/>
        <w:rPr>
          <w:rFonts w:ascii="Calibri" w:hAnsi="Calibri" w:cs="Arial"/>
          <w:b w:val="0"/>
          <w:sz w:val="22"/>
          <w:szCs w:val="22"/>
          <w:lang w:val="it-IT"/>
        </w:rPr>
      </w:pPr>
      <w:r w:rsidRPr="00C76C0A">
        <w:rPr>
          <w:rFonts w:ascii="Calibri" w:hAnsi="Calibri" w:cs="Arial"/>
          <w:b w:val="0"/>
          <w:i/>
          <w:sz w:val="22"/>
          <w:szCs w:val="22"/>
          <w:lang w:val="it-IT"/>
        </w:rPr>
        <w:t>Parametri farmacocinetici</w:t>
      </w:r>
      <w:r w:rsidRPr="00C76C0A">
        <w:rPr>
          <w:rFonts w:ascii="Calibri" w:hAnsi="Calibri" w:cs="Arial"/>
          <w:b w:val="0"/>
          <w:sz w:val="22"/>
          <w:szCs w:val="22"/>
          <w:lang w:val="it-IT"/>
        </w:rPr>
        <w:t xml:space="preserve">. </w:t>
      </w:r>
    </w:p>
    <w:p w:rsidR="009F16FA" w:rsidRPr="00C76C0A" w:rsidRDefault="009F16FA" w:rsidP="00C41D97">
      <w:pPr>
        <w:pStyle w:val="Didascalia"/>
        <w:keepNext/>
        <w:spacing w:before="0" w:after="0"/>
        <w:jc w:val="both"/>
        <w:outlineLvl w:val="0"/>
        <w:rPr>
          <w:rFonts w:ascii="Calibri" w:hAnsi="Calibri" w:cs="Arial"/>
          <w:b w:val="0"/>
          <w:sz w:val="22"/>
          <w:szCs w:val="22"/>
          <w:lang w:val="it-IT"/>
        </w:rPr>
      </w:pPr>
      <w:r w:rsidRPr="00C76C0A">
        <w:rPr>
          <w:rFonts w:ascii="Calibri" w:hAnsi="Calibri" w:cs="Arial"/>
          <w:b w:val="0"/>
          <w:sz w:val="22"/>
          <w:szCs w:val="22"/>
          <w:lang w:val="it-IT"/>
        </w:rPr>
        <w:t>La sintesi dei risultati dello studio di bioequivalenza è riportata nella tabella che segue.</w:t>
      </w:r>
    </w:p>
    <w:p w:rsidR="002B0F72" w:rsidRPr="00C76C0A" w:rsidRDefault="002B0F72" w:rsidP="00C41D97">
      <w:pPr>
        <w:spacing w:after="0" w:line="240" w:lineRule="auto"/>
      </w:pPr>
    </w:p>
    <w:tbl>
      <w:tblPr>
        <w:tblW w:w="4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223"/>
        <w:gridCol w:w="1794"/>
        <w:gridCol w:w="2052"/>
        <w:gridCol w:w="1950"/>
        <w:gridCol w:w="1936"/>
      </w:tblGrid>
      <w:tr w:rsidR="009F16FA" w:rsidRPr="00C76C0A" w:rsidTr="00DD27A5">
        <w:trPr>
          <w:jc w:val="center"/>
        </w:trPr>
        <w:tc>
          <w:tcPr>
            <w:tcW w:w="8955" w:type="dxa"/>
            <w:gridSpan w:val="5"/>
            <w:vAlign w:val="bottom"/>
          </w:tcPr>
          <w:p w:rsidR="009F16FA" w:rsidRPr="00C76C0A" w:rsidRDefault="00281788" w:rsidP="009469B6">
            <w:pPr>
              <w:spacing w:after="0" w:line="240" w:lineRule="auto"/>
              <w:jc w:val="center"/>
              <w:rPr>
                <w:b/>
                <w:sz w:val="20"/>
                <w:szCs w:val="20"/>
              </w:rPr>
            </w:pPr>
            <w:r w:rsidRPr="00C76C0A">
              <w:rPr>
                <w:b/>
                <w:sz w:val="20"/>
                <w:szCs w:val="20"/>
              </w:rPr>
              <w:t>PREGABALIN</w:t>
            </w:r>
            <w:r w:rsidR="009469B6" w:rsidRPr="00C76C0A">
              <w:rPr>
                <w:b/>
                <w:sz w:val="20"/>
                <w:szCs w:val="20"/>
              </w:rPr>
              <w:t xml:space="preserve"> </w:t>
            </w:r>
          </w:p>
        </w:tc>
      </w:tr>
      <w:tr w:rsidR="009F16FA" w:rsidRPr="00C76C0A" w:rsidTr="00DD27A5">
        <w:trPr>
          <w:jc w:val="center"/>
        </w:trPr>
        <w:tc>
          <w:tcPr>
            <w:tcW w:w="1223" w:type="dxa"/>
            <w:vAlign w:val="bottom"/>
          </w:tcPr>
          <w:p w:rsidR="009F16FA" w:rsidRPr="00C76C0A" w:rsidRDefault="009F16FA" w:rsidP="009469B6">
            <w:pPr>
              <w:spacing w:after="0" w:line="240" w:lineRule="auto"/>
              <w:jc w:val="center"/>
              <w:rPr>
                <w:b/>
                <w:sz w:val="20"/>
                <w:szCs w:val="20"/>
              </w:rPr>
            </w:pPr>
            <w:r w:rsidRPr="00C76C0A">
              <w:rPr>
                <w:b/>
                <w:sz w:val="20"/>
                <w:szCs w:val="20"/>
              </w:rPr>
              <w:t>Parametro</w:t>
            </w:r>
          </w:p>
        </w:tc>
        <w:tc>
          <w:tcPr>
            <w:tcW w:w="1794" w:type="dxa"/>
            <w:vAlign w:val="bottom"/>
          </w:tcPr>
          <w:p w:rsidR="009F16FA" w:rsidRPr="00C76C0A" w:rsidRDefault="009F16FA" w:rsidP="009469B6">
            <w:pPr>
              <w:spacing w:after="0" w:line="240" w:lineRule="auto"/>
              <w:jc w:val="center"/>
              <w:rPr>
                <w:b/>
                <w:sz w:val="20"/>
                <w:szCs w:val="20"/>
              </w:rPr>
            </w:pPr>
            <w:r w:rsidRPr="00C76C0A">
              <w:rPr>
                <w:b/>
                <w:sz w:val="20"/>
                <w:szCs w:val="20"/>
              </w:rPr>
              <w:t xml:space="preserve">Test </w:t>
            </w:r>
            <w:r w:rsidRPr="00C76C0A">
              <w:rPr>
                <w:rFonts w:cs="Arial"/>
                <w:b/>
                <w:sz w:val="20"/>
                <w:szCs w:val="20"/>
              </w:rPr>
              <w:t>[LSM]</w:t>
            </w:r>
          </w:p>
        </w:tc>
        <w:tc>
          <w:tcPr>
            <w:tcW w:w="2052" w:type="dxa"/>
            <w:vAlign w:val="bottom"/>
          </w:tcPr>
          <w:p w:rsidR="009F16FA" w:rsidRPr="00C76C0A" w:rsidRDefault="009F16FA" w:rsidP="009469B6">
            <w:pPr>
              <w:spacing w:after="0" w:line="240" w:lineRule="auto"/>
              <w:jc w:val="center"/>
              <w:rPr>
                <w:b/>
                <w:sz w:val="20"/>
                <w:szCs w:val="20"/>
              </w:rPr>
            </w:pPr>
            <w:proofErr w:type="spellStart"/>
            <w:r w:rsidRPr="00C76C0A">
              <w:rPr>
                <w:b/>
                <w:sz w:val="20"/>
                <w:szCs w:val="20"/>
              </w:rPr>
              <w:t>Reference</w:t>
            </w:r>
            <w:proofErr w:type="spellEnd"/>
            <w:r w:rsidRPr="00C76C0A">
              <w:rPr>
                <w:b/>
                <w:sz w:val="20"/>
                <w:szCs w:val="20"/>
              </w:rPr>
              <w:t xml:space="preserve"> </w:t>
            </w:r>
            <w:r w:rsidRPr="00C76C0A">
              <w:rPr>
                <w:rFonts w:cs="Arial"/>
                <w:b/>
                <w:sz w:val="20"/>
                <w:szCs w:val="20"/>
              </w:rPr>
              <w:t>[LSM]</w:t>
            </w:r>
          </w:p>
        </w:tc>
        <w:tc>
          <w:tcPr>
            <w:tcW w:w="1950" w:type="dxa"/>
            <w:vAlign w:val="bottom"/>
          </w:tcPr>
          <w:p w:rsidR="009F16FA" w:rsidRPr="00C76C0A" w:rsidRDefault="009F16FA" w:rsidP="009469B6">
            <w:pPr>
              <w:spacing w:after="0" w:line="240" w:lineRule="auto"/>
              <w:jc w:val="center"/>
              <w:rPr>
                <w:b/>
                <w:sz w:val="20"/>
                <w:szCs w:val="20"/>
              </w:rPr>
            </w:pPr>
            <w:r w:rsidRPr="00C76C0A">
              <w:rPr>
                <w:b/>
                <w:sz w:val="20"/>
                <w:szCs w:val="20"/>
              </w:rPr>
              <w:t xml:space="preserve">T/R </w:t>
            </w:r>
            <w:proofErr w:type="spellStart"/>
            <w:r w:rsidRPr="00C76C0A">
              <w:rPr>
                <w:b/>
                <w:sz w:val="20"/>
                <w:szCs w:val="20"/>
              </w:rPr>
              <w:t>Ratio</w:t>
            </w:r>
            <w:proofErr w:type="spellEnd"/>
          </w:p>
        </w:tc>
        <w:tc>
          <w:tcPr>
            <w:tcW w:w="1936" w:type="dxa"/>
            <w:vAlign w:val="bottom"/>
          </w:tcPr>
          <w:p w:rsidR="009F16FA" w:rsidRPr="00C76C0A" w:rsidRDefault="009F16FA" w:rsidP="009469B6">
            <w:pPr>
              <w:spacing w:after="0" w:line="240" w:lineRule="auto"/>
              <w:jc w:val="center"/>
              <w:rPr>
                <w:b/>
                <w:sz w:val="20"/>
                <w:szCs w:val="20"/>
              </w:rPr>
            </w:pPr>
            <w:r w:rsidRPr="00C76C0A">
              <w:rPr>
                <w:b/>
                <w:sz w:val="20"/>
                <w:szCs w:val="20"/>
              </w:rPr>
              <w:t>90% C.I.</w:t>
            </w:r>
          </w:p>
        </w:tc>
      </w:tr>
      <w:tr w:rsidR="00C41D97" w:rsidRPr="00C76C0A" w:rsidTr="00B44898">
        <w:trPr>
          <w:trHeight w:hRule="exact" w:val="284"/>
          <w:jc w:val="center"/>
        </w:trPr>
        <w:tc>
          <w:tcPr>
            <w:tcW w:w="1223" w:type="dxa"/>
          </w:tcPr>
          <w:p w:rsidR="00C41D97" w:rsidRPr="00C76C0A" w:rsidRDefault="00C41D97" w:rsidP="009469B6">
            <w:pPr>
              <w:spacing w:after="0" w:line="240" w:lineRule="auto"/>
              <w:jc w:val="center"/>
              <w:rPr>
                <w:b/>
                <w:sz w:val="20"/>
                <w:szCs w:val="20"/>
              </w:rPr>
            </w:pPr>
            <w:r w:rsidRPr="00C76C0A">
              <w:rPr>
                <w:b/>
                <w:sz w:val="20"/>
                <w:szCs w:val="20"/>
              </w:rPr>
              <w:t>AUC</w:t>
            </w:r>
            <w:r w:rsidRPr="00C76C0A">
              <w:rPr>
                <w:b/>
                <w:sz w:val="20"/>
                <w:szCs w:val="20"/>
                <w:vertAlign w:val="subscript"/>
              </w:rPr>
              <w:t>0-t</w:t>
            </w:r>
          </w:p>
        </w:tc>
        <w:tc>
          <w:tcPr>
            <w:tcW w:w="1794"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rPr>
              <w:t>49932.27</w:t>
            </w:r>
          </w:p>
        </w:tc>
        <w:tc>
          <w:tcPr>
            <w:tcW w:w="2052"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rPr>
              <w:t>49737.63</w:t>
            </w:r>
          </w:p>
        </w:tc>
        <w:tc>
          <w:tcPr>
            <w:tcW w:w="1950"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rPr>
              <w:t>100.39</w:t>
            </w:r>
          </w:p>
        </w:tc>
        <w:tc>
          <w:tcPr>
            <w:tcW w:w="1936"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lang w:val="en-GB"/>
              </w:rPr>
              <w:t>98.82 - 101.99</w:t>
            </w:r>
          </w:p>
        </w:tc>
      </w:tr>
      <w:tr w:rsidR="00C41D97" w:rsidRPr="00C76C0A" w:rsidTr="00B44898">
        <w:trPr>
          <w:trHeight w:hRule="exact" w:val="284"/>
          <w:jc w:val="center"/>
        </w:trPr>
        <w:tc>
          <w:tcPr>
            <w:tcW w:w="1223" w:type="dxa"/>
          </w:tcPr>
          <w:p w:rsidR="00C41D97" w:rsidRPr="00C76C0A" w:rsidRDefault="00C41D97" w:rsidP="009469B6">
            <w:pPr>
              <w:spacing w:after="0" w:line="240" w:lineRule="auto"/>
              <w:jc w:val="center"/>
              <w:rPr>
                <w:b/>
                <w:sz w:val="20"/>
                <w:szCs w:val="20"/>
              </w:rPr>
            </w:pPr>
            <w:r w:rsidRPr="00C76C0A">
              <w:rPr>
                <w:b/>
                <w:sz w:val="20"/>
                <w:szCs w:val="20"/>
              </w:rPr>
              <w:t>AUC</w:t>
            </w:r>
            <w:r w:rsidRPr="00C76C0A">
              <w:rPr>
                <w:b/>
                <w:sz w:val="20"/>
                <w:szCs w:val="20"/>
                <w:vertAlign w:val="subscript"/>
              </w:rPr>
              <w:t>0-∞</w:t>
            </w:r>
          </w:p>
        </w:tc>
        <w:tc>
          <w:tcPr>
            <w:tcW w:w="1794"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lang w:eastAsia="it-IT"/>
              </w:rPr>
              <w:t>51132.78</w:t>
            </w:r>
          </w:p>
        </w:tc>
        <w:tc>
          <w:tcPr>
            <w:tcW w:w="2052"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lang w:eastAsia="it-IT"/>
              </w:rPr>
              <w:t>50900.43</w:t>
            </w:r>
          </w:p>
        </w:tc>
        <w:tc>
          <w:tcPr>
            <w:tcW w:w="1950"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rPr>
              <w:t>100.46</w:t>
            </w:r>
          </w:p>
        </w:tc>
        <w:tc>
          <w:tcPr>
            <w:tcW w:w="1936"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rPr>
              <w:t>98.82 - 102.12</w:t>
            </w:r>
          </w:p>
        </w:tc>
      </w:tr>
      <w:tr w:rsidR="00C41D97" w:rsidRPr="00C76C0A" w:rsidTr="00B44898">
        <w:trPr>
          <w:trHeight w:hRule="exact" w:val="284"/>
          <w:jc w:val="center"/>
        </w:trPr>
        <w:tc>
          <w:tcPr>
            <w:tcW w:w="1223" w:type="dxa"/>
          </w:tcPr>
          <w:p w:rsidR="00C41D97" w:rsidRPr="00C76C0A" w:rsidRDefault="00C41D97" w:rsidP="009469B6">
            <w:pPr>
              <w:spacing w:after="0" w:line="240" w:lineRule="auto"/>
              <w:jc w:val="center"/>
              <w:rPr>
                <w:b/>
                <w:sz w:val="20"/>
                <w:szCs w:val="20"/>
              </w:rPr>
            </w:pPr>
            <w:proofErr w:type="spellStart"/>
            <w:r w:rsidRPr="00C76C0A">
              <w:rPr>
                <w:b/>
                <w:sz w:val="20"/>
                <w:szCs w:val="20"/>
              </w:rPr>
              <w:t>C</w:t>
            </w:r>
            <w:r w:rsidRPr="00C76C0A">
              <w:rPr>
                <w:b/>
                <w:sz w:val="20"/>
                <w:szCs w:val="20"/>
                <w:vertAlign w:val="subscript"/>
              </w:rPr>
              <w:t>max</w:t>
            </w:r>
            <w:proofErr w:type="spellEnd"/>
          </w:p>
        </w:tc>
        <w:tc>
          <w:tcPr>
            <w:tcW w:w="1794" w:type="dxa"/>
            <w:vAlign w:val="bottom"/>
          </w:tcPr>
          <w:p w:rsidR="00C41D97" w:rsidRPr="00C76C0A" w:rsidRDefault="00C41D97" w:rsidP="00600EB6">
            <w:pPr>
              <w:jc w:val="center"/>
              <w:rPr>
                <w:rFonts w:ascii="Calibri" w:hAnsi="Calibri" w:cs="Arial"/>
                <w:sz w:val="20"/>
                <w:szCs w:val="20"/>
              </w:rPr>
            </w:pPr>
            <w:r w:rsidRPr="00C76C0A">
              <w:rPr>
                <w:rFonts w:ascii="Calibri" w:eastAsia="MS Mincho" w:hAnsi="Calibri" w:cs="Helvetica"/>
                <w:sz w:val="20"/>
                <w:szCs w:val="20"/>
                <w:lang w:eastAsia="ja-JP"/>
              </w:rPr>
              <w:t>8051.86</w:t>
            </w:r>
          </w:p>
        </w:tc>
        <w:tc>
          <w:tcPr>
            <w:tcW w:w="2052"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lang w:eastAsia="it-IT"/>
              </w:rPr>
              <w:t>8682.87</w:t>
            </w:r>
          </w:p>
        </w:tc>
        <w:tc>
          <w:tcPr>
            <w:tcW w:w="1950" w:type="dxa"/>
            <w:vAlign w:val="bottom"/>
          </w:tcPr>
          <w:p w:rsidR="00C41D97" w:rsidRPr="00C76C0A" w:rsidRDefault="00C41D97" w:rsidP="00600EB6">
            <w:pPr>
              <w:jc w:val="center"/>
              <w:rPr>
                <w:rFonts w:ascii="Calibri" w:hAnsi="Calibri" w:cs="Arial"/>
                <w:sz w:val="20"/>
                <w:szCs w:val="20"/>
              </w:rPr>
            </w:pPr>
            <w:r w:rsidRPr="00C76C0A">
              <w:rPr>
                <w:rFonts w:ascii="Calibri" w:hAnsi="Calibri" w:cs="Arial"/>
                <w:sz w:val="20"/>
                <w:szCs w:val="20"/>
              </w:rPr>
              <w:t>92.73</w:t>
            </w:r>
          </w:p>
        </w:tc>
        <w:tc>
          <w:tcPr>
            <w:tcW w:w="1936" w:type="dxa"/>
            <w:vAlign w:val="bottom"/>
          </w:tcPr>
          <w:p w:rsidR="00C41D97" w:rsidRPr="00C76C0A" w:rsidRDefault="00C41D97" w:rsidP="00C76C0A">
            <w:pPr>
              <w:pStyle w:val="Paragrafoelenco"/>
              <w:numPr>
                <w:ilvl w:val="1"/>
                <w:numId w:val="11"/>
              </w:numPr>
              <w:jc w:val="center"/>
              <w:rPr>
                <w:rFonts w:ascii="Calibri" w:hAnsi="Calibri" w:cs="Arial"/>
                <w:sz w:val="20"/>
                <w:szCs w:val="20"/>
              </w:rPr>
            </w:pPr>
            <w:r w:rsidRPr="00C76C0A">
              <w:rPr>
                <w:rFonts w:ascii="Calibri" w:hAnsi="Calibri" w:cs="Arial"/>
                <w:sz w:val="20"/>
                <w:szCs w:val="20"/>
              </w:rPr>
              <w:t>– 98.89</w:t>
            </w:r>
          </w:p>
        </w:tc>
      </w:tr>
    </w:tbl>
    <w:p w:rsidR="009F16FA" w:rsidRDefault="009F16FA" w:rsidP="009469B6">
      <w:pPr>
        <w:spacing w:after="0" w:line="240" w:lineRule="auto"/>
      </w:pPr>
    </w:p>
    <w:p w:rsidR="00B53F5A" w:rsidRPr="00C76C0A" w:rsidRDefault="00B53F5A" w:rsidP="009469B6">
      <w:pPr>
        <w:spacing w:after="0" w:line="240" w:lineRule="auto"/>
      </w:pPr>
    </w:p>
    <w:p w:rsidR="009F16FA" w:rsidRPr="00C76C0A" w:rsidRDefault="009F16FA" w:rsidP="00DF53AE">
      <w:pPr>
        <w:spacing w:after="0" w:line="240" w:lineRule="auto"/>
        <w:rPr>
          <w:rFonts w:cs="Arial"/>
          <w:sz w:val="20"/>
          <w:szCs w:val="20"/>
          <w:lang w:val="en-GB"/>
        </w:rPr>
      </w:pPr>
    </w:p>
    <w:p w:rsidR="00C76C0A" w:rsidRPr="00C41D97" w:rsidRDefault="00C76C0A" w:rsidP="00C76C0A">
      <w:pPr>
        <w:pStyle w:val="Paragrafoelenco"/>
        <w:numPr>
          <w:ilvl w:val="0"/>
          <w:numId w:val="8"/>
        </w:numPr>
        <w:spacing w:after="0" w:line="240" w:lineRule="auto"/>
        <w:jc w:val="both"/>
        <w:rPr>
          <w:rFonts w:ascii="Calibri" w:hAnsi="Calibri"/>
          <w:u w:val="single"/>
        </w:rPr>
      </w:pPr>
      <w:r w:rsidRPr="00C41D97">
        <w:rPr>
          <w:rFonts w:ascii="Calibri" w:hAnsi="Calibri"/>
          <w:u w:val="single"/>
        </w:rPr>
        <w:lastRenderedPageBreak/>
        <w:t xml:space="preserve">Studio con </w:t>
      </w:r>
      <w:r>
        <w:rPr>
          <w:rFonts w:ascii="Calibri" w:hAnsi="Calibri"/>
          <w:u w:val="single"/>
        </w:rPr>
        <w:t>5</w:t>
      </w:r>
      <w:r w:rsidRPr="00C41D97">
        <w:rPr>
          <w:rFonts w:ascii="Calibri" w:hAnsi="Calibri"/>
          <w:u w:val="single"/>
        </w:rPr>
        <w:t>0 mg</w:t>
      </w:r>
    </w:p>
    <w:p w:rsidR="00C76C0A" w:rsidRPr="00C41D97" w:rsidRDefault="00C76C0A" w:rsidP="00C76C0A">
      <w:pPr>
        <w:spacing w:after="0" w:line="240" w:lineRule="auto"/>
        <w:jc w:val="both"/>
        <w:rPr>
          <w:rFonts w:cs="Arial"/>
        </w:rPr>
      </w:pPr>
      <w:r w:rsidRPr="00C41D97">
        <w:t>Lo studio di bioequivalenza è uno studio comparativo, aperto,  randomizzato, a dose singola (</w:t>
      </w:r>
      <w:r w:rsidR="00D0420D">
        <w:t>5</w:t>
      </w:r>
      <w:r w:rsidRPr="00C41D97">
        <w:t xml:space="preserve">0 mg), 2-periodi, crossover condotto in </w:t>
      </w:r>
      <w:r w:rsidR="00D0420D">
        <w:t>28</w:t>
      </w:r>
      <w:r w:rsidRPr="00C41D97">
        <w:t xml:space="preserve"> volontari sani maschi con somministrazione a digiuno. </w:t>
      </w:r>
      <w:r w:rsidRPr="00C41D97">
        <w:rPr>
          <w:rFonts w:cs="Arial"/>
        </w:rPr>
        <w:t xml:space="preserve">Dopo una notte di digiuno (circa 10 ore), il medicinale è stato somministrato con acqua; subito i dopo i soggetti hanno assunto un pasto standardizzato. </w:t>
      </w:r>
      <w:r w:rsidRPr="00C41D97">
        <w:t xml:space="preserve">Un soddisfacente periodo di wash-out di </w:t>
      </w:r>
      <w:r w:rsidR="00D0420D">
        <w:rPr>
          <w:rFonts w:cs="Arial"/>
        </w:rPr>
        <w:t>7</w:t>
      </w:r>
      <w:r w:rsidRPr="00C41D97">
        <w:rPr>
          <w:rFonts w:cs="Arial"/>
        </w:rPr>
        <w:t xml:space="preserve"> giorni è stato previsto tra le somministrazioni in ogni gruppo.</w:t>
      </w:r>
    </w:p>
    <w:p w:rsidR="00C76C0A" w:rsidRPr="00C76C0A" w:rsidRDefault="00C76C0A" w:rsidP="00C76C0A">
      <w:pPr>
        <w:pStyle w:val="Paragrafoelenco"/>
        <w:spacing w:after="0" w:line="240" w:lineRule="auto"/>
        <w:ind w:left="0"/>
        <w:jc w:val="both"/>
        <w:rPr>
          <w:rFonts w:cs="Arial"/>
        </w:rPr>
      </w:pPr>
      <w:r w:rsidRPr="00C41D97">
        <w:rPr>
          <w:rFonts w:cs="Arial"/>
        </w:rPr>
        <w:t>Campioni di sangue sono stati prelevati al tempo zero (</w:t>
      </w:r>
      <w:proofErr w:type="spellStart"/>
      <w:r w:rsidRPr="00C41D97">
        <w:rPr>
          <w:rFonts w:cs="Arial"/>
        </w:rPr>
        <w:t>pre-dose</w:t>
      </w:r>
      <w:proofErr w:type="spellEnd"/>
      <w:r w:rsidRPr="00C41D97">
        <w:rPr>
          <w:rFonts w:cs="Arial"/>
        </w:rPr>
        <w:t xml:space="preserve">) e a specificati tempi fino a 36 ore dopo la </w:t>
      </w:r>
      <w:r w:rsidRPr="00C76C0A">
        <w:rPr>
          <w:rFonts w:cs="Arial"/>
        </w:rPr>
        <w:t xml:space="preserve">somministrazione. I livelli plasmatici di </w:t>
      </w:r>
      <w:proofErr w:type="spellStart"/>
      <w:r w:rsidRPr="00C76C0A">
        <w:rPr>
          <w:rFonts w:cs="Arial"/>
        </w:rPr>
        <w:t>pregabalin</w:t>
      </w:r>
      <w:proofErr w:type="spellEnd"/>
      <w:r w:rsidRPr="00C76C0A">
        <w:rPr>
          <w:rFonts w:cs="Arial"/>
        </w:rPr>
        <w:t xml:space="preserve"> sono stati determinati mediante un metodo analitico HPLC-MS-MS opportunamente convalidato.</w:t>
      </w:r>
    </w:p>
    <w:p w:rsidR="00C76C0A" w:rsidRPr="00C76C0A" w:rsidRDefault="00C76C0A" w:rsidP="00C76C0A">
      <w:pPr>
        <w:autoSpaceDE w:val="0"/>
        <w:autoSpaceDN w:val="0"/>
        <w:adjustRightInd w:val="0"/>
        <w:spacing w:after="0" w:line="240" w:lineRule="auto"/>
        <w:jc w:val="both"/>
        <w:rPr>
          <w:rFonts w:cs="Arial"/>
        </w:rPr>
      </w:pPr>
      <w:r w:rsidRPr="00C76C0A">
        <w:rPr>
          <w:rFonts w:cs="Arial"/>
        </w:rPr>
        <w:t xml:space="preserve">Le variabili farmacocinetiche definite sono state: </w:t>
      </w:r>
      <w:proofErr w:type="spellStart"/>
      <w:r w:rsidRPr="00C76C0A">
        <w:rPr>
          <w:rFonts w:ascii="Calibri" w:hAnsi="Calibri" w:cs="Arial"/>
          <w:iCs/>
        </w:rPr>
        <w:t>C</w:t>
      </w:r>
      <w:r w:rsidRPr="00C76C0A">
        <w:rPr>
          <w:rFonts w:ascii="Calibri" w:hAnsi="Calibri" w:cs="Arial"/>
          <w:iCs/>
          <w:vertAlign w:val="subscript"/>
        </w:rPr>
        <w:t>max</w:t>
      </w:r>
      <w:proofErr w:type="spellEnd"/>
      <w:r w:rsidRPr="00C76C0A">
        <w:rPr>
          <w:rFonts w:ascii="Calibri" w:hAnsi="Calibri" w:cs="Arial"/>
          <w:iCs/>
        </w:rPr>
        <w:t xml:space="preserve">, </w:t>
      </w:r>
      <w:proofErr w:type="spellStart"/>
      <w:r w:rsidRPr="00C76C0A">
        <w:rPr>
          <w:rFonts w:ascii="Calibri" w:hAnsi="Calibri" w:cs="Arial"/>
          <w:iCs/>
        </w:rPr>
        <w:t>AUC</w:t>
      </w:r>
      <w:r w:rsidRPr="00C76C0A">
        <w:rPr>
          <w:rFonts w:ascii="Calibri" w:hAnsi="Calibri" w:cs="Arial"/>
          <w:iCs/>
          <w:vertAlign w:val="subscript"/>
        </w:rPr>
        <w:t>t</w:t>
      </w:r>
      <w:proofErr w:type="spellEnd"/>
      <w:r w:rsidRPr="00C76C0A">
        <w:rPr>
          <w:rFonts w:ascii="Calibri" w:hAnsi="Calibri" w:cs="Arial"/>
          <w:iCs/>
          <w:vertAlign w:val="subscript"/>
        </w:rPr>
        <w:t xml:space="preserve"> </w:t>
      </w:r>
      <w:r w:rsidRPr="00C76C0A">
        <w:rPr>
          <w:rFonts w:ascii="Calibri" w:hAnsi="Calibri" w:cs="Arial"/>
          <w:iCs/>
        </w:rPr>
        <w:t xml:space="preserve">, </w:t>
      </w:r>
      <w:proofErr w:type="spellStart"/>
      <w:r w:rsidRPr="00C76C0A">
        <w:rPr>
          <w:rFonts w:ascii="Calibri" w:hAnsi="Calibri" w:cs="Arial"/>
          <w:iCs/>
        </w:rPr>
        <w:t>AUC</w:t>
      </w:r>
      <w:r w:rsidRPr="00C76C0A">
        <w:rPr>
          <w:rFonts w:ascii="Calibri" w:hAnsi="Calibri" w:cs="Arial"/>
          <w:iCs/>
          <w:vertAlign w:val="subscript"/>
        </w:rPr>
        <w:t>i</w:t>
      </w:r>
      <w:proofErr w:type="spellEnd"/>
      <w:r w:rsidRPr="00C76C0A">
        <w:rPr>
          <w:rFonts w:ascii="Calibri" w:hAnsi="Calibri" w:cs="Arial"/>
          <w:iCs/>
        </w:rPr>
        <w:t xml:space="preserve">, </w:t>
      </w:r>
      <w:proofErr w:type="spellStart"/>
      <w:r w:rsidRPr="00C76C0A">
        <w:rPr>
          <w:rFonts w:ascii="Calibri" w:hAnsi="Calibri" w:cs="Arial"/>
          <w:iCs/>
        </w:rPr>
        <w:t>T</w:t>
      </w:r>
      <w:r w:rsidRPr="00C76C0A">
        <w:rPr>
          <w:rFonts w:ascii="Calibri" w:hAnsi="Calibri" w:cs="Arial"/>
          <w:iCs/>
          <w:vertAlign w:val="subscript"/>
        </w:rPr>
        <w:t>max</w:t>
      </w:r>
      <w:proofErr w:type="spellEnd"/>
      <w:r w:rsidRPr="00C76C0A">
        <w:rPr>
          <w:rFonts w:ascii="Calibri" w:hAnsi="Calibri" w:cs="Arial"/>
          <w:iCs/>
        </w:rPr>
        <w:t>, R</w:t>
      </w:r>
      <w:r w:rsidRPr="00C76C0A">
        <w:rPr>
          <w:rFonts w:ascii="Calibri" w:hAnsi="Calibri" w:cs="Arial"/>
          <w:iCs/>
          <w:vertAlign w:val="subscript"/>
        </w:rPr>
        <w:t xml:space="preserve">AUC </w:t>
      </w:r>
      <w:r w:rsidRPr="00C76C0A">
        <w:rPr>
          <w:rFonts w:ascii="Calibri" w:hAnsi="Calibri" w:cs="Arial"/>
          <w:iCs/>
        </w:rPr>
        <w:t>(area residua), T</w:t>
      </w:r>
      <w:r w:rsidRPr="00C76C0A">
        <w:rPr>
          <w:rFonts w:ascii="Calibri" w:hAnsi="Calibri" w:cs="Arial"/>
          <w:iCs/>
          <w:vertAlign w:val="subscript"/>
        </w:rPr>
        <w:t>1/2f</w:t>
      </w:r>
      <w:r w:rsidRPr="00C76C0A">
        <w:rPr>
          <w:rFonts w:ascii="Calibri" w:hAnsi="Calibri" w:cs="Arial"/>
          <w:iCs/>
        </w:rPr>
        <w:t xml:space="preserve"> e </w:t>
      </w:r>
      <w:proofErr w:type="spellStart"/>
      <w:r w:rsidRPr="00C76C0A">
        <w:rPr>
          <w:rFonts w:ascii="Calibri" w:hAnsi="Calibri" w:cs="Arial"/>
          <w:iCs/>
        </w:rPr>
        <w:t>K</w:t>
      </w:r>
      <w:r w:rsidRPr="00C76C0A">
        <w:rPr>
          <w:rFonts w:ascii="Calibri" w:hAnsi="Calibri" w:cs="Arial"/>
          <w:iCs/>
          <w:vertAlign w:val="subscript"/>
        </w:rPr>
        <w:t>el</w:t>
      </w:r>
      <w:proofErr w:type="spellEnd"/>
      <w:r w:rsidRPr="00C76C0A">
        <w:rPr>
          <w:rFonts w:ascii="Calibri" w:hAnsi="Calibri" w:cs="Arial"/>
          <w:iCs/>
        </w:rPr>
        <w:t xml:space="preserve">. </w:t>
      </w:r>
      <w:r w:rsidRPr="00C76C0A">
        <w:rPr>
          <w:rFonts w:cs="Arial"/>
        </w:rPr>
        <w:t xml:space="preserve">La bioequivalenza tra medicinale test e medicinale di riferimento è dimostrata se gli intervalli di confidenza al 90% per la trasformata logaritmica di </w:t>
      </w:r>
      <w:proofErr w:type="spellStart"/>
      <w:r w:rsidRPr="00C76C0A">
        <w:rPr>
          <w:rFonts w:cs="Arial"/>
        </w:rPr>
        <w:t>C</w:t>
      </w:r>
      <w:r w:rsidRPr="00C76C0A">
        <w:rPr>
          <w:rFonts w:cs="Arial"/>
          <w:vertAlign w:val="subscript"/>
        </w:rPr>
        <w:t>max</w:t>
      </w:r>
      <w:proofErr w:type="spellEnd"/>
      <w:r w:rsidRPr="00C76C0A">
        <w:rPr>
          <w:rFonts w:cs="Arial"/>
        </w:rPr>
        <w:t xml:space="preserve">, </w:t>
      </w:r>
      <w:r w:rsidRPr="00C76C0A">
        <w:t>AUC</w:t>
      </w:r>
      <w:r w:rsidRPr="00C76C0A">
        <w:rPr>
          <w:vertAlign w:val="subscript"/>
        </w:rPr>
        <w:t>0-∞</w:t>
      </w:r>
      <w:r w:rsidRPr="00C76C0A">
        <w:rPr>
          <w:b/>
        </w:rPr>
        <w:t xml:space="preserve"> </w:t>
      </w:r>
      <w:r w:rsidRPr="00C76C0A">
        <w:rPr>
          <w:rFonts w:cs="Arial"/>
        </w:rPr>
        <w:t>e AUC</w:t>
      </w:r>
      <w:r w:rsidRPr="00C76C0A">
        <w:rPr>
          <w:rFonts w:cs="Arial"/>
          <w:vertAlign w:val="subscript"/>
        </w:rPr>
        <w:t>0-t</w:t>
      </w:r>
      <w:r w:rsidRPr="00C76C0A">
        <w:rPr>
          <w:rFonts w:cs="Arial"/>
        </w:rPr>
        <w:t xml:space="preserve"> cadono nel </w:t>
      </w:r>
      <w:proofErr w:type="spellStart"/>
      <w:r w:rsidRPr="00C76C0A">
        <w:rPr>
          <w:rFonts w:cs="Arial"/>
        </w:rPr>
        <w:t>range</w:t>
      </w:r>
      <w:proofErr w:type="spellEnd"/>
      <w:r w:rsidRPr="00C76C0A">
        <w:rPr>
          <w:rFonts w:cs="Arial"/>
        </w:rPr>
        <w:t xml:space="preserve"> di accettabilità di 0.80-1.25 (80%-125%).</w:t>
      </w:r>
    </w:p>
    <w:p w:rsidR="00C76C0A" w:rsidRPr="00C41D97" w:rsidRDefault="00C76C0A" w:rsidP="00C76C0A">
      <w:pPr>
        <w:pStyle w:val="Paragrafoelenco"/>
        <w:spacing w:after="0" w:line="240" w:lineRule="auto"/>
        <w:ind w:left="0"/>
        <w:jc w:val="both"/>
        <w:rPr>
          <w:highlight w:val="yellow"/>
        </w:rPr>
      </w:pPr>
    </w:p>
    <w:p w:rsidR="00C76C0A" w:rsidRPr="00C41D97" w:rsidRDefault="00C76C0A" w:rsidP="00C76C0A">
      <w:pPr>
        <w:pStyle w:val="Paragrafoelenco"/>
        <w:spacing w:after="0" w:line="240" w:lineRule="auto"/>
        <w:ind w:left="0"/>
        <w:jc w:val="both"/>
        <w:rPr>
          <w:u w:val="single"/>
        </w:rPr>
      </w:pPr>
      <w:r w:rsidRPr="00C41D97">
        <w:rPr>
          <w:u w:val="single"/>
        </w:rPr>
        <w:t>Risultati</w:t>
      </w:r>
    </w:p>
    <w:p w:rsidR="00C76C0A" w:rsidRPr="00C41D97" w:rsidRDefault="00D0420D" w:rsidP="00C76C0A">
      <w:pPr>
        <w:spacing w:after="0" w:line="240" w:lineRule="auto"/>
        <w:jc w:val="both"/>
      </w:pPr>
      <w:r>
        <w:rPr>
          <w:rFonts w:cs="Arial"/>
        </w:rPr>
        <w:t>28</w:t>
      </w:r>
      <w:r w:rsidR="00C76C0A" w:rsidRPr="00C41D97">
        <w:rPr>
          <w:rFonts w:cs="Arial"/>
        </w:rPr>
        <w:t xml:space="preserve"> volontari sani sono stati arruolati negli studi. </w:t>
      </w:r>
      <w:r>
        <w:t>27</w:t>
      </w:r>
      <w:r w:rsidR="00C76C0A" w:rsidRPr="00C41D97">
        <w:t xml:space="preserve"> soggetti hanno completato fase clinica e sono stati analizzati.</w:t>
      </w:r>
    </w:p>
    <w:p w:rsidR="00C76C0A" w:rsidRPr="00EE1623" w:rsidRDefault="00C76C0A" w:rsidP="00C76C0A">
      <w:pPr>
        <w:pStyle w:val="Paragrafoelenco"/>
        <w:spacing w:after="0" w:line="240" w:lineRule="auto"/>
        <w:ind w:left="0"/>
        <w:jc w:val="both"/>
        <w:rPr>
          <w:rFonts w:cs="Arial"/>
          <w:b/>
          <w:i/>
          <w:highlight w:val="yellow"/>
        </w:rPr>
      </w:pPr>
    </w:p>
    <w:p w:rsidR="00C76C0A" w:rsidRPr="00C76C0A" w:rsidRDefault="00C76C0A" w:rsidP="00D0420D">
      <w:pPr>
        <w:pStyle w:val="Didascalia"/>
        <w:keepNext/>
        <w:spacing w:before="0" w:after="0"/>
        <w:jc w:val="both"/>
        <w:outlineLvl w:val="0"/>
        <w:rPr>
          <w:rFonts w:ascii="Calibri" w:hAnsi="Calibri" w:cs="Arial"/>
          <w:b w:val="0"/>
          <w:sz w:val="22"/>
          <w:szCs w:val="22"/>
          <w:lang w:val="it-IT"/>
        </w:rPr>
      </w:pPr>
      <w:r w:rsidRPr="00C76C0A">
        <w:rPr>
          <w:rFonts w:ascii="Calibri" w:hAnsi="Calibri" w:cs="Arial"/>
          <w:b w:val="0"/>
          <w:i/>
          <w:sz w:val="22"/>
          <w:szCs w:val="22"/>
          <w:lang w:val="it-IT"/>
        </w:rPr>
        <w:t>Sicurezza</w:t>
      </w:r>
    </w:p>
    <w:p w:rsidR="00C76C0A" w:rsidRPr="00C76C0A" w:rsidRDefault="00C76C0A" w:rsidP="00D0420D">
      <w:pPr>
        <w:autoSpaceDE w:val="0"/>
        <w:autoSpaceDN w:val="0"/>
        <w:adjustRightInd w:val="0"/>
        <w:spacing w:after="0" w:line="240" w:lineRule="auto"/>
        <w:jc w:val="both"/>
        <w:rPr>
          <w:rFonts w:ascii="Calibri" w:hAnsi="Calibri"/>
        </w:rPr>
      </w:pPr>
      <w:r w:rsidRPr="00C76C0A">
        <w:rPr>
          <w:rFonts w:ascii="Calibri" w:hAnsi="Calibri"/>
        </w:rPr>
        <w:t>Nel corso dello studio non sono stati riportati eventi avveri gravi.</w:t>
      </w:r>
    </w:p>
    <w:p w:rsidR="00C76C0A" w:rsidRPr="00C76C0A" w:rsidRDefault="00C76C0A" w:rsidP="00D0420D">
      <w:pPr>
        <w:autoSpaceDE w:val="0"/>
        <w:autoSpaceDN w:val="0"/>
        <w:adjustRightInd w:val="0"/>
        <w:spacing w:after="0" w:line="240" w:lineRule="auto"/>
        <w:jc w:val="both"/>
        <w:rPr>
          <w:rFonts w:ascii="Calibri" w:hAnsi="Calibri"/>
        </w:rPr>
      </w:pPr>
      <w:r w:rsidRPr="00C76C0A">
        <w:rPr>
          <w:rFonts w:ascii="Calibri" w:hAnsi="Calibri"/>
        </w:rPr>
        <w:t xml:space="preserve">In totale si sono rilevati </w:t>
      </w:r>
      <w:r w:rsidR="00D0420D">
        <w:rPr>
          <w:rFonts w:ascii="Calibri" w:hAnsi="Calibri"/>
        </w:rPr>
        <w:t>10</w:t>
      </w:r>
      <w:r w:rsidRPr="00C76C0A">
        <w:rPr>
          <w:rFonts w:ascii="Calibri" w:hAnsi="Calibri"/>
        </w:rPr>
        <w:t xml:space="preserve"> eventi avversi (in </w:t>
      </w:r>
      <w:r w:rsidR="00D0420D">
        <w:rPr>
          <w:rFonts w:ascii="Calibri" w:hAnsi="Calibri"/>
        </w:rPr>
        <w:t>8</w:t>
      </w:r>
      <w:r w:rsidRPr="00C76C0A">
        <w:rPr>
          <w:rFonts w:ascii="Calibri" w:hAnsi="Calibri"/>
        </w:rPr>
        <w:t xml:space="preserve"> soggetti) di entità da lieve a grave: di questi, </w:t>
      </w:r>
      <w:r w:rsidR="00D0420D">
        <w:rPr>
          <w:rFonts w:ascii="Calibri" w:hAnsi="Calibri"/>
        </w:rPr>
        <w:t>5</w:t>
      </w:r>
      <w:r w:rsidRPr="00C76C0A">
        <w:rPr>
          <w:rFonts w:ascii="Calibri" w:hAnsi="Calibri"/>
        </w:rPr>
        <w:t xml:space="preserve"> eventi avversi si sono verificati dopo somministrazione del medicinale test e </w:t>
      </w:r>
      <w:r w:rsidR="00D0420D">
        <w:rPr>
          <w:rFonts w:ascii="Calibri" w:hAnsi="Calibri"/>
        </w:rPr>
        <w:t>5</w:t>
      </w:r>
      <w:r w:rsidRPr="00C76C0A">
        <w:rPr>
          <w:rFonts w:ascii="Calibri" w:hAnsi="Calibri"/>
        </w:rPr>
        <w:t xml:space="preserve"> dopo somministrazione del medicinale di riferimento. In particolare, si sono verificati: sonnolenza (10 eventi), </w:t>
      </w:r>
      <w:r>
        <w:rPr>
          <w:rFonts w:ascii="Calibri" w:hAnsi="Calibri"/>
        </w:rPr>
        <w:t>vertigini (4 eventi), nausea (3 eventi), mal di testa (1 evento).</w:t>
      </w:r>
    </w:p>
    <w:p w:rsidR="00D0420D" w:rsidRDefault="00D0420D" w:rsidP="00D0420D">
      <w:pPr>
        <w:spacing w:after="0" w:line="240" w:lineRule="auto"/>
        <w:jc w:val="both"/>
        <w:rPr>
          <w:rFonts w:ascii="Calibri" w:hAnsi="Calibri" w:cs="Arial"/>
        </w:rPr>
      </w:pPr>
      <w:r w:rsidRPr="00D0420D">
        <w:rPr>
          <w:rFonts w:ascii="Calibri" w:hAnsi="Calibri" w:cs="Arial"/>
        </w:rPr>
        <w:t xml:space="preserve">4 soggetti che avevano ricevuto il medicale test hanno riportato eventi avversi (3 soggetti sonnolenza, 1 soggetto nausea e </w:t>
      </w:r>
      <w:r>
        <w:rPr>
          <w:rFonts w:ascii="Calibri" w:hAnsi="Calibri" w:cs="Arial"/>
        </w:rPr>
        <w:t>diminuzione dell’</w:t>
      </w:r>
      <w:r w:rsidRPr="00D0420D">
        <w:rPr>
          <w:rFonts w:ascii="Calibri" w:hAnsi="Calibri" w:cs="Arial"/>
        </w:rPr>
        <w:t>appetito)</w:t>
      </w:r>
      <w:r>
        <w:rPr>
          <w:rFonts w:ascii="Calibri" w:hAnsi="Calibri" w:cs="Arial"/>
        </w:rPr>
        <w:t>.</w:t>
      </w:r>
    </w:p>
    <w:p w:rsidR="00D0420D" w:rsidRPr="00D0420D" w:rsidRDefault="00D0420D" w:rsidP="00D0420D">
      <w:pPr>
        <w:spacing w:after="0" w:line="240" w:lineRule="auto"/>
        <w:jc w:val="both"/>
        <w:rPr>
          <w:rFonts w:ascii="Calibri" w:hAnsi="Calibri" w:cs="Arial"/>
        </w:rPr>
      </w:pPr>
      <w:r w:rsidRPr="00D0420D">
        <w:rPr>
          <w:rFonts w:ascii="Calibri" w:hAnsi="Calibri" w:cs="Arial"/>
        </w:rPr>
        <w:t xml:space="preserve">4 soggetti che avevano ricevuto il medicale </w:t>
      </w:r>
      <w:r>
        <w:rPr>
          <w:rFonts w:ascii="Calibri" w:hAnsi="Calibri" w:cs="Arial"/>
        </w:rPr>
        <w:t>di riferimento</w:t>
      </w:r>
      <w:r w:rsidRPr="00D0420D">
        <w:rPr>
          <w:rFonts w:ascii="Calibri" w:hAnsi="Calibri" w:cs="Arial"/>
        </w:rPr>
        <w:t xml:space="preserve"> hanno riportato </w:t>
      </w:r>
      <w:r>
        <w:rPr>
          <w:rFonts w:ascii="Calibri" w:hAnsi="Calibri" w:cs="Arial"/>
        </w:rPr>
        <w:t xml:space="preserve">i seguenti </w:t>
      </w:r>
      <w:r w:rsidRPr="00D0420D">
        <w:rPr>
          <w:rFonts w:ascii="Calibri" w:hAnsi="Calibri" w:cs="Arial"/>
        </w:rPr>
        <w:t>eventi avversi</w:t>
      </w:r>
      <w:r>
        <w:rPr>
          <w:rFonts w:ascii="Calibri" w:hAnsi="Calibri" w:cs="Arial"/>
        </w:rPr>
        <w:t xml:space="preserve">: </w:t>
      </w:r>
      <w:r w:rsidRPr="00D0420D">
        <w:rPr>
          <w:rFonts w:ascii="Calibri" w:hAnsi="Calibri" w:cs="Arial"/>
        </w:rPr>
        <w:t xml:space="preserve"> </w:t>
      </w:r>
      <w:r>
        <w:rPr>
          <w:rFonts w:ascii="Calibri" w:hAnsi="Calibri" w:cs="Arial"/>
        </w:rPr>
        <w:t>mal di testa</w:t>
      </w:r>
      <w:r w:rsidRPr="00D0420D">
        <w:rPr>
          <w:rFonts w:ascii="Calibri" w:hAnsi="Calibri" w:cs="Arial"/>
        </w:rPr>
        <w:t xml:space="preserve">, </w:t>
      </w:r>
      <w:r>
        <w:rPr>
          <w:rFonts w:ascii="Calibri" w:hAnsi="Calibri" w:cs="Arial"/>
        </w:rPr>
        <w:t xml:space="preserve">eritema al sito di </w:t>
      </w:r>
      <w:r w:rsidR="00C41858">
        <w:rPr>
          <w:rFonts w:ascii="Calibri" w:hAnsi="Calibri" w:cs="Arial"/>
        </w:rPr>
        <w:t>prelievo</w:t>
      </w:r>
      <w:r w:rsidRPr="00D0420D">
        <w:rPr>
          <w:rFonts w:ascii="Calibri" w:hAnsi="Calibri" w:cs="Arial"/>
        </w:rPr>
        <w:t xml:space="preserve">, </w:t>
      </w:r>
      <w:r>
        <w:rPr>
          <w:rFonts w:ascii="Calibri" w:hAnsi="Calibri" w:cs="Arial"/>
        </w:rPr>
        <w:t xml:space="preserve">dolori addominali, nausea </w:t>
      </w:r>
      <w:r w:rsidRPr="00D0420D">
        <w:rPr>
          <w:rFonts w:ascii="Calibri" w:hAnsi="Calibri" w:cs="Arial"/>
        </w:rPr>
        <w:t>(</w:t>
      </w:r>
      <w:r>
        <w:rPr>
          <w:rFonts w:ascii="Calibri" w:hAnsi="Calibri" w:cs="Arial"/>
        </w:rPr>
        <w:t>ogni evento è stato riportato da un soggetto</w:t>
      </w:r>
      <w:r w:rsidRPr="00D0420D">
        <w:rPr>
          <w:rFonts w:ascii="Calibri" w:hAnsi="Calibri" w:cs="Arial"/>
        </w:rPr>
        <w:t>).</w:t>
      </w:r>
    </w:p>
    <w:p w:rsidR="00C41858" w:rsidRDefault="00D0420D" w:rsidP="00D0420D">
      <w:pPr>
        <w:autoSpaceDE w:val="0"/>
        <w:autoSpaceDN w:val="0"/>
        <w:adjustRightInd w:val="0"/>
        <w:spacing w:after="0" w:line="240" w:lineRule="auto"/>
        <w:jc w:val="both"/>
        <w:rPr>
          <w:rFonts w:ascii="Calibri" w:hAnsi="Calibri" w:cs="Arial"/>
        </w:rPr>
      </w:pPr>
      <w:r>
        <w:rPr>
          <w:rFonts w:ascii="Calibri" w:hAnsi="Calibri" w:cs="Arial"/>
        </w:rPr>
        <w:t>Infine, u</w:t>
      </w:r>
      <w:r w:rsidRPr="00D0420D">
        <w:rPr>
          <w:rFonts w:ascii="Calibri" w:hAnsi="Calibri" w:cs="Arial"/>
        </w:rPr>
        <w:t xml:space="preserve">n soggetto che aveva ricevuto il medicale di riferimento ha mostrato </w:t>
      </w:r>
      <w:r>
        <w:rPr>
          <w:rFonts w:ascii="Calibri" w:hAnsi="Calibri" w:cs="Arial"/>
        </w:rPr>
        <w:t xml:space="preserve">un anomalo aumento della </w:t>
      </w:r>
      <w:r w:rsidRPr="00D0420D">
        <w:rPr>
          <w:rFonts w:ascii="Calibri" w:hAnsi="Calibri" w:cs="Arial"/>
        </w:rPr>
        <w:t>creatin</w:t>
      </w:r>
      <w:r w:rsidR="00C41858">
        <w:rPr>
          <w:rFonts w:ascii="Calibri" w:hAnsi="Calibri" w:cs="Arial"/>
        </w:rPr>
        <w:t>a</w:t>
      </w:r>
      <w:r w:rsidRPr="00D0420D">
        <w:rPr>
          <w:rFonts w:ascii="Calibri" w:hAnsi="Calibri" w:cs="Arial"/>
        </w:rPr>
        <w:t xml:space="preserve"> </w:t>
      </w:r>
      <w:proofErr w:type="spellStart"/>
      <w:r w:rsidR="00C41858">
        <w:rPr>
          <w:rFonts w:ascii="Calibri" w:hAnsi="Calibri" w:cs="Arial"/>
        </w:rPr>
        <w:t>f</w:t>
      </w:r>
      <w:r w:rsidRPr="00D0420D">
        <w:rPr>
          <w:rFonts w:ascii="Calibri" w:hAnsi="Calibri" w:cs="Arial"/>
        </w:rPr>
        <w:t>os</w:t>
      </w:r>
      <w:r w:rsidR="00C41858">
        <w:rPr>
          <w:rFonts w:ascii="Calibri" w:hAnsi="Calibri" w:cs="Arial"/>
        </w:rPr>
        <w:t>f</w:t>
      </w:r>
      <w:r w:rsidRPr="00D0420D">
        <w:rPr>
          <w:rFonts w:ascii="Calibri" w:hAnsi="Calibri" w:cs="Arial"/>
        </w:rPr>
        <w:t>o</w:t>
      </w:r>
      <w:r w:rsidR="00C41858">
        <w:rPr>
          <w:rFonts w:ascii="Calibri" w:hAnsi="Calibri" w:cs="Arial"/>
        </w:rPr>
        <w:t>ch</w:t>
      </w:r>
      <w:r w:rsidRPr="00D0420D">
        <w:rPr>
          <w:rFonts w:ascii="Calibri" w:hAnsi="Calibri" w:cs="Arial"/>
        </w:rPr>
        <w:t>inas</w:t>
      </w:r>
      <w:r w:rsidR="00C41858">
        <w:rPr>
          <w:rFonts w:ascii="Calibri" w:hAnsi="Calibri" w:cs="Arial"/>
        </w:rPr>
        <w:t>i</w:t>
      </w:r>
      <w:proofErr w:type="spellEnd"/>
      <w:r w:rsidRPr="00D0420D">
        <w:rPr>
          <w:rFonts w:ascii="Calibri" w:hAnsi="Calibri" w:cs="Arial"/>
        </w:rPr>
        <w:t xml:space="preserve">, </w:t>
      </w:r>
      <w:r w:rsidR="00C41858">
        <w:rPr>
          <w:rFonts w:ascii="Calibri" w:hAnsi="Calibri" w:cs="Arial"/>
        </w:rPr>
        <w:t xml:space="preserve">che è stato ritenuto clinicamente significativo dagli investigatori e riportato come evento avverso severo. </w:t>
      </w:r>
    </w:p>
    <w:p w:rsidR="00D0420D" w:rsidRPr="00D0420D" w:rsidRDefault="00C41858" w:rsidP="00D0420D">
      <w:pPr>
        <w:autoSpaceDE w:val="0"/>
        <w:autoSpaceDN w:val="0"/>
        <w:adjustRightInd w:val="0"/>
        <w:spacing w:after="0" w:line="240" w:lineRule="auto"/>
        <w:jc w:val="both"/>
        <w:rPr>
          <w:rFonts w:ascii="Calibri" w:hAnsi="Calibri"/>
          <w:highlight w:val="yellow"/>
        </w:rPr>
      </w:pPr>
      <w:r w:rsidRPr="00D0420D">
        <w:rPr>
          <w:rFonts w:ascii="Calibri" w:hAnsi="Calibri"/>
          <w:highlight w:val="yellow"/>
        </w:rPr>
        <w:t xml:space="preserve"> </w:t>
      </w:r>
    </w:p>
    <w:p w:rsidR="00C76C0A" w:rsidRPr="00C76C0A" w:rsidRDefault="00C76C0A" w:rsidP="00C76C0A">
      <w:pPr>
        <w:pStyle w:val="Didascalia"/>
        <w:keepNext/>
        <w:spacing w:before="0" w:after="0"/>
        <w:jc w:val="both"/>
        <w:outlineLvl w:val="0"/>
        <w:rPr>
          <w:rFonts w:ascii="Calibri" w:hAnsi="Calibri" w:cs="Arial"/>
          <w:b w:val="0"/>
          <w:sz w:val="22"/>
          <w:szCs w:val="22"/>
          <w:lang w:val="it-IT"/>
        </w:rPr>
      </w:pPr>
      <w:r w:rsidRPr="00C76C0A">
        <w:rPr>
          <w:rFonts w:ascii="Calibri" w:hAnsi="Calibri" w:cs="Arial"/>
          <w:b w:val="0"/>
          <w:i/>
          <w:sz w:val="22"/>
          <w:szCs w:val="22"/>
          <w:lang w:val="it-IT"/>
        </w:rPr>
        <w:t>Parametri farmacocinetici</w:t>
      </w:r>
      <w:r w:rsidRPr="00C76C0A">
        <w:rPr>
          <w:rFonts w:ascii="Calibri" w:hAnsi="Calibri" w:cs="Arial"/>
          <w:b w:val="0"/>
          <w:sz w:val="22"/>
          <w:szCs w:val="22"/>
          <w:lang w:val="it-IT"/>
        </w:rPr>
        <w:t xml:space="preserve">. </w:t>
      </w:r>
    </w:p>
    <w:p w:rsidR="00C76C0A" w:rsidRPr="00C76C0A" w:rsidRDefault="00C76C0A" w:rsidP="00C76C0A">
      <w:pPr>
        <w:pStyle w:val="Didascalia"/>
        <w:keepNext/>
        <w:spacing w:before="0" w:after="0"/>
        <w:jc w:val="both"/>
        <w:outlineLvl w:val="0"/>
        <w:rPr>
          <w:rFonts w:ascii="Calibri" w:hAnsi="Calibri" w:cs="Arial"/>
          <w:b w:val="0"/>
          <w:sz w:val="22"/>
          <w:szCs w:val="22"/>
          <w:lang w:val="it-IT"/>
        </w:rPr>
      </w:pPr>
      <w:r w:rsidRPr="00C76C0A">
        <w:rPr>
          <w:rFonts w:ascii="Calibri" w:hAnsi="Calibri" w:cs="Arial"/>
          <w:b w:val="0"/>
          <w:sz w:val="22"/>
          <w:szCs w:val="22"/>
          <w:lang w:val="it-IT"/>
        </w:rPr>
        <w:t>La sintesi dei risultati dello studio di bioequivalenza è riportata nella tabella che segue.</w:t>
      </w:r>
    </w:p>
    <w:p w:rsidR="00C76C0A" w:rsidRPr="00C76C0A" w:rsidRDefault="00C76C0A" w:rsidP="00C76C0A">
      <w:pPr>
        <w:spacing w:after="0" w:line="240" w:lineRule="auto"/>
      </w:pPr>
    </w:p>
    <w:tbl>
      <w:tblPr>
        <w:tblW w:w="4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223"/>
        <w:gridCol w:w="1794"/>
        <w:gridCol w:w="2052"/>
        <w:gridCol w:w="1950"/>
        <w:gridCol w:w="1936"/>
      </w:tblGrid>
      <w:tr w:rsidR="00C76C0A" w:rsidRPr="00C76C0A" w:rsidTr="00600EB6">
        <w:trPr>
          <w:jc w:val="center"/>
        </w:trPr>
        <w:tc>
          <w:tcPr>
            <w:tcW w:w="8955" w:type="dxa"/>
            <w:gridSpan w:val="5"/>
            <w:vAlign w:val="bottom"/>
          </w:tcPr>
          <w:p w:rsidR="00C76C0A" w:rsidRPr="00C76C0A" w:rsidRDefault="00C76C0A" w:rsidP="00600EB6">
            <w:pPr>
              <w:spacing w:after="0" w:line="240" w:lineRule="auto"/>
              <w:jc w:val="center"/>
              <w:rPr>
                <w:b/>
                <w:sz w:val="20"/>
                <w:szCs w:val="20"/>
              </w:rPr>
            </w:pPr>
            <w:r w:rsidRPr="00C76C0A">
              <w:rPr>
                <w:b/>
                <w:sz w:val="20"/>
                <w:szCs w:val="20"/>
              </w:rPr>
              <w:t xml:space="preserve">PREGABALIN </w:t>
            </w:r>
          </w:p>
        </w:tc>
      </w:tr>
      <w:tr w:rsidR="00C76C0A" w:rsidRPr="00C76C0A" w:rsidTr="00600EB6">
        <w:trPr>
          <w:jc w:val="center"/>
        </w:trPr>
        <w:tc>
          <w:tcPr>
            <w:tcW w:w="1223" w:type="dxa"/>
            <w:vAlign w:val="bottom"/>
          </w:tcPr>
          <w:p w:rsidR="00C76C0A" w:rsidRPr="00C76C0A" w:rsidRDefault="00C76C0A" w:rsidP="00600EB6">
            <w:pPr>
              <w:spacing w:after="0" w:line="240" w:lineRule="auto"/>
              <w:jc w:val="center"/>
              <w:rPr>
                <w:b/>
                <w:sz w:val="20"/>
                <w:szCs w:val="20"/>
              </w:rPr>
            </w:pPr>
            <w:r w:rsidRPr="00C76C0A">
              <w:rPr>
                <w:b/>
                <w:sz w:val="20"/>
                <w:szCs w:val="20"/>
              </w:rPr>
              <w:t>Parametro</w:t>
            </w:r>
          </w:p>
        </w:tc>
        <w:tc>
          <w:tcPr>
            <w:tcW w:w="1794" w:type="dxa"/>
            <w:vAlign w:val="bottom"/>
          </w:tcPr>
          <w:p w:rsidR="00C76C0A" w:rsidRPr="00C76C0A" w:rsidRDefault="00C76C0A" w:rsidP="00600EB6">
            <w:pPr>
              <w:spacing w:after="0" w:line="240" w:lineRule="auto"/>
              <w:jc w:val="center"/>
              <w:rPr>
                <w:b/>
                <w:sz w:val="20"/>
                <w:szCs w:val="20"/>
              </w:rPr>
            </w:pPr>
            <w:r w:rsidRPr="00C76C0A">
              <w:rPr>
                <w:b/>
                <w:sz w:val="20"/>
                <w:szCs w:val="20"/>
              </w:rPr>
              <w:t xml:space="preserve">Test </w:t>
            </w:r>
            <w:r w:rsidRPr="00C76C0A">
              <w:rPr>
                <w:rFonts w:cs="Arial"/>
                <w:b/>
                <w:sz w:val="20"/>
                <w:szCs w:val="20"/>
              </w:rPr>
              <w:t>[LSM]</w:t>
            </w:r>
          </w:p>
        </w:tc>
        <w:tc>
          <w:tcPr>
            <w:tcW w:w="2052" w:type="dxa"/>
            <w:vAlign w:val="bottom"/>
          </w:tcPr>
          <w:p w:rsidR="00C76C0A" w:rsidRPr="00C76C0A" w:rsidRDefault="00C76C0A" w:rsidP="00600EB6">
            <w:pPr>
              <w:spacing w:after="0" w:line="240" w:lineRule="auto"/>
              <w:jc w:val="center"/>
              <w:rPr>
                <w:b/>
                <w:sz w:val="20"/>
                <w:szCs w:val="20"/>
              </w:rPr>
            </w:pPr>
            <w:proofErr w:type="spellStart"/>
            <w:r w:rsidRPr="00C76C0A">
              <w:rPr>
                <w:b/>
                <w:sz w:val="20"/>
                <w:szCs w:val="20"/>
              </w:rPr>
              <w:t>Reference</w:t>
            </w:r>
            <w:proofErr w:type="spellEnd"/>
            <w:r w:rsidRPr="00C76C0A">
              <w:rPr>
                <w:b/>
                <w:sz w:val="20"/>
                <w:szCs w:val="20"/>
              </w:rPr>
              <w:t xml:space="preserve"> </w:t>
            </w:r>
            <w:r w:rsidRPr="00C76C0A">
              <w:rPr>
                <w:rFonts w:cs="Arial"/>
                <w:b/>
                <w:sz w:val="20"/>
                <w:szCs w:val="20"/>
              </w:rPr>
              <w:t>[LSM]</w:t>
            </w:r>
          </w:p>
        </w:tc>
        <w:tc>
          <w:tcPr>
            <w:tcW w:w="1950" w:type="dxa"/>
            <w:vAlign w:val="bottom"/>
          </w:tcPr>
          <w:p w:rsidR="00C76C0A" w:rsidRPr="00C76C0A" w:rsidRDefault="00C76C0A" w:rsidP="00600EB6">
            <w:pPr>
              <w:spacing w:after="0" w:line="240" w:lineRule="auto"/>
              <w:jc w:val="center"/>
              <w:rPr>
                <w:b/>
                <w:sz w:val="20"/>
                <w:szCs w:val="20"/>
              </w:rPr>
            </w:pPr>
            <w:r w:rsidRPr="00C76C0A">
              <w:rPr>
                <w:b/>
                <w:sz w:val="20"/>
                <w:szCs w:val="20"/>
              </w:rPr>
              <w:t xml:space="preserve">T/R </w:t>
            </w:r>
            <w:proofErr w:type="spellStart"/>
            <w:r w:rsidRPr="00C76C0A">
              <w:rPr>
                <w:b/>
                <w:sz w:val="20"/>
                <w:szCs w:val="20"/>
              </w:rPr>
              <w:t>Ratio</w:t>
            </w:r>
            <w:proofErr w:type="spellEnd"/>
          </w:p>
        </w:tc>
        <w:tc>
          <w:tcPr>
            <w:tcW w:w="1936" w:type="dxa"/>
            <w:vAlign w:val="bottom"/>
          </w:tcPr>
          <w:p w:rsidR="00C76C0A" w:rsidRPr="00C76C0A" w:rsidRDefault="00C76C0A" w:rsidP="00600EB6">
            <w:pPr>
              <w:spacing w:after="0" w:line="240" w:lineRule="auto"/>
              <w:jc w:val="center"/>
              <w:rPr>
                <w:b/>
                <w:sz w:val="20"/>
                <w:szCs w:val="20"/>
              </w:rPr>
            </w:pPr>
            <w:r w:rsidRPr="00C76C0A">
              <w:rPr>
                <w:b/>
                <w:sz w:val="20"/>
                <w:szCs w:val="20"/>
              </w:rPr>
              <w:t>90% C.I.</w:t>
            </w:r>
          </w:p>
        </w:tc>
      </w:tr>
      <w:tr w:rsidR="00C41858" w:rsidRPr="00C76C0A" w:rsidTr="00600EB6">
        <w:trPr>
          <w:trHeight w:hRule="exact" w:val="284"/>
          <w:jc w:val="center"/>
        </w:trPr>
        <w:tc>
          <w:tcPr>
            <w:tcW w:w="1223" w:type="dxa"/>
          </w:tcPr>
          <w:p w:rsidR="00C41858" w:rsidRPr="00C76C0A" w:rsidRDefault="00C41858" w:rsidP="00600EB6">
            <w:pPr>
              <w:spacing w:after="0" w:line="240" w:lineRule="auto"/>
              <w:jc w:val="center"/>
              <w:rPr>
                <w:b/>
                <w:sz w:val="20"/>
                <w:szCs w:val="20"/>
              </w:rPr>
            </w:pPr>
            <w:r w:rsidRPr="00C76C0A">
              <w:rPr>
                <w:b/>
                <w:sz w:val="20"/>
                <w:szCs w:val="20"/>
              </w:rPr>
              <w:t>AUC</w:t>
            </w:r>
            <w:r w:rsidRPr="00C76C0A">
              <w:rPr>
                <w:b/>
                <w:sz w:val="20"/>
                <w:szCs w:val="20"/>
                <w:vertAlign w:val="subscript"/>
              </w:rPr>
              <w:t>0-t</w:t>
            </w:r>
          </w:p>
        </w:tc>
        <w:tc>
          <w:tcPr>
            <w:tcW w:w="1794" w:type="dxa"/>
            <w:vAlign w:val="bottom"/>
          </w:tcPr>
          <w:p w:rsidR="00C41858" w:rsidRPr="00CF6049" w:rsidRDefault="00C41858" w:rsidP="00600EB6">
            <w:pPr>
              <w:jc w:val="center"/>
              <w:rPr>
                <w:rFonts w:ascii="Calibri" w:hAnsi="Calibri" w:cs="Arial"/>
              </w:rPr>
            </w:pPr>
            <w:r w:rsidRPr="00CF6049">
              <w:rPr>
                <w:rFonts w:ascii="Calibri" w:eastAsia="MS Mincho" w:hAnsi="Calibri" w:cs="Helvetica"/>
                <w:lang w:eastAsia="ja-JP"/>
              </w:rPr>
              <w:t>9095.3</w:t>
            </w:r>
          </w:p>
        </w:tc>
        <w:tc>
          <w:tcPr>
            <w:tcW w:w="2052" w:type="dxa"/>
            <w:vAlign w:val="bottom"/>
          </w:tcPr>
          <w:p w:rsidR="00C41858" w:rsidRPr="00CF6049" w:rsidRDefault="00C41858" w:rsidP="00600EB6">
            <w:pPr>
              <w:jc w:val="center"/>
              <w:rPr>
                <w:rFonts w:ascii="Calibri" w:hAnsi="Calibri" w:cs="Arial"/>
              </w:rPr>
            </w:pPr>
            <w:r w:rsidRPr="00CF6049">
              <w:rPr>
                <w:rFonts w:ascii="Calibri" w:hAnsi="Calibri" w:cs="Arial"/>
                <w:lang w:eastAsia="it-IT"/>
              </w:rPr>
              <w:t>9043.1</w:t>
            </w:r>
          </w:p>
        </w:tc>
        <w:tc>
          <w:tcPr>
            <w:tcW w:w="1950" w:type="dxa"/>
            <w:vAlign w:val="bottom"/>
          </w:tcPr>
          <w:p w:rsidR="00C41858" w:rsidRPr="00CF6049" w:rsidRDefault="00C41858" w:rsidP="00600EB6">
            <w:pPr>
              <w:jc w:val="center"/>
              <w:rPr>
                <w:rFonts w:ascii="Calibri" w:hAnsi="Calibri" w:cs="Arial"/>
              </w:rPr>
            </w:pPr>
            <w:r w:rsidRPr="00CF6049">
              <w:rPr>
                <w:rFonts w:ascii="Calibri" w:hAnsi="Calibri" w:cs="Arial"/>
              </w:rPr>
              <w:t>100.58</w:t>
            </w:r>
          </w:p>
        </w:tc>
        <w:tc>
          <w:tcPr>
            <w:tcW w:w="1936" w:type="dxa"/>
            <w:vAlign w:val="bottom"/>
          </w:tcPr>
          <w:p w:rsidR="00C41858" w:rsidRPr="00CF6049" w:rsidRDefault="00C41858" w:rsidP="00600EB6">
            <w:pPr>
              <w:jc w:val="center"/>
              <w:rPr>
                <w:rFonts w:ascii="Calibri" w:hAnsi="Calibri" w:cs="Arial"/>
              </w:rPr>
            </w:pPr>
            <w:r w:rsidRPr="00CF6049">
              <w:rPr>
                <w:rFonts w:ascii="Calibri" w:hAnsi="Calibri" w:cs="Arial"/>
              </w:rPr>
              <w:t>97.55 – 103.69</w:t>
            </w:r>
          </w:p>
        </w:tc>
      </w:tr>
      <w:tr w:rsidR="00C41858" w:rsidRPr="00C76C0A" w:rsidTr="00600EB6">
        <w:trPr>
          <w:trHeight w:hRule="exact" w:val="284"/>
          <w:jc w:val="center"/>
        </w:trPr>
        <w:tc>
          <w:tcPr>
            <w:tcW w:w="1223" w:type="dxa"/>
          </w:tcPr>
          <w:p w:rsidR="00C41858" w:rsidRPr="00C76C0A" w:rsidRDefault="00C41858" w:rsidP="00600EB6">
            <w:pPr>
              <w:spacing w:after="0" w:line="240" w:lineRule="auto"/>
              <w:jc w:val="center"/>
              <w:rPr>
                <w:b/>
                <w:sz w:val="20"/>
                <w:szCs w:val="20"/>
              </w:rPr>
            </w:pPr>
            <w:r w:rsidRPr="00C76C0A">
              <w:rPr>
                <w:b/>
                <w:sz w:val="20"/>
                <w:szCs w:val="20"/>
              </w:rPr>
              <w:t>AUC</w:t>
            </w:r>
            <w:r w:rsidRPr="00C76C0A">
              <w:rPr>
                <w:b/>
                <w:sz w:val="20"/>
                <w:szCs w:val="20"/>
                <w:vertAlign w:val="subscript"/>
              </w:rPr>
              <w:t>0-∞</w:t>
            </w:r>
          </w:p>
        </w:tc>
        <w:tc>
          <w:tcPr>
            <w:tcW w:w="1794" w:type="dxa"/>
            <w:vAlign w:val="bottom"/>
          </w:tcPr>
          <w:p w:rsidR="00C41858" w:rsidRPr="00CF6049" w:rsidRDefault="00C41858" w:rsidP="00600EB6">
            <w:pPr>
              <w:jc w:val="center"/>
              <w:rPr>
                <w:rFonts w:ascii="Calibri" w:hAnsi="Calibri" w:cs="Arial"/>
              </w:rPr>
            </w:pPr>
            <w:r w:rsidRPr="00CF6049">
              <w:rPr>
                <w:rFonts w:ascii="Calibri" w:hAnsi="Calibri" w:cs="Arial"/>
              </w:rPr>
              <w:t>-</w:t>
            </w:r>
          </w:p>
        </w:tc>
        <w:tc>
          <w:tcPr>
            <w:tcW w:w="2052" w:type="dxa"/>
            <w:vAlign w:val="bottom"/>
          </w:tcPr>
          <w:p w:rsidR="00C41858" w:rsidRPr="00CF6049" w:rsidRDefault="00C41858" w:rsidP="00600EB6">
            <w:pPr>
              <w:jc w:val="center"/>
              <w:rPr>
                <w:rFonts w:ascii="Calibri" w:hAnsi="Calibri" w:cs="Arial"/>
              </w:rPr>
            </w:pPr>
            <w:r w:rsidRPr="00CF6049">
              <w:rPr>
                <w:rFonts w:ascii="Calibri" w:hAnsi="Calibri" w:cs="Arial"/>
              </w:rPr>
              <w:t>-</w:t>
            </w:r>
          </w:p>
        </w:tc>
        <w:tc>
          <w:tcPr>
            <w:tcW w:w="1950" w:type="dxa"/>
            <w:vAlign w:val="bottom"/>
          </w:tcPr>
          <w:p w:rsidR="00C41858" w:rsidRPr="00CF6049" w:rsidRDefault="00C41858" w:rsidP="00600EB6">
            <w:pPr>
              <w:jc w:val="center"/>
              <w:rPr>
                <w:rFonts w:ascii="Calibri" w:hAnsi="Calibri" w:cs="Arial"/>
              </w:rPr>
            </w:pPr>
            <w:r w:rsidRPr="00CF6049">
              <w:rPr>
                <w:rFonts w:ascii="Calibri" w:hAnsi="Calibri" w:cs="Arial"/>
              </w:rPr>
              <w:t>100.36</w:t>
            </w:r>
          </w:p>
        </w:tc>
        <w:tc>
          <w:tcPr>
            <w:tcW w:w="1936" w:type="dxa"/>
            <w:vAlign w:val="bottom"/>
          </w:tcPr>
          <w:p w:rsidR="00C41858" w:rsidRPr="00CF6049" w:rsidRDefault="00C41858" w:rsidP="00600EB6">
            <w:pPr>
              <w:jc w:val="center"/>
              <w:rPr>
                <w:rFonts w:ascii="Calibri" w:hAnsi="Calibri" w:cs="Arial"/>
              </w:rPr>
            </w:pPr>
            <w:r w:rsidRPr="00CF6049">
              <w:rPr>
                <w:rFonts w:ascii="Calibri" w:hAnsi="Calibri" w:cs="Arial"/>
              </w:rPr>
              <w:t>97.63 – 103.16</w:t>
            </w:r>
          </w:p>
        </w:tc>
      </w:tr>
      <w:tr w:rsidR="00C41858" w:rsidRPr="00C76C0A" w:rsidTr="00600EB6">
        <w:trPr>
          <w:trHeight w:hRule="exact" w:val="284"/>
          <w:jc w:val="center"/>
        </w:trPr>
        <w:tc>
          <w:tcPr>
            <w:tcW w:w="1223" w:type="dxa"/>
          </w:tcPr>
          <w:p w:rsidR="00C41858" w:rsidRPr="00C76C0A" w:rsidRDefault="00C41858" w:rsidP="00600EB6">
            <w:pPr>
              <w:spacing w:after="0" w:line="240" w:lineRule="auto"/>
              <w:jc w:val="center"/>
              <w:rPr>
                <w:b/>
                <w:sz w:val="20"/>
                <w:szCs w:val="20"/>
              </w:rPr>
            </w:pPr>
            <w:proofErr w:type="spellStart"/>
            <w:r w:rsidRPr="00C76C0A">
              <w:rPr>
                <w:b/>
                <w:sz w:val="20"/>
                <w:szCs w:val="20"/>
              </w:rPr>
              <w:t>C</w:t>
            </w:r>
            <w:r w:rsidRPr="00C76C0A">
              <w:rPr>
                <w:b/>
                <w:sz w:val="20"/>
                <w:szCs w:val="20"/>
                <w:vertAlign w:val="subscript"/>
              </w:rPr>
              <w:t>max</w:t>
            </w:r>
            <w:proofErr w:type="spellEnd"/>
          </w:p>
        </w:tc>
        <w:tc>
          <w:tcPr>
            <w:tcW w:w="1794" w:type="dxa"/>
            <w:vAlign w:val="bottom"/>
          </w:tcPr>
          <w:p w:rsidR="00C41858" w:rsidRPr="00CF6049" w:rsidRDefault="00C41858" w:rsidP="00600EB6">
            <w:pPr>
              <w:jc w:val="center"/>
              <w:rPr>
                <w:rFonts w:ascii="Calibri" w:hAnsi="Calibri" w:cs="Arial"/>
              </w:rPr>
            </w:pPr>
            <w:r w:rsidRPr="00CF6049">
              <w:rPr>
                <w:rFonts w:ascii="Calibri" w:eastAsia="MS Mincho" w:hAnsi="Calibri" w:cs="Helvetica"/>
                <w:lang w:eastAsia="ja-JP"/>
              </w:rPr>
              <w:t>1407.5</w:t>
            </w:r>
          </w:p>
        </w:tc>
        <w:tc>
          <w:tcPr>
            <w:tcW w:w="2052" w:type="dxa"/>
            <w:vAlign w:val="bottom"/>
          </w:tcPr>
          <w:p w:rsidR="00C41858" w:rsidRPr="00CF6049" w:rsidRDefault="00C41858" w:rsidP="00600EB6">
            <w:pPr>
              <w:jc w:val="center"/>
              <w:rPr>
                <w:rFonts w:ascii="Calibri" w:hAnsi="Calibri" w:cs="Arial"/>
              </w:rPr>
            </w:pPr>
            <w:r w:rsidRPr="00CF6049">
              <w:rPr>
                <w:rFonts w:ascii="Calibri" w:hAnsi="Calibri" w:cs="Arial"/>
                <w:lang w:eastAsia="it-IT"/>
              </w:rPr>
              <w:t>1438.8</w:t>
            </w:r>
          </w:p>
        </w:tc>
        <w:tc>
          <w:tcPr>
            <w:tcW w:w="1950" w:type="dxa"/>
            <w:vAlign w:val="bottom"/>
          </w:tcPr>
          <w:p w:rsidR="00C41858" w:rsidRPr="00CF6049" w:rsidRDefault="00C41858" w:rsidP="00600EB6">
            <w:pPr>
              <w:jc w:val="center"/>
              <w:rPr>
                <w:rFonts w:ascii="Calibri" w:hAnsi="Calibri" w:cs="Arial"/>
              </w:rPr>
            </w:pPr>
            <w:r w:rsidRPr="00CF6049">
              <w:rPr>
                <w:rFonts w:ascii="Calibri" w:hAnsi="Calibri" w:cs="Arial"/>
              </w:rPr>
              <w:t>97.83</w:t>
            </w:r>
          </w:p>
        </w:tc>
        <w:tc>
          <w:tcPr>
            <w:tcW w:w="1936" w:type="dxa"/>
            <w:vAlign w:val="bottom"/>
          </w:tcPr>
          <w:p w:rsidR="00C41858" w:rsidRPr="00CF6049" w:rsidRDefault="00C41858" w:rsidP="00600EB6">
            <w:pPr>
              <w:jc w:val="center"/>
              <w:rPr>
                <w:rFonts w:ascii="Calibri" w:hAnsi="Calibri" w:cs="Arial"/>
              </w:rPr>
            </w:pPr>
            <w:r w:rsidRPr="00CF6049">
              <w:rPr>
                <w:rFonts w:ascii="Calibri" w:hAnsi="Calibri" w:cs="Arial"/>
              </w:rPr>
              <w:t>91.49 – 104.59</w:t>
            </w:r>
          </w:p>
        </w:tc>
      </w:tr>
    </w:tbl>
    <w:p w:rsidR="00C76C0A" w:rsidRPr="00C76C0A" w:rsidRDefault="00C76C0A" w:rsidP="00C76C0A">
      <w:pPr>
        <w:spacing w:after="0" w:line="240" w:lineRule="auto"/>
      </w:pPr>
    </w:p>
    <w:p w:rsidR="00AB54C2" w:rsidRPr="00C76C0A" w:rsidRDefault="00AB54C2" w:rsidP="00DF53AE">
      <w:pPr>
        <w:spacing w:after="0" w:line="240" w:lineRule="auto"/>
        <w:rPr>
          <w:rFonts w:cs="Arial"/>
        </w:rPr>
      </w:pPr>
      <w:r w:rsidRPr="00C76C0A">
        <w:rPr>
          <w:rFonts w:cs="Arial"/>
          <w:i/>
        </w:rPr>
        <w:t>Conclusioni sulla bioequivalenza</w:t>
      </w:r>
      <w:r w:rsidRPr="00C76C0A">
        <w:rPr>
          <w:rFonts w:cs="Arial"/>
        </w:rPr>
        <w:t>.</w:t>
      </w:r>
    </w:p>
    <w:p w:rsidR="00AB54C2" w:rsidRPr="00D1324F" w:rsidRDefault="00AB54C2" w:rsidP="00DF53AE">
      <w:pPr>
        <w:spacing w:after="0" w:line="240" w:lineRule="auto"/>
        <w:jc w:val="both"/>
        <w:rPr>
          <w:rFonts w:cs="Arial"/>
        </w:rPr>
      </w:pPr>
      <w:r w:rsidRPr="00C76C0A">
        <w:rPr>
          <w:rFonts w:cs="Arial"/>
        </w:rPr>
        <w:t xml:space="preserve">I risultati degli studi di bioequivalenza mostrano che gli intervalli di confidenza dei parametri farmacocinetici studiati cadono nel </w:t>
      </w:r>
      <w:proofErr w:type="spellStart"/>
      <w:r w:rsidRPr="00C76C0A">
        <w:rPr>
          <w:rFonts w:cs="Arial"/>
        </w:rPr>
        <w:t>range</w:t>
      </w:r>
      <w:proofErr w:type="spellEnd"/>
      <w:r w:rsidRPr="00C76C0A">
        <w:rPr>
          <w:rFonts w:cs="Arial"/>
        </w:rPr>
        <w:t xml:space="preserve"> di accettabilità di 80-125%, in accordo con le linee guida correnti.</w:t>
      </w:r>
    </w:p>
    <w:p w:rsidR="001D08F6" w:rsidRPr="00D1324F" w:rsidRDefault="001D08F6" w:rsidP="00DF53AE">
      <w:pPr>
        <w:spacing w:after="0" w:line="240" w:lineRule="auto"/>
        <w:jc w:val="both"/>
        <w:rPr>
          <w:rFonts w:cs="Arial"/>
        </w:rPr>
      </w:pPr>
    </w:p>
    <w:p w:rsidR="00AB54C2" w:rsidRPr="000B3C59" w:rsidRDefault="00AB54C2" w:rsidP="00DF53AE">
      <w:pPr>
        <w:spacing w:after="0" w:line="240" w:lineRule="auto"/>
        <w:jc w:val="both"/>
        <w:rPr>
          <w:rFonts w:cs="Arial"/>
          <w:b/>
        </w:rPr>
      </w:pPr>
      <w:r w:rsidRPr="000B3C59">
        <w:rPr>
          <w:rFonts w:cs="Arial"/>
          <w:b/>
        </w:rPr>
        <w:t>Efficacia e sicurezza clinica</w:t>
      </w:r>
    </w:p>
    <w:p w:rsidR="00AB54C2" w:rsidRPr="00D1324F" w:rsidRDefault="00AB54C2" w:rsidP="002453A6">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281788">
        <w:rPr>
          <w:rFonts w:cs="Arial"/>
        </w:rPr>
        <w:t>Regalbax</w:t>
      </w:r>
      <w:proofErr w:type="spellEnd"/>
      <w:r w:rsidR="00B9671B">
        <w:rPr>
          <w:rFonts w:cs="Arial"/>
        </w:rPr>
        <w:t xml:space="preserve"> </w:t>
      </w:r>
      <w:r>
        <w:rPr>
          <w:rFonts w:cs="Arial"/>
        </w:rPr>
        <w:t xml:space="preserve">è ben conosciuto. </w:t>
      </w:r>
    </w:p>
    <w:p w:rsidR="00AB54C2" w:rsidRDefault="00AB54C2" w:rsidP="002453A6">
      <w:pPr>
        <w:pStyle w:val="Paragrafoelenco"/>
        <w:spacing w:after="0" w:line="240" w:lineRule="auto"/>
        <w:ind w:left="0"/>
        <w:jc w:val="both"/>
      </w:pPr>
    </w:p>
    <w:p w:rsidR="00AB54C2" w:rsidRPr="00D1324F" w:rsidRDefault="00AB54C2" w:rsidP="002453A6">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AB54C2" w:rsidRPr="00D1324F" w:rsidRDefault="00AB54C2" w:rsidP="002453A6">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rsidR="00281788">
        <w:t>Regalbax</w:t>
      </w:r>
      <w:proofErr w:type="spellEnd"/>
      <w:r w:rsidRPr="00D1324F">
        <w:t>.</w:t>
      </w:r>
    </w:p>
    <w:p w:rsidR="003762D3" w:rsidRDefault="003762D3" w:rsidP="002453A6">
      <w:pPr>
        <w:pStyle w:val="Paragrafoelenco"/>
        <w:spacing w:after="0" w:line="240" w:lineRule="auto"/>
        <w:ind w:left="0"/>
        <w:jc w:val="both"/>
      </w:pPr>
      <w:r>
        <w:lastRenderedPageBreak/>
        <w:t>Il riassunto delle problematiche di sicurezza è riportato nella tabella seguente.</w:t>
      </w:r>
    </w:p>
    <w:p w:rsidR="00824095" w:rsidRDefault="00824095" w:rsidP="002453A6">
      <w:pPr>
        <w:pStyle w:val="Paragrafoelenco"/>
        <w:spacing w:after="0" w:line="240" w:lineRule="auto"/>
        <w:ind w:left="0"/>
        <w:jc w:val="both"/>
      </w:pPr>
    </w:p>
    <w:tbl>
      <w:tblPr>
        <w:tblStyle w:val="Grigliatabella"/>
        <w:tblW w:w="8330" w:type="dxa"/>
        <w:jc w:val="center"/>
        <w:tblLook w:val="04A0"/>
      </w:tblPr>
      <w:tblGrid>
        <w:gridCol w:w="3369"/>
        <w:gridCol w:w="4961"/>
      </w:tblGrid>
      <w:tr w:rsidR="00BA0A19" w:rsidRPr="00DF53AE" w:rsidTr="00BA0A19">
        <w:trPr>
          <w:jc w:val="center"/>
        </w:trPr>
        <w:tc>
          <w:tcPr>
            <w:tcW w:w="3369" w:type="dxa"/>
            <w:tcBorders>
              <w:top w:val="single" w:sz="4" w:space="0" w:color="auto"/>
              <w:left w:val="single" w:sz="4" w:space="0" w:color="auto"/>
              <w:bottom w:val="single" w:sz="4" w:space="0" w:color="auto"/>
              <w:right w:val="single" w:sz="4" w:space="0" w:color="auto"/>
            </w:tcBorders>
            <w:hideMark/>
          </w:tcPr>
          <w:p w:rsidR="00BA0A19" w:rsidRPr="0027535F" w:rsidRDefault="00BA0A19">
            <w:pPr>
              <w:pStyle w:val="Paragrafoelenco"/>
              <w:ind w:left="0"/>
              <w:rPr>
                <w:sz w:val="20"/>
                <w:szCs w:val="20"/>
              </w:rPr>
            </w:pPr>
            <w:r w:rsidRPr="0027535F">
              <w:rPr>
                <w:sz w:val="20"/>
                <w:szCs w:val="20"/>
              </w:rPr>
              <w:t>Rischi identificati importanti</w:t>
            </w:r>
          </w:p>
        </w:tc>
        <w:tc>
          <w:tcPr>
            <w:tcW w:w="4961" w:type="dxa"/>
            <w:tcBorders>
              <w:top w:val="single" w:sz="4" w:space="0" w:color="auto"/>
              <w:left w:val="single" w:sz="4" w:space="0" w:color="auto"/>
              <w:bottom w:val="single" w:sz="4" w:space="0" w:color="auto"/>
              <w:right w:val="single" w:sz="4" w:space="0" w:color="auto"/>
            </w:tcBorders>
            <w:hideMark/>
          </w:tcPr>
          <w:p w:rsidR="0027535F" w:rsidRPr="0027535F" w:rsidRDefault="0027535F" w:rsidP="0027535F">
            <w:pPr>
              <w:autoSpaceDE w:val="0"/>
              <w:autoSpaceDN w:val="0"/>
              <w:adjustRightInd w:val="0"/>
              <w:rPr>
                <w:rFonts w:cs="Times New Roman"/>
                <w:sz w:val="20"/>
                <w:szCs w:val="20"/>
              </w:rPr>
            </w:pPr>
            <w:r w:rsidRPr="0027535F">
              <w:rPr>
                <w:rFonts w:cs="Times New Roman"/>
                <w:sz w:val="20"/>
                <w:szCs w:val="20"/>
              </w:rPr>
              <w:t>Aumento di peso</w:t>
            </w:r>
          </w:p>
          <w:p w:rsidR="0027535F" w:rsidRPr="0027535F" w:rsidRDefault="0027535F" w:rsidP="0027535F">
            <w:pPr>
              <w:autoSpaceDE w:val="0"/>
              <w:autoSpaceDN w:val="0"/>
              <w:adjustRightInd w:val="0"/>
              <w:rPr>
                <w:rFonts w:cs="Times New Roman"/>
                <w:sz w:val="20"/>
                <w:szCs w:val="20"/>
              </w:rPr>
            </w:pPr>
            <w:r w:rsidRPr="0027535F">
              <w:rPr>
                <w:rFonts w:cs="Times New Roman"/>
                <w:sz w:val="20"/>
                <w:szCs w:val="20"/>
              </w:rPr>
              <w:t>Edema periferico ed eventi correlate all’edema</w:t>
            </w:r>
          </w:p>
          <w:p w:rsidR="0027535F" w:rsidRDefault="0027535F" w:rsidP="0027535F">
            <w:pPr>
              <w:autoSpaceDE w:val="0"/>
              <w:autoSpaceDN w:val="0"/>
              <w:adjustRightInd w:val="0"/>
              <w:rPr>
                <w:rFonts w:ascii="Calibri" w:hAnsi="Calibri"/>
                <w:sz w:val="20"/>
              </w:rPr>
            </w:pPr>
            <w:r>
              <w:rPr>
                <w:rFonts w:ascii="Calibri" w:hAnsi="Calibri"/>
                <w:sz w:val="20"/>
              </w:rPr>
              <w:t>C</w:t>
            </w:r>
            <w:r w:rsidRPr="009C6D91">
              <w:rPr>
                <w:rFonts w:ascii="Calibri" w:hAnsi="Calibri"/>
                <w:sz w:val="20"/>
              </w:rPr>
              <w:t>apogiri</w:t>
            </w:r>
            <w:r>
              <w:rPr>
                <w:rFonts w:ascii="Calibri" w:hAnsi="Calibri"/>
                <w:sz w:val="20"/>
              </w:rPr>
              <w:t xml:space="preserve">, sonnolenza, </w:t>
            </w:r>
            <w:r w:rsidRPr="009C6D91">
              <w:rPr>
                <w:rFonts w:ascii="Calibri" w:hAnsi="Calibri"/>
                <w:sz w:val="20"/>
              </w:rPr>
              <w:t xml:space="preserve">rischio di lesioni accidentali (cadute). </w:t>
            </w:r>
            <w:r w:rsidRPr="009C6D91">
              <w:rPr>
                <w:rFonts w:ascii="Calibri" w:hAnsi="Calibri"/>
                <w:iCs/>
                <w:sz w:val="20"/>
              </w:rPr>
              <w:t xml:space="preserve"> </w:t>
            </w:r>
          </w:p>
          <w:p w:rsidR="0027535F" w:rsidRDefault="0027535F" w:rsidP="0027535F">
            <w:pPr>
              <w:autoSpaceDE w:val="0"/>
              <w:autoSpaceDN w:val="0"/>
              <w:adjustRightInd w:val="0"/>
              <w:rPr>
                <w:rFonts w:ascii="Calibri" w:hAnsi="Calibri"/>
                <w:sz w:val="20"/>
              </w:rPr>
            </w:pPr>
            <w:r>
              <w:rPr>
                <w:rFonts w:ascii="Calibri" w:hAnsi="Calibri"/>
                <w:sz w:val="20"/>
              </w:rPr>
              <w:t>P</w:t>
            </w:r>
            <w:r w:rsidRPr="009C6D91">
              <w:rPr>
                <w:rFonts w:ascii="Calibri" w:hAnsi="Calibri"/>
                <w:sz w:val="20"/>
              </w:rPr>
              <w:t xml:space="preserve">erdita di conoscenza, confusione e compromissione mentale. </w:t>
            </w:r>
          </w:p>
          <w:p w:rsidR="0027535F" w:rsidRPr="0027535F" w:rsidRDefault="0027535F" w:rsidP="0027535F">
            <w:pPr>
              <w:autoSpaceDE w:val="0"/>
              <w:autoSpaceDN w:val="0"/>
              <w:adjustRightInd w:val="0"/>
              <w:rPr>
                <w:rFonts w:cs="Times New Roman"/>
                <w:sz w:val="20"/>
                <w:szCs w:val="20"/>
              </w:rPr>
            </w:pPr>
            <w:r w:rsidRPr="0027535F">
              <w:rPr>
                <w:rFonts w:cs="Times New Roman"/>
                <w:sz w:val="20"/>
                <w:szCs w:val="20"/>
              </w:rPr>
              <w:t>Eventi correlate alla sospensione del trattamento</w:t>
            </w:r>
          </w:p>
          <w:p w:rsidR="0027535F" w:rsidRPr="0027535F" w:rsidRDefault="0027535F" w:rsidP="0027535F">
            <w:pPr>
              <w:autoSpaceDE w:val="0"/>
              <w:autoSpaceDN w:val="0"/>
              <w:adjustRightInd w:val="0"/>
              <w:rPr>
                <w:rFonts w:cs="Times New Roman"/>
                <w:sz w:val="20"/>
                <w:szCs w:val="20"/>
              </w:rPr>
            </w:pPr>
            <w:r w:rsidRPr="0027535F">
              <w:rPr>
                <w:rFonts w:cs="Times New Roman"/>
                <w:sz w:val="20"/>
                <w:szCs w:val="20"/>
              </w:rPr>
              <w:t>Interazioni con altri farmaci (</w:t>
            </w:r>
            <w:proofErr w:type="spellStart"/>
            <w:r w:rsidRPr="0027535F">
              <w:rPr>
                <w:rFonts w:cs="Times New Roman"/>
                <w:sz w:val="20"/>
                <w:szCs w:val="20"/>
              </w:rPr>
              <w:t>lorazepam</w:t>
            </w:r>
            <w:proofErr w:type="spellEnd"/>
            <w:r w:rsidRPr="0027535F">
              <w:rPr>
                <w:rFonts w:cs="Times New Roman"/>
                <w:sz w:val="20"/>
                <w:szCs w:val="20"/>
              </w:rPr>
              <w:t>, etanol</w:t>
            </w:r>
            <w:r>
              <w:rPr>
                <w:rFonts w:cs="Times New Roman"/>
                <w:sz w:val="20"/>
                <w:szCs w:val="20"/>
              </w:rPr>
              <w:t>o</w:t>
            </w:r>
            <w:r w:rsidRPr="0027535F">
              <w:rPr>
                <w:rFonts w:cs="Times New Roman"/>
                <w:sz w:val="20"/>
                <w:szCs w:val="20"/>
              </w:rPr>
              <w:t xml:space="preserve">, </w:t>
            </w:r>
            <w:r>
              <w:rPr>
                <w:rFonts w:cs="Times New Roman"/>
                <w:sz w:val="20"/>
                <w:szCs w:val="20"/>
              </w:rPr>
              <w:t>e depressivi del sistema nervoso centrale</w:t>
            </w:r>
            <w:r w:rsidRPr="0027535F">
              <w:rPr>
                <w:rFonts w:cs="Times New Roman"/>
                <w:sz w:val="20"/>
                <w:szCs w:val="20"/>
              </w:rPr>
              <w:t>)</w:t>
            </w:r>
          </w:p>
          <w:p w:rsidR="0027535F" w:rsidRPr="0027535F" w:rsidRDefault="0027535F" w:rsidP="0027535F">
            <w:pPr>
              <w:autoSpaceDE w:val="0"/>
              <w:autoSpaceDN w:val="0"/>
              <w:adjustRightInd w:val="0"/>
              <w:rPr>
                <w:rFonts w:cs="Times New Roman"/>
                <w:sz w:val="20"/>
                <w:szCs w:val="20"/>
              </w:rPr>
            </w:pPr>
            <w:r w:rsidRPr="0027535F">
              <w:rPr>
                <w:rFonts w:cs="Times New Roman"/>
                <w:sz w:val="20"/>
                <w:szCs w:val="20"/>
              </w:rPr>
              <w:t>Euforia</w:t>
            </w:r>
          </w:p>
          <w:p w:rsidR="0027535F" w:rsidRPr="0027535F" w:rsidRDefault="0027535F" w:rsidP="0027535F">
            <w:pPr>
              <w:autoSpaceDE w:val="0"/>
              <w:autoSpaceDN w:val="0"/>
              <w:adjustRightInd w:val="0"/>
              <w:rPr>
                <w:rFonts w:cs="Times New Roman"/>
                <w:sz w:val="20"/>
                <w:szCs w:val="20"/>
              </w:rPr>
            </w:pPr>
            <w:r w:rsidRPr="0027535F">
              <w:rPr>
                <w:rFonts w:cs="Times New Roman"/>
                <w:sz w:val="20"/>
                <w:szCs w:val="20"/>
              </w:rPr>
              <w:t>Ipersensibilità e reazioni allergiche</w:t>
            </w:r>
          </w:p>
          <w:p w:rsidR="0027535F" w:rsidRPr="0027535F" w:rsidRDefault="007171C4" w:rsidP="0027535F">
            <w:pPr>
              <w:autoSpaceDE w:val="0"/>
              <w:autoSpaceDN w:val="0"/>
              <w:adjustRightInd w:val="0"/>
              <w:rPr>
                <w:rFonts w:cs="Times New Roman"/>
                <w:sz w:val="20"/>
                <w:szCs w:val="20"/>
              </w:rPr>
            </w:pPr>
            <w:r>
              <w:rPr>
                <w:rFonts w:cs="Times New Roman"/>
                <w:sz w:val="20"/>
                <w:szCs w:val="20"/>
              </w:rPr>
              <w:t>Insufficienza cardiaca congestizia</w:t>
            </w:r>
          </w:p>
          <w:p w:rsidR="00BB12F3" w:rsidRPr="007171C4" w:rsidRDefault="007171C4" w:rsidP="007171C4">
            <w:pPr>
              <w:pStyle w:val="Paragrafoelenco"/>
              <w:ind w:left="0"/>
              <w:jc w:val="both"/>
              <w:rPr>
                <w:sz w:val="20"/>
                <w:szCs w:val="20"/>
              </w:rPr>
            </w:pPr>
            <w:r>
              <w:rPr>
                <w:rFonts w:ascii="Calibri" w:hAnsi="Calibri"/>
                <w:sz w:val="20"/>
              </w:rPr>
              <w:t>Offuscamento della vista (</w:t>
            </w:r>
            <w:r w:rsidRPr="009C6D91">
              <w:rPr>
                <w:rFonts w:ascii="Calibri" w:hAnsi="Calibri"/>
                <w:sz w:val="20"/>
              </w:rPr>
              <w:t>riduzione dell’acuità visiva</w:t>
            </w:r>
            <w:r>
              <w:rPr>
                <w:rFonts w:ascii="Calibri" w:hAnsi="Calibri"/>
                <w:sz w:val="20"/>
              </w:rPr>
              <w:t xml:space="preserve">, </w:t>
            </w:r>
            <w:r w:rsidRPr="009C6D91">
              <w:rPr>
                <w:rFonts w:ascii="Calibri" w:hAnsi="Calibri"/>
                <w:sz w:val="20"/>
              </w:rPr>
              <w:t xml:space="preserve"> alterazioni del campo visivo</w:t>
            </w:r>
            <w:r>
              <w:rPr>
                <w:rFonts w:ascii="Calibri" w:hAnsi="Calibri"/>
                <w:sz w:val="20"/>
              </w:rPr>
              <w:t>)</w:t>
            </w:r>
          </w:p>
        </w:tc>
      </w:tr>
      <w:tr w:rsidR="00BA0A19" w:rsidRPr="007171C4" w:rsidTr="00BA0A19">
        <w:trPr>
          <w:jc w:val="center"/>
        </w:trPr>
        <w:tc>
          <w:tcPr>
            <w:tcW w:w="3369" w:type="dxa"/>
            <w:tcBorders>
              <w:top w:val="single" w:sz="4" w:space="0" w:color="auto"/>
              <w:left w:val="single" w:sz="4" w:space="0" w:color="auto"/>
              <w:bottom w:val="single" w:sz="4" w:space="0" w:color="auto"/>
              <w:right w:val="single" w:sz="4" w:space="0" w:color="auto"/>
            </w:tcBorders>
            <w:hideMark/>
          </w:tcPr>
          <w:p w:rsidR="00BA0A19" w:rsidRPr="0027535F" w:rsidRDefault="00BA0A19">
            <w:pPr>
              <w:pStyle w:val="Paragrafoelenco"/>
              <w:ind w:left="0"/>
              <w:rPr>
                <w:sz w:val="20"/>
                <w:szCs w:val="20"/>
              </w:rPr>
            </w:pPr>
            <w:r w:rsidRPr="0027535F">
              <w:rPr>
                <w:sz w:val="20"/>
                <w:szCs w:val="20"/>
              </w:rPr>
              <w:t>Rischi potenziali importanti</w:t>
            </w:r>
          </w:p>
        </w:tc>
        <w:tc>
          <w:tcPr>
            <w:tcW w:w="4961" w:type="dxa"/>
            <w:tcBorders>
              <w:top w:val="single" w:sz="4" w:space="0" w:color="auto"/>
              <w:left w:val="single" w:sz="4" w:space="0" w:color="auto"/>
              <w:bottom w:val="single" w:sz="4" w:space="0" w:color="auto"/>
              <w:right w:val="single" w:sz="4" w:space="0" w:color="auto"/>
            </w:tcBorders>
            <w:hideMark/>
          </w:tcPr>
          <w:p w:rsidR="007171C4" w:rsidRDefault="007171C4" w:rsidP="0027535F">
            <w:pPr>
              <w:autoSpaceDE w:val="0"/>
              <w:autoSpaceDN w:val="0"/>
              <w:adjustRightInd w:val="0"/>
              <w:rPr>
                <w:rFonts w:ascii="Calibri" w:hAnsi="Calibri"/>
                <w:sz w:val="20"/>
              </w:rPr>
            </w:pPr>
            <w:r w:rsidRPr="009C6D91">
              <w:rPr>
                <w:rFonts w:ascii="Calibri" w:hAnsi="Calibri"/>
                <w:sz w:val="20"/>
              </w:rPr>
              <w:t xml:space="preserve">ideazione e comportamento </w:t>
            </w:r>
            <w:proofErr w:type="spellStart"/>
            <w:r w:rsidRPr="009C6D91">
              <w:rPr>
                <w:rFonts w:ascii="Calibri" w:hAnsi="Calibri"/>
                <w:sz w:val="20"/>
              </w:rPr>
              <w:t>suicidari</w:t>
            </w:r>
            <w:proofErr w:type="spellEnd"/>
            <w:r w:rsidRPr="009C6D91">
              <w:rPr>
                <w:rFonts w:ascii="Calibri" w:hAnsi="Calibri"/>
                <w:sz w:val="20"/>
              </w:rPr>
              <w:t xml:space="preserve"> </w:t>
            </w:r>
          </w:p>
          <w:p w:rsidR="007171C4" w:rsidRDefault="007171C4" w:rsidP="0027535F">
            <w:pPr>
              <w:autoSpaceDE w:val="0"/>
              <w:autoSpaceDN w:val="0"/>
              <w:adjustRightInd w:val="0"/>
              <w:rPr>
                <w:rFonts w:cs="Times New Roman"/>
                <w:sz w:val="20"/>
                <w:szCs w:val="20"/>
              </w:rPr>
            </w:pPr>
            <w:proofErr w:type="spellStart"/>
            <w:r>
              <w:rPr>
                <w:rFonts w:ascii="Calibri" w:hAnsi="Calibri"/>
                <w:sz w:val="20"/>
              </w:rPr>
              <w:t>E</w:t>
            </w:r>
            <w:r w:rsidRPr="009C6D91">
              <w:rPr>
                <w:rFonts w:ascii="Calibri" w:hAnsi="Calibri"/>
                <w:sz w:val="20"/>
              </w:rPr>
              <w:t>mangiosarcoma</w:t>
            </w:r>
            <w:proofErr w:type="spellEnd"/>
            <w:r>
              <w:rPr>
                <w:rFonts w:cs="Times New Roman"/>
                <w:sz w:val="20"/>
                <w:szCs w:val="20"/>
              </w:rPr>
              <w:t xml:space="preserve"> </w:t>
            </w:r>
          </w:p>
          <w:p w:rsidR="0027535F" w:rsidRPr="0027535F" w:rsidRDefault="007171C4" w:rsidP="0027535F">
            <w:pPr>
              <w:autoSpaceDE w:val="0"/>
              <w:autoSpaceDN w:val="0"/>
              <w:adjustRightInd w:val="0"/>
              <w:rPr>
                <w:rFonts w:cs="Times New Roman"/>
                <w:sz w:val="20"/>
                <w:szCs w:val="20"/>
              </w:rPr>
            </w:pPr>
            <w:r>
              <w:rPr>
                <w:rFonts w:cs="Times New Roman"/>
                <w:sz w:val="20"/>
                <w:szCs w:val="20"/>
              </w:rPr>
              <w:t xml:space="preserve">Uso </w:t>
            </w:r>
            <w:proofErr w:type="spellStart"/>
            <w:r>
              <w:rPr>
                <w:rFonts w:cs="Times New Roman"/>
                <w:sz w:val="20"/>
                <w:szCs w:val="20"/>
              </w:rPr>
              <w:t>off-label</w:t>
            </w:r>
            <w:proofErr w:type="spellEnd"/>
            <w:r>
              <w:rPr>
                <w:rFonts w:cs="Times New Roman"/>
                <w:sz w:val="20"/>
                <w:szCs w:val="20"/>
              </w:rPr>
              <w:t xml:space="preserve"> in pazienti pediatrici</w:t>
            </w:r>
          </w:p>
          <w:p w:rsidR="00440B34" w:rsidRPr="007171C4" w:rsidRDefault="0027535F" w:rsidP="007171C4">
            <w:pPr>
              <w:pStyle w:val="Paragrafoelenco"/>
              <w:ind w:left="0"/>
              <w:jc w:val="both"/>
              <w:rPr>
                <w:sz w:val="20"/>
                <w:szCs w:val="20"/>
              </w:rPr>
            </w:pPr>
            <w:r w:rsidRPr="007171C4">
              <w:rPr>
                <w:rFonts w:cs="Times New Roman"/>
                <w:sz w:val="20"/>
                <w:szCs w:val="20"/>
              </w:rPr>
              <w:t>Abus</w:t>
            </w:r>
            <w:r w:rsidR="007171C4" w:rsidRPr="007171C4">
              <w:rPr>
                <w:rFonts w:cs="Times New Roman"/>
                <w:sz w:val="20"/>
                <w:szCs w:val="20"/>
              </w:rPr>
              <w:t>o</w:t>
            </w:r>
            <w:r w:rsidRPr="007171C4">
              <w:rPr>
                <w:rFonts w:cs="Times New Roman"/>
                <w:sz w:val="20"/>
                <w:szCs w:val="20"/>
              </w:rPr>
              <w:t xml:space="preserve">, </w:t>
            </w:r>
            <w:proofErr w:type="spellStart"/>
            <w:r w:rsidRPr="007171C4">
              <w:rPr>
                <w:rFonts w:cs="Times New Roman"/>
                <w:sz w:val="20"/>
                <w:szCs w:val="20"/>
              </w:rPr>
              <w:t>misus</w:t>
            </w:r>
            <w:r w:rsidR="007171C4" w:rsidRPr="007171C4">
              <w:rPr>
                <w:rFonts w:cs="Times New Roman"/>
                <w:sz w:val="20"/>
                <w:szCs w:val="20"/>
              </w:rPr>
              <w:t>o</w:t>
            </w:r>
            <w:proofErr w:type="spellEnd"/>
            <w:r w:rsidRPr="007171C4">
              <w:rPr>
                <w:rFonts w:cs="Times New Roman"/>
                <w:sz w:val="20"/>
                <w:szCs w:val="20"/>
              </w:rPr>
              <w:t xml:space="preserve">, </w:t>
            </w:r>
            <w:r w:rsidR="007171C4" w:rsidRPr="007171C4">
              <w:rPr>
                <w:rFonts w:cs="Times New Roman"/>
                <w:sz w:val="20"/>
                <w:szCs w:val="20"/>
              </w:rPr>
              <w:t xml:space="preserve">dipendenza </w:t>
            </w:r>
          </w:p>
        </w:tc>
      </w:tr>
      <w:tr w:rsidR="00BA0A19" w:rsidRPr="005D2E7E" w:rsidTr="00BA0A19">
        <w:trPr>
          <w:jc w:val="center"/>
        </w:trPr>
        <w:tc>
          <w:tcPr>
            <w:tcW w:w="3369" w:type="dxa"/>
            <w:tcBorders>
              <w:top w:val="single" w:sz="4" w:space="0" w:color="auto"/>
              <w:left w:val="single" w:sz="4" w:space="0" w:color="auto"/>
              <w:bottom w:val="single" w:sz="4" w:space="0" w:color="auto"/>
              <w:right w:val="single" w:sz="4" w:space="0" w:color="auto"/>
            </w:tcBorders>
            <w:hideMark/>
          </w:tcPr>
          <w:p w:rsidR="00BA0A19" w:rsidRPr="0027535F" w:rsidRDefault="00BA0A19">
            <w:pPr>
              <w:pStyle w:val="Paragrafoelenco"/>
              <w:ind w:left="0"/>
              <w:rPr>
                <w:sz w:val="20"/>
                <w:szCs w:val="20"/>
              </w:rPr>
            </w:pPr>
            <w:r w:rsidRPr="0027535F">
              <w:rPr>
                <w:sz w:val="20"/>
                <w:szCs w:val="20"/>
              </w:rPr>
              <w:t xml:space="preserve">Informazioni mancanti </w:t>
            </w:r>
          </w:p>
        </w:tc>
        <w:tc>
          <w:tcPr>
            <w:tcW w:w="4961" w:type="dxa"/>
            <w:tcBorders>
              <w:top w:val="single" w:sz="4" w:space="0" w:color="auto"/>
              <w:left w:val="single" w:sz="4" w:space="0" w:color="auto"/>
              <w:bottom w:val="single" w:sz="4" w:space="0" w:color="auto"/>
              <w:right w:val="single" w:sz="4" w:space="0" w:color="auto"/>
            </w:tcBorders>
            <w:hideMark/>
          </w:tcPr>
          <w:p w:rsidR="00440B34" w:rsidRPr="0027535F" w:rsidRDefault="005D2E7E" w:rsidP="005D2E7E">
            <w:pPr>
              <w:pStyle w:val="Paragrafoelenco"/>
              <w:ind w:left="0"/>
              <w:jc w:val="both"/>
              <w:rPr>
                <w:sz w:val="20"/>
                <w:szCs w:val="20"/>
              </w:rPr>
            </w:pPr>
            <w:r w:rsidRPr="0027535F">
              <w:rPr>
                <w:sz w:val="20"/>
                <w:szCs w:val="20"/>
              </w:rPr>
              <w:t>Uso in gravidanza</w:t>
            </w:r>
            <w:r w:rsidR="0027535F" w:rsidRPr="0027535F">
              <w:rPr>
                <w:sz w:val="20"/>
                <w:szCs w:val="20"/>
              </w:rPr>
              <w:t xml:space="preserve"> e in allattamento</w:t>
            </w:r>
          </w:p>
          <w:p w:rsidR="0027535F" w:rsidRPr="0027535F" w:rsidRDefault="0027535F" w:rsidP="005D2E7E">
            <w:pPr>
              <w:pStyle w:val="Paragrafoelenco"/>
              <w:ind w:left="0"/>
              <w:jc w:val="both"/>
              <w:rPr>
                <w:sz w:val="20"/>
                <w:szCs w:val="20"/>
              </w:rPr>
            </w:pPr>
            <w:r w:rsidRPr="0027535F">
              <w:rPr>
                <w:sz w:val="20"/>
                <w:szCs w:val="20"/>
              </w:rPr>
              <w:t>Uso nella popolazione pediatrica (età inferiore a 18 ani9</w:t>
            </w:r>
          </w:p>
        </w:tc>
      </w:tr>
    </w:tbl>
    <w:p w:rsidR="00BA0A19" w:rsidRPr="005D2E7E" w:rsidRDefault="00BA0A19" w:rsidP="00BA0A19">
      <w:pPr>
        <w:pStyle w:val="Paragrafoelenco"/>
        <w:spacing w:after="0" w:line="240" w:lineRule="auto"/>
        <w:ind w:left="0"/>
        <w:jc w:val="both"/>
      </w:pPr>
    </w:p>
    <w:p w:rsidR="00AB54C2" w:rsidRDefault="00AB54C2" w:rsidP="009469B6">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AB54C2" w:rsidRDefault="00AB54C2" w:rsidP="009469B6">
      <w:pPr>
        <w:pStyle w:val="Paragrafoelenco"/>
        <w:spacing w:after="0" w:line="240" w:lineRule="auto"/>
        <w:ind w:left="0"/>
        <w:jc w:val="both"/>
      </w:pPr>
      <w:r>
        <w:t>Oltre le misure previste nel Riassunto delle caratteristiche del prodotto non sono previste attività addizionali di minimizzazione del rischio</w:t>
      </w:r>
    </w:p>
    <w:p w:rsidR="00AB54C2" w:rsidRDefault="00AB54C2" w:rsidP="009469B6">
      <w:pPr>
        <w:pStyle w:val="Paragrafoelenco"/>
        <w:spacing w:after="0" w:line="240" w:lineRule="auto"/>
        <w:ind w:left="0"/>
        <w:jc w:val="both"/>
      </w:pPr>
    </w:p>
    <w:p w:rsidR="00AB54C2" w:rsidRPr="002E4DCB" w:rsidRDefault="00AB54C2" w:rsidP="009469B6">
      <w:pPr>
        <w:pStyle w:val="Paragrafoelenco"/>
        <w:spacing w:after="0" w:line="240" w:lineRule="auto"/>
        <w:ind w:left="0"/>
        <w:jc w:val="both"/>
        <w:rPr>
          <w:b/>
        </w:rPr>
      </w:pPr>
      <w:r w:rsidRPr="002E4DCB">
        <w:rPr>
          <w:b/>
        </w:rPr>
        <w:t>Conclusioni</w:t>
      </w:r>
    </w:p>
    <w:p w:rsidR="00AB54C2" w:rsidRDefault="00AB54C2" w:rsidP="009469B6">
      <w:pPr>
        <w:pStyle w:val="Paragrafoelenco"/>
        <w:spacing w:after="0" w:line="240" w:lineRule="auto"/>
        <w:ind w:left="0"/>
        <w:jc w:val="both"/>
      </w:pPr>
      <w:r>
        <w:t xml:space="preserve">Per la richiesta di AIC di </w:t>
      </w:r>
      <w:proofErr w:type="spellStart"/>
      <w:r w:rsidR="00281788">
        <w:t>Regalbax</w:t>
      </w:r>
      <w:proofErr w:type="spellEnd"/>
      <w:r w:rsidR="00B9671B">
        <w:t xml:space="preserve"> </w:t>
      </w:r>
      <w:r>
        <w:t>sono state presentate sufficienti informazioni cliniche.</w:t>
      </w:r>
    </w:p>
    <w:p w:rsidR="00AB54C2" w:rsidRDefault="00AB54C2" w:rsidP="009469B6">
      <w:pPr>
        <w:pStyle w:val="Paragrafoelenco"/>
        <w:spacing w:after="0" w:line="240" w:lineRule="auto"/>
        <w:ind w:left="0"/>
        <w:jc w:val="both"/>
      </w:pPr>
      <w:r>
        <w:t xml:space="preserve">Il rapporto beneficio/rischio di </w:t>
      </w:r>
      <w:proofErr w:type="spellStart"/>
      <w:r w:rsidR="00281788">
        <w:t>Regalbax</w:t>
      </w:r>
      <w:proofErr w:type="spellEnd"/>
      <w:r w:rsidR="00B9671B">
        <w:t xml:space="preserve"> </w:t>
      </w:r>
      <w:r>
        <w:t>è considerato favorevole dal punto di vista clinico.</w:t>
      </w:r>
    </w:p>
    <w:p w:rsidR="00AB54C2" w:rsidRDefault="00AB54C2" w:rsidP="009469B6">
      <w:pPr>
        <w:pStyle w:val="Paragrafoelenco"/>
        <w:spacing w:after="0" w:line="240" w:lineRule="auto"/>
        <w:ind w:left="0"/>
        <w:jc w:val="both"/>
      </w:pPr>
    </w:p>
    <w:p w:rsidR="00AB54C2" w:rsidRDefault="00AB54C2" w:rsidP="009469B6">
      <w:pPr>
        <w:pStyle w:val="Paragrafoelenco"/>
        <w:spacing w:after="0" w:line="240" w:lineRule="auto"/>
        <w:ind w:left="0"/>
        <w:jc w:val="both"/>
      </w:pPr>
    </w:p>
    <w:p w:rsidR="00AB54C2" w:rsidRPr="002E4DCB" w:rsidRDefault="00AB54C2" w:rsidP="009469B6">
      <w:pPr>
        <w:pStyle w:val="Paragrafoelenco"/>
        <w:numPr>
          <w:ilvl w:val="0"/>
          <w:numId w:val="7"/>
        </w:numPr>
        <w:spacing w:after="0" w:line="240" w:lineRule="auto"/>
        <w:jc w:val="both"/>
        <w:rPr>
          <w:b/>
        </w:rPr>
      </w:pPr>
      <w:r w:rsidRPr="002E4DCB">
        <w:rPr>
          <w:b/>
        </w:rPr>
        <w:t xml:space="preserve">CONSULTAZIONE </w:t>
      </w:r>
      <w:r>
        <w:rPr>
          <w:b/>
        </w:rPr>
        <w:t>SUL FOGLIO ILLUSTRATIVO</w:t>
      </w:r>
    </w:p>
    <w:p w:rsidR="00AB54C2" w:rsidRDefault="00AB54C2" w:rsidP="009469B6">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AB54C2" w:rsidRDefault="00AB54C2" w:rsidP="009469B6">
      <w:pPr>
        <w:spacing w:after="0" w:line="240" w:lineRule="auto"/>
        <w:jc w:val="both"/>
      </w:pPr>
    </w:p>
    <w:p w:rsidR="00BA0A19" w:rsidRDefault="00BA0A19" w:rsidP="009469B6">
      <w:pPr>
        <w:spacing w:after="0" w:line="240" w:lineRule="auto"/>
        <w:jc w:val="both"/>
      </w:pPr>
    </w:p>
    <w:p w:rsidR="00BA0A19" w:rsidRDefault="00BA0A19" w:rsidP="009469B6">
      <w:pPr>
        <w:spacing w:after="0" w:line="240" w:lineRule="auto"/>
        <w:jc w:val="both"/>
      </w:pPr>
    </w:p>
    <w:p w:rsidR="00AB54C2" w:rsidRPr="00BC23ED" w:rsidRDefault="00AB54C2" w:rsidP="009469B6">
      <w:pPr>
        <w:pStyle w:val="Paragrafoelenco"/>
        <w:numPr>
          <w:ilvl w:val="0"/>
          <w:numId w:val="7"/>
        </w:numPr>
        <w:spacing w:after="0" w:line="240" w:lineRule="auto"/>
        <w:jc w:val="both"/>
        <w:rPr>
          <w:b/>
        </w:rPr>
      </w:pPr>
      <w:r w:rsidRPr="00BC23ED">
        <w:rPr>
          <w:b/>
        </w:rPr>
        <w:t>CONCLUSIONI, VALUTAZIONE DEL RAPPORTO BENEFICIO/RISCHIO E RACCOMANDAZIONI</w:t>
      </w:r>
    </w:p>
    <w:p w:rsidR="00AB54C2" w:rsidRDefault="00AB54C2" w:rsidP="009469B6">
      <w:pPr>
        <w:spacing w:after="0" w:line="240" w:lineRule="auto"/>
        <w:jc w:val="both"/>
      </w:pPr>
      <w:r>
        <w:t xml:space="preserve">La qualità di </w:t>
      </w:r>
      <w:proofErr w:type="spellStart"/>
      <w:r w:rsidR="00281788">
        <w:t>Regalbax</w:t>
      </w:r>
      <w:proofErr w:type="spellEnd"/>
      <w:r w:rsidR="00B9671B">
        <w:t xml:space="preserve"> </w:t>
      </w:r>
      <w:r>
        <w:t>è accettabile e non sono state rilevate criticità da un punto di vista non clinico e clinico.</w:t>
      </w:r>
    </w:p>
    <w:p w:rsidR="00AB54C2" w:rsidRDefault="00AB54C2" w:rsidP="009469B6">
      <w:pPr>
        <w:spacing w:after="0" w:line="240" w:lineRule="auto"/>
        <w:jc w:val="both"/>
      </w:pPr>
      <w:r>
        <w:t xml:space="preserve">Lo studio di bioequivalenza e le sue conclusioni confermano che </w:t>
      </w:r>
      <w:proofErr w:type="spellStart"/>
      <w:r w:rsidR="00281788">
        <w:t>Regalbax</w:t>
      </w:r>
      <w:proofErr w:type="spellEnd"/>
      <w:r w:rsidR="00B9671B">
        <w:t xml:space="preserve"> </w:t>
      </w:r>
      <w:r>
        <w:t xml:space="preserve">e il medicinale di riferimento </w:t>
      </w:r>
      <w:proofErr w:type="spellStart"/>
      <w:r w:rsidR="00281788">
        <w:t>Lyrica</w:t>
      </w:r>
      <w:proofErr w:type="spellEnd"/>
      <w:r>
        <w:t xml:space="preserve"> sono </w:t>
      </w:r>
      <w:proofErr w:type="spellStart"/>
      <w:r>
        <w:t>bioequivalenti</w:t>
      </w:r>
      <w:proofErr w:type="spellEnd"/>
      <w:r>
        <w:t>.</w:t>
      </w:r>
    </w:p>
    <w:p w:rsidR="00AB54C2" w:rsidRDefault="00AB54C2" w:rsidP="009469B6">
      <w:pPr>
        <w:spacing w:after="0" w:line="240" w:lineRule="auto"/>
        <w:jc w:val="both"/>
      </w:pPr>
      <w:r>
        <w:t>Il rapporto beneficio/rischio è considerato positivo.</w:t>
      </w:r>
    </w:p>
    <w:p w:rsidR="004241AC" w:rsidRPr="002A3F14" w:rsidRDefault="00AB54C2" w:rsidP="009469B6">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1" w:history="1">
        <w:r>
          <w:rPr>
            <w:rStyle w:val="Collegamentoipertestuale"/>
            <w:rFonts w:eastAsia="Calibri" w:cs="Calibri"/>
            <w:lang w:eastAsia="it-IT"/>
          </w:rPr>
          <w:t>https://farmaci.agenziafarmaco.gov.it/bancadatifarmaci</w:t>
        </w:r>
      </w:hyperlink>
      <w:r>
        <w:rPr>
          <w:rFonts w:eastAsia="Calibri" w:cs="Calibri"/>
          <w:lang w:eastAsia="it-IT"/>
        </w:rPr>
        <w:t>).</w:t>
      </w:r>
      <w:r w:rsidRPr="002A3F14">
        <w:t xml:space="preserve"> </w:t>
      </w:r>
    </w:p>
    <w:p w:rsidR="009A260F" w:rsidRDefault="009A260F"/>
    <w:sectPr w:rsidR="009A260F" w:rsidSect="002937E3">
      <w:pgSz w:w="11906" w:h="16838"/>
      <w:pgMar w:top="1418" w:right="1021" w:bottom="907"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3991552"/>
    <w:multiLevelType w:val="hybridMultilevel"/>
    <w:tmpl w:val="EA1607F0"/>
    <w:lvl w:ilvl="0" w:tplc="1B5612F0">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31E3663"/>
    <w:multiLevelType w:val="multilevel"/>
    <w:tmpl w:val="4154944E"/>
    <w:lvl w:ilvl="0">
      <w:start w:val="86"/>
      <w:numFmt w:val="decimal"/>
      <w:lvlText w:val="%1"/>
      <w:lvlJc w:val="left"/>
      <w:pPr>
        <w:ind w:left="465" w:hanging="465"/>
      </w:pPr>
      <w:rPr>
        <w:rFonts w:hint="default"/>
      </w:rPr>
    </w:lvl>
    <w:lvl w:ilvl="1">
      <w:start w:val="9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A505DAE"/>
    <w:multiLevelType w:val="hybridMultilevel"/>
    <w:tmpl w:val="EA1607F0"/>
    <w:lvl w:ilvl="0" w:tplc="1B5612F0">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69FF2024"/>
    <w:multiLevelType w:val="hybridMultilevel"/>
    <w:tmpl w:val="EA1607F0"/>
    <w:lvl w:ilvl="0" w:tplc="1B5612F0">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2"/>
  </w:num>
  <w:num w:numId="5">
    <w:abstractNumId w:val="8"/>
  </w:num>
  <w:num w:numId="6">
    <w:abstractNumId w:val="3"/>
  </w:num>
  <w:num w:numId="7">
    <w:abstractNumId w:val="7"/>
  </w:num>
  <w:num w:numId="8">
    <w:abstractNumId w:val="6"/>
  </w:num>
  <w:num w:numId="9">
    <w:abstractNumId w:val="1"/>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062DD"/>
    <w:rsid w:val="00013020"/>
    <w:rsid w:val="0001762A"/>
    <w:rsid w:val="00035778"/>
    <w:rsid w:val="00037F9B"/>
    <w:rsid w:val="00062636"/>
    <w:rsid w:val="00077016"/>
    <w:rsid w:val="00097D78"/>
    <w:rsid w:val="000B1DCF"/>
    <w:rsid w:val="000B6481"/>
    <w:rsid w:val="000D2313"/>
    <w:rsid w:val="000E1A3B"/>
    <w:rsid w:val="00111E9E"/>
    <w:rsid w:val="0011250C"/>
    <w:rsid w:val="00156BA7"/>
    <w:rsid w:val="00180C71"/>
    <w:rsid w:val="001C1A8E"/>
    <w:rsid w:val="001D08F6"/>
    <w:rsid w:val="001E7E47"/>
    <w:rsid w:val="0021191E"/>
    <w:rsid w:val="00237B87"/>
    <w:rsid w:val="002453A6"/>
    <w:rsid w:val="00246D26"/>
    <w:rsid w:val="002748E4"/>
    <w:rsid w:val="0027535F"/>
    <w:rsid w:val="00281788"/>
    <w:rsid w:val="002937E3"/>
    <w:rsid w:val="00294895"/>
    <w:rsid w:val="002B0F72"/>
    <w:rsid w:val="00306DD8"/>
    <w:rsid w:val="003440B2"/>
    <w:rsid w:val="003762D3"/>
    <w:rsid w:val="003A2FCF"/>
    <w:rsid w:val="003D479A"/>
    <w:rsid w:val="00406421"/>
    <w:rsid w:val="004241AC"/>
    <w:rsid w:val="00440B34"/>
    <w:rsid w:val="00452364"/>
    <w:rsid w:val="00467593"/>
    <w:rsid w:val="004771FA"/>
    <w:rsid w:val="004A1685"/>
    <w:rsid w:val="004B20A8"/>
    <w:rsid w:val="004B7E5B"/>
    <w:rsid w:val="004C32A6"/>
    <w:rsid w:val="00507E9B"/>
    <w:rsid w:val="0054156A"/>
    <w:rsid w:val="00566B07"/>
    <w:rsid w:val="00571F56"/>
    <w:rsid w:val="00572A3E"/>
    <w:rsid w:val="005928E6"/>
    <w:rsid w:val="005A64F7"/>
    <w:rsid w:val="005B50AD"/>
    <w:rsid w:val="005D2E7E"/>
    <w:rsid w:val="005E18C6"/>
    <w:rsid w:val="005F4478"/>
    <w:rsid w:val="006C7E98"/>
    <w:rsid w:val="0070652E"/>
    <w:rsid w:val="007171C4"/>
    <w:rsid w:val="00730C29"/>
    <w:rsid w:val="007B6C6B"/>
    <w:rsid w:val="007D0622"/>
    <w:rsid w:val="007D202D"/>
    <w:rsid w:val="007E6F4B"/>
    <w:rsid w:val="00824095"/>
    <w:rsid w:val="00826C22"/>
    <w:rsid w:val="00845463"/>
    <w:rsid w:val="00852FDD"/>
    <w:rsid w:val="00862596"/>
    <w:rsid w:val="00874733"/>
    <w:rsid w:val="008A69E3"/>
    <w:rsid w:val="00901E3F"/>
    <w:rsid w:val="00923643"/>
    <w:rsid w:val="009469B6"/>
    <w:rsid w:val="009635D4"/>
    <w:rsid w:val="009713AA"/>
    <w:rsid w:val="00990D3E"/>
    <w:rsid w:val="00991D00"/>
    <w:rsid w:val="009A2010"/>
    <w:rsid w:val="009A260F"/>
    <w:rsid w:val="009B03DB"/>
    <w:rsid w:val="009F16FA"/>
    <w:rsid w:val="00A05212"/>
    <w:rsid w:val="00A1005E"/>
    <w:rsid w:val="00A271A4"/>
    <w:rsid w:val="00A40FF3"/>
    <w:rsid w:val="00A61113"/>
    <w:rsid w:val="00A715C0"/>
    <w:rsid w:val="00A9506F"/>
    <w:rsid w:val="00AB54C2"/>
    <w:rsid w:val="00AF0669"/>
    <w:rsid w:val="00B27F42"/>
    <w:rsid w:val="00B44898"/>
    <w:rsid w:val="00B4779E"/>
    <w:rsid w:val="00B53F5A"/>
    <w:rsid w:val="00B64DB3"/>
    <w:rsid w:val="00B70578"/>
    <w:rsid w:val="00B81265"/>
    <w:rsid w:val="00B90347"/>
    <w:rsid w:val="00B9671B"/>
    <w:rsid w:val="00BA08FD"/>
    <w:rsid w:val="00BA0A19"/>
    <w:rsid w:val="00BA7D67"/>
    <w:rsid w:val="00BB12F3"/>
    <w:rsid w:val="00BB4CC4"/>
    <w:rsid w:val="00BB7117"/>
    <w:rsid w:val="00BC74C2"/>
    <w:rsid w:val="00BE2C92"/>
    <w:rsid w:val="00C41858"/>
    <w:rsid w:val="00C41D97"/>
    <w:rsid w:val="00C56BC4"/>
    <w:rsid w:val="00C72386"/>
    <w:rsid w:val="00C76C0A"/>
    <w:rsid w:val="00CA7C91"/>
    <w:rsid w:val="00CC7AFF"/>
    <w:rsid w:val="00D0420D"/>
    <w:rsid w:val="00D05DEB"/>
    <w:rsid w:val="00D13838"/>
    <w:rsid w:val="00D20170"/>
    <w:rsid w:val="00D85C3C"/>
    <w:rsid w:val="00DC5CC3"/>
    <w:rsid w:val="00DD27A5"/>
    <w:rsid w:val="00DF53AE"/>
    <w:rsid w:val="00E2236C"/>
    <w:rsid w:val="00E43089"/>
    <w:rsid w:val="00E64379"/>
    <w:rsid w:val="00E83F8D"/>
    <w:rsid w:val="00ED3C61"/>
    <w:rsid w:val="00EE1623"/>
    <w:rsid w:val="00EE29EF"/>
    <w:rsid w:val="00EF062E"/>
    <w:rsid w:val="00EF5475"/>
    <w:rsid w:val="00F22C10"/>
    <w:rsid w:val="00F37E3E"/>
    <w:rsid w:val="00F46E91"/>
    <w:rsid w:val="00F6357B"/>
    <w:rsid w:val="00F66767"/>
    <w:rsid w:val="00F73A26"/>
    <w:rsid w:val="00FA2702"/>
    <w:rsid w:val="00FB455A"/>
    <w:rsid w:val="00FE5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B54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2748E4"/>
    <w:rPr>
      <w:color w:val="0000FF" w:themeColor="hyperlink"/>
      <w:u w:val="single"/>
    </w:rPr>
  </w:style>
  <w:style w:type="character" w:styleId="Collegamentovisitato">
    <w:name w:val="FollowedHyperlink"/>
    <w:basedOn w:val="Carpredefinitoparagrafo"/>
    <w:uiPriority w:val="99"/>
    <w:semiHidden/>
    <w:unhideWhenUsed/>
    <w:rsid w:val="002748E4"/>
    <w:rPr>
      <w:color w:val="800080" w:themeColor="followedHyperlink"/>
      <w:u w:val="single"/>
    </w:rPr>
  </w:style>
  <w:style w:type="character" w:customStyle="1" w:styleId="Titolo1Carattere">
    <w:name w:val="Titolo 1 Carattere"/>
    <w:basedOn w:val="Carpredefinitoparagrafo"/>
    <w:link w:val="Titolo1"/>
    <w:uiPriority w:val="9"/>
    <w:rsid w:val="00AB54C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B54C2"/>
    <w:rPr>
      <w:rFonts w:ascii="Arial" w:hAnsi="Arial" w:cs="Arial" w:hint="default"/>
    </w:rPr>
  </w:style>
  <w:style w:type="paragraph" w:styleId="Didascalia">
    <w:name w:val="caption"/>
    <w:basedOn w:val="Normale"/>
    <w:next w:val="Normale"/>
    <w:qFormat/>
    <w:rsid w:val="00AB54C2"/>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3D4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Agency">
    <w:name w:val="Body text (Agency)"/>
    <w:basedOn w:val="Normale"/>
    <w:link w:val="BodytextAgencyChar"/>
    <w:rsid w:val="000062DD"/>
    <w:pPr>
      <w:spacing w:after="140" w:line="280" w:lineRule="atLeast"/>
    </w:pPr>
    <w:rPr>
      <w:rFonts w:ascii="Verdana" w:eastAsia="Verdana" w:hAnsi="Verdana" w:cs="Verdana"/>
      <w:sz w:val="18"/>
      <w:szCs w:val="18"/>
      <w:lang w:val="en-GB" w:eastAsia="en-GB"/>
    </w:rPr>
  </w:style>
  <w:style w:type="character" w:customStyle="1" w:styleId="BodytextAgencyChar">
    <w:name w:val="Body text (Agency) Char"/>
    <w:basedOn w:val="Carpredefinitoparagrafo"/>
    <w:link w:val="BodytextAgency"/>
    <w:rsid w:val="000062DD"/>
    <w:rPr>
      <w:rFonts w:ascii="Verdana" w:eastAsia="Verdana" w:hAnsi="Verdana" w:cs="Verdana"/>
      <w:sz w:val="18"/>
      <w:szCs w:val="18"/>
      <w:lang w:val="en-GB" w:eastAsia="en-GB"/>
    </w:rPr>
  </w:style>
  <w:style w:type="paragraph" w:customStyle="1" w:styleId="TableParagraph">
    <w:name w:val="Table Paragraph"/>
    <w:basedOn w:val="Normale"/>
    <w:uiPriority w:val="1"/>
    <w:qFormat/>
    <w:rsid w:val="00A9506F"/>
    <w:pPr>
      <w:autoSpaceDE w:val="0"/>
      <w:autoSpaceDN w:val="0"/>
      <w:adjustRightInd w:val="0"/>
      <w:spacing w:after="0" w:line="240" w:lineRule="auto"/>
    </w:pPr>
    <w:rPr>
      <w:rFonts w:ascii="Times New Roman" w:eastAsia="Times New Roman" w:hAnsi="Times New Roman" w:cs="Times New Roman"/>
      <w:sz w:val="24"/>
      <w:szCs w:val="24"/>
      <w:lang w:val="sv-SE" w:eastAsia="sv-SE"/>
    </w:rPr>
  </w:style>
</w:styles>
</file>

<file path=word/webSettings.xml><?xml version="1.0" encoding="utf-8"?>
<w:webSettings xmlns:r="http://schemas.openxmlformats.org/officeDocument/2006/relationships" xmlns:w="http://schemas.openxmlformats.org/wordprocessingml/2006/main">
  <w:divs>
    <w:div w:id="303586804">
      <w:bodyDiv w:val="1"/>
      <w:marLeft w:val="0"/>
      <w:marRight w:val="0"/>
      <w:marTop w:val="0"/>
      <w:marBottom w:val="0"/>
      <w:divBdr>
        <w:top w:val="none" w:sz="0" w:space="0" w:color="auto"/>
        <w:left w:val="none" w:sz="0" w:space="0" w:color="auto"/>
        <w:bottom w:val="none" w:sz="0" w:space="0" w:color="auto"/>
        <w:right w:val="none" w:sz="0" w:space="0" w:color="auto"/>
      </w:divBdr>
    </w:div>
    <w:div w:id="380635131">
      <w:bodyDiv w:val="1"/>
      <w:marLeft w:val="0"/>
      <w:marRight w:val="0"/>
      <w:marTop w:val="0"/>
      <w:marBottom w:val="0"/>
      <w:divBdr>
        <w:top w:val="none" w:sz="0" w:space="0" w:color="auto"/>
        <w:left w:val="none" w:sz="0" w:space="0" w:color="auto"/>
        <w:bottom w:val="none" w:sz="0" w:space="0" w:color="auto"/>
        <w:right w:val="none" w:sz="0" w:space="0" w:color="auto"/>
      </w:divBdr>
    </w:div>
    <w:div w:id="404760616">
      <w:bodyDiv w:val="1"/>
      <w:marLeft w:val="0"/>
      <w:marRight w:val="0"/>
      <w:marTop w:val="0"/>
      <w:marBottom w:val="0"/>
      <w:divBdr>
        <w:top w:val="none" w:sz="0" w:space="0" w:color="auto"/>
        <w:left w:val="none" w:sz="0" w:space="0" w:color="auto"/>
        <w:bottom w:val="none" w:sz="0" w:space="0" w:color="auto"/>
        <w:right w:val="none" w:sz="0" w:space="0" w:color="auto"/>
      </w:divBdr>
    </w:div>
    <w:div w:id="492182124">
      <w:bodyDiv w:val="1"/>
      <w:marLeft w:val="0"/>
      <w:marRight w:val="0"/>
      <w:marTop w:val="0"/>
      <w:marBottom w:val="0"/>
      <w:divBdr>
        <w:top w:val="none" w:sz="0" w:space="0" w:color="auto"/>
        <w:left w:val="none" w:sz="0" w:space="0" w:color="auto"/>
        <w:bottom w:val="none" w:sz="0" w:space="0" w:color="auto"/>
        <w:right w:val="none" w:sz="0" w:space="0" w:color="auto"/>
      </w:divBdr>
    </w:div>
    <w:div w:id="1709063969">
      <w:bodyDiv w:val="1"/>
      <w:marLeft w:val="0"/>
      <w:marRight w:val="0"/>
      <w:marTop w:val="0"/>
      <w:marBottom w:val="0"/>
      <w:divBdr>
        <w:top w:val="none" w:sz="0" w:space="0" w:color="auto"/>
        <w:left w:val="none" w:sz="0" w:space="0" w:color="auto"/>
        <w:bottom w:val="none" w:sz="0" w:space="0" w:color="auto"/>
        <w:right w:val="none" w:sz="0" w:space="0" w:color="auto"/>
      </w:divBdr>
    </w:div>
    <w:div w:id="182315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tools.wmflabs.org/magnustools/cas.php?language=it&amp;cas=148553-50-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1</Pages>
  <Words>3747</Words>
  <Characters>21363</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56</cp:revision>
  <dcterms:created xsi:type="dcterms:W3CDTF">2015-06-09T14:01:00Z</dcterms:created>
  <dcterms:modified xsi:type="dcterms:W3CDTF">2015-12-02T08:02:00Z</dcterms:modified>
</cp:coreProperties>
</file>