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4241AC">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4241AC">
      <w:pPr>
        <w:spacing w:after="0" w:line="240" w:lineRule="auto"/>
        <w:jc w:val="center"/>
        <w:rPr>
          <w:b/>
        </w:rPr>
      </w:pPr>
    </w:p>
    <w:p w:rsidR="00C5670C" w:rsidRDefault="00C5670C" w:rsidP="00C5670C">
      <w:pPr>
        <w:spacing w:after="0" w:line="240" w:lineRule="auto"/>
        <w:jc w:val="center"/>
        <w:rPr>
          <w:b/>
          <w:sz w:val="28"/>
        </w:rPr>
      </w:pPr>
      <w:bookmarkStart w:id="0" w:name="Text15"/>
      <w:r>
        <w:rPr>
          <w:b/>
          <w:sz w:val="28"/>
        </w:rPr>
        <w:t>Relazione Pubblica di Valutazione</w:t>
      </w:r>
    </w:p>
    <w:p w:rsidR="004241AC" w:rsidRDefault="004241AC" w:rsidP="004241AC">
      <w:pPr>
        <w:autoSpaceDE w:val="0"/>
        <w:autoSpaceDN w:val="0"/>
        <w:adjustRightInd w:val="0"/>
        <w:spacing w:after="0" w:line="240" w:lineRule="auto"/>
        <w:jc w:val="center"/>
        <w:rPr>
          <w:b/>
          <w:highlight w:val="yellow"/>
        </w:rPr>
      </w:pPr>
    </w:p>
    <w:p w:rsidR="00C5670C" w:rsidRDefault="00C5670C" w:rsidP="004241AC">
      <w:pPr>
        <w:autoSpaceDE w:val="0"/>
        <w:autoSpaceDN w:val="0"/>
        <w:adjustRightInd w:val="0"/>
        <w:spacing w:after="0" w:line="240" w:lineRule="auto"/>
        <w:jc w:val="center"/>
        <w:rPr>
          <w:b/>
          <w:highlight w:val="yellow"/>
        </w:rPr>
      </w:pPr>
    </w:p>
    <w:p w:rsidR="004241AC" w:rsidRPr="000A6924" w:rsidRDefault="00621AE2" w:rsidP="004241AC">
      <w:pPr>
        <w:autoSpaceDE w:val="0"/>
        <w:autoSpaceDN w:val="0"/>
        <w:adjustRightInd w:val="0"/>
        <w:spacing w:after="0" w:line="240" w:lineRule="auto"/>
        <w:jc w:val="center"/>
        <w:rPr>
          <w:b/>
          <w:sz w:val="32"/>
        </w:rPr>
      </w:pPr>
      <w:r w:rsidRPr="000A6924">
        <w:rPr>
          <w:b/>
          <w:sz w:val="32"/>
        </w:rPr>
        <w:t>SILDENAFIL BRUNIFARMA RESEARCH</w:t>
      </w:r>
    </w:p>
    <w:p w:rsidR="004241AC" w:rsidRPr="000A6924" w:rsidRDefault="004241AC" w:rsidP="004241AC">
      <w:pPr>
        <w:widowControl w:val="0"/>
        <w:spacing w:after="0" w:line="240" w:lineRule="auto"/>
        <w:jc w:val="center"/>
        <w:rPr>
          <w:snapToGrid w:val="0"/>
        </w:rPr>
      </w:pPr>
      <w:r w:rsidRPr="000A6924">
        <w:rPr>
          <w:snapToGrid w:val="0"/>
        </w:rPr>
        <w:t xml:space="preserve"> (</w:t>
      </w:r>
      <w:r w:rsidR="00EF062E" w:rsidRPr="000A6924">
        <w:rPr>
          <w:snapToGrid w:val="0"/>
        </w:rPr>
        <w:t>Sildenafil</w:t>
      </w:r>
      <w:r w:rsidRPr="000A6924">
        <w:rPr>
          <w:snapToGrid w:val="0"/>
        </w:rPr>
        <w:t>)</w:t>
      </w:r>
    </w:p>
    <w:p w:rsidR="004241AC" w:rsidRPr="000A6924" w:rsidRDefault="004241AC" w:rsidP="004241AC">
      <w:pPr>
        <w:autoSpaceDE w:val="0"/>
        <w:autoSpaceDN w:val="0"/>
        <w:adjustRightInd w:val="0"/>
        <w:spacing w:after="0" w:line="240" w:lineRule="auto"/>
        <w:jc w:val="center"/>
        <w:rPr>
          <w:b/>
        </w:rPr>
      </w:pPr>
    </w:p>
    <w:p w:rsidR="004241AC" w:rsidRPr="000A6924" w:rsidRDefault="00621AE2" w:rsidP="004241AC">
      <w:pPr>
        <w:autoSpaceDE w:val="0"/>
        <w:autoSpaceDN w:val="0"/>
        <w:adjustRightInd w:val="0"/>
        <w:spacing w:after="0" w:line="240" w:lineRule="auto"/>
        <w:jc w:val="center"/>
        <w:rPr>
          <w:b/>
        </w:rPr>
      </w:pPr>
      <w:r w:rsidRPr="000A6924">
        <w:rPr>
          <w:b/>
        </w:rPr>
        <w:t>Brunifarma Research</w:t>
      </w:r>
    </w:p>
    <w:p w:rsidR="00A846D4" w:rsidRPr="000A6924" w:rsidRDefault="00A846D4" w:rsidP="004241AC">
      <w:pPr>
        <w:autoSpaceDE w:val="0"/>
        <w:autoSpaceDN w:val="0"/>
        <w:adjustRightInd w:val="0"/>
        <w:spacing w:after="0" w:line="240" w:lineRule="auto"/>
        <w:jc w:val="center"/>
        <w:rPr>
          <w:b/>
        </w:rPr>
      </w:pPr>
    </w:p>
    <w:p w:rsidR="004241AC" w:rsidRPr="00062636" w:rsidRDefault="004241AC" w:rsidP="004241AC">
      <w:pPr>
        <w:spacing w:after="0" w:line="240" w:lineRule="auto"/>
        <w:jc w:val="center"/>
        <w:rPr>
          <w:b/>
        </w:rPr>
      </w:pPr>
      <w:r w:rsidRPr="00062636">
        <w:rPr>
          <w:b/>
        </w:rPr>
        <w:t xml:space="preserve">Numero di AIC: </w:t>
      </w:r>
      <w:r w:rsidR="00621AE2" w:rsidRPr="00621AE2">
        <w:rPr>
          <w:rFonts w:cs="Helvetica"/>
          <w:b/>
        </w:rPr>
        <w:t>042740</w:t>
      </w:r>
    </w:p>
    <w:p w:rsidR="004241AC" w:rsidRDefault="004241AC" w:rsidP="004241AC">
      <w:pPr>
        <w:spacing w:after="0" w:line="240" w:lineRule="auto"/>
        <w:jc w:val="center"/>
        <w:rPr>
          <w:b/>
        </w:rPr>
      </w:pPr>
      <w:bookmarkStart w:id="1" w:name="_GoBack"/>
      <w:bookmarkEnd w:id="0"/>
      <w:bookmarkEnd w:id="1"/>
    </w:p>
    <w:p w:rsidR="005A16AD" w:rsidRDefault="005A16AD" w:rsidP="005A16AD">
      <w:pPr>
        <w:autoSpaceDE w:val="0"/>
        <w:autoSpaceDN w:val="0"/>
        <w:adjustRightInd w:val="0"/>
        <w:spacing w:after="0" w:line="240" w:lineRule="auto"/>
        <w:jc w:val="center"/>
        <w:rPr>
          <w:rFonts w:eastAsia="Calibri" w:cs="Calibri"/>
          <w:b/>
          <w:color w:val="000000"/>
          <w:lang w:eastAsia="it-IT"/>
        </w:rPr>
      </w:pPr>
    </w:p>
    <w:p w:rsidR="005A16AD" w:rsidRDefault="005A16AD" w:rsidP="005A16AD">
      <w:pPr>
        <w:autoSpaceDE w:val="0"/>
        <w:autoSpaceDN w:val="0"/>
        <w:adjustRightInd w:val="0"/>
        <w:spacing w:after="0" w:line="240" w:lineRule="auto"/>
        <w:jc w:val="center"/>
        <w:rPr>
          <w:rFonts w:eastAsia="Calibri" w:cs="Calibri"/>
          <w:b/>
          <w:color w:val="000000"/>
          <w:lang w:eastAsia="it-IT"/>
        </w:rPr>
      </w:pPr>
    </w:p>
    <w:p w:rsidR="004241AC" w:rsidRDefault="005A16AD" w:rsidP="005A16AD">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rsidR="005A16AD" w:rsidRDefault="005A16AD" w:rsidP="005A16AD">
      <w:pPr>
        <w:autoSpaceDE w:val="0"/>
        <w:autoSpaceDN w:val="0"/>
        <w:adjustRightInd w:val="0"/>
        <w:spacing w:after="0" w:line="240" w:lineRule="auto"/>
        <w:jc w:val="center"/>
        <w:rPr>
          <w:rFonts w:eastAsia="Calibri" w:cs="Calibri"/>
          <w:color w:val="000000"/>
          <w:lang w:eastAsia="it-IT"/>
        </w:rPr>
      </w:pPr>
    </w:p>
    <w:p w:rsidR="004241AC" w:rsidRPr="009F1B70" w:rsidRDefault="004241AC" w:rsidP="004241AC">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Public Assessment Report</w:t>
      </w:r>
      <w:r w:rsidRPr="009F1B70">
        <w:rPr>
          <w:rFonts w:eastAsia="Calibri" w:cs="Calibri"/>
          <w:color w:val="000000"/>
          <w:lang w:eastAsia="it-IT"/>
        </w:rPr>
        <w:t xml:space="preserve"> (PAR) per </w:t>
      </w:r>
      <w:r w:rsidR="00621AE2">
        <w:rPr>
          <w:rFonts w:eastAsia="Calibri" w:cs="Calibri"/>
          <w:color w:val="000000"/>
          <w:lang w:eastAsia="it-IT"/>
        </w:rPr>
        <w:t>Sildenafil Brunifarma Research</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621AE2">
        <w:rPr>
          <w:rFonts w:eastAsia="Calibri" w:cs="Calibri"/>
          <w:color w:val="000000"/>
          <w:lang w:eastAsia="it-IT"/>
        </w:rPr>
        <w:t>Sildenafil Brunifarma research</w:t>
      </w:r>
      <w:r w:rsidR="00062636" w:rsidRPr="009F1B70">
        <w:rPr>
          <w:rFonts w:eastAsia="Calibri" w:cs="Calibri"/>
          <w:color w:val="000000"/>
          <w:lang w:eastAsia="it-IT"/>
        </w:rPr>
        <w:t xml:space="preserve"> </w:t>
      </w:r>
      <w:r w:rsidRPr="009F1B70">
        <w:rPr>
          <w:rFonts w:eastAsia="Calibri" w:cs="Calibri"/>
          <w:color w:val="000000"/>
          <w:lang w:eastAsia="it-IT"/>
        </w:rPr>
        <w:t xml:space="preserve">è stato valutato dalla Commissione Tecnico-Scientifica (CTS) </w:t>
      </w:r>
      <w:r w:rsidR="0061722B">
        <w:rPr>
          <w:rFonts w:eastAsia="Calibri" w:cs="Calibri"/>
          <w:color w:val="000000"/>
          <w:lang w:eastAsia="it-IT"/>
        </w:rPr>
        <w:t>e le sue condizioni di impiego</w:t>
      </w:r>
      <w:r w:rsidRPr="009F1B70">
        <w:rPr>
          <w:rFonts w:eastAsia="Calibri" w:cs="Calibri"/>
          <w:color w:val="000000"/>
          <w:lang w:eastAsia="it-IT"/>
        </w:rPr>
        <w:t xml:space="preserve">. Non intende fornire consigli pratici su come utilizzare </w:t>
      </w:r>
      <w:r w:rsidR="00621AE2">
        <w:rPr>
          <w:rFonts w:eastAsia="Calibri" w:cs="Calibri"/>
          <w:color w:val="000000"/>
          <w:lang w:eastAsia="it-IT"/>
        </w:rPr>
        <w:t>Sildenafil Brunifarma Research</w:t>
      </w:r>
      <w:r w:rsidRPr="009F1B70">
        <w:rPr>
          <w:rFonts w:eastAsia="Calibri" w:cs="Calibri"/>
          <w:bCs/>
          <w:color w:val="000000"/>
          <w:lang w:eastAsia="it-IT"/>
        </w:rPr>
        <w:t>.</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r w:rsidRPr="009F1B70">
        <w:rPr>
          <w:rFonts w:eastAsia="Calibri" w:cs="Calibri"/>
          <w:color w:val="000000"/>
          <w:lang w:eastAsia="it-IT"/>
        </w:rPr>
        <w:t>Per informazioni pratiche sull'utilizzo di</w:t>
      </w:r>
      <w:r w:rsidRPr="009F1B70">
        <w:rPr>
          <w:rFonts w:eastAsia="Calibri" w:cs="Calibri"/>
          <w:bCs/>
          <w:color w:val="000000"/>
          <w:lang w:eastAsia="it-IT"/>
        </w:rPr>
        <w:t xml:space="preserve"> </w:t>
      </w:r>
      <w:r w:rsidR="00621AE2">
        <w:rPr>
          <w:rFonts w:eastAsia="Calibri" w:cs="Calibri"/>
          <w:color w:val="000000"/>
          <w:lang w:eastAsia="it-IT"/>
        </w:rPr>
        <w:t>Sildenafil Brunifarma Research</w:t>
      </w:r>
      <w:r w:rsidR="00062636" w:rsidRPr="009F1B70">
        <w:rPr>
          <w:rFonts w:eastAsia="Calibri" w:cs="Calibri"/>
          <w:color w:val="000000"/>
          <w:lang w:eastAsia="it-IT"/>
        </w:rPr>
        <w:t xml:space="preserve"> </w:t>
      </w:r>
      <w:r w:rsidRPr="009F1B70">
        <w:rPr>
          <w:rFonts w:eastAsia="Calibri" w:cs="Calibri"/>
          <w:color w:val="000000"/>
          <w:lang w:eastAsia="it-IT"/>
        </w:rPr>
        <w:t xml:space="preserve">i pazienti devono consultare il foglio illustrativo o contattare il loro medico o </w:t>
      </w:r>
      <w:r w:rsidR="009B03DB">
        <w:rPr>
          <w:rFonts w:eastAsia="Calibri" w:cs="Calibri"/>
          <w:color w:val="000000"/>
          <w:lang w:eastAsia="it-IT"/>
        </w:rPr>
        <w:t xml:space="preserve">il </w:t>
      </w:r>
      <w:r w:rsidRPr="009F1B70">
        <w:rPr>
          <w:rFonts w:eastAsia="Calibri" w:cs="Calibri"/>
          <w:color w:val="000000"/>
          <w:lang w:eastAsia="it-IT"/>
        </w:rPr>
        <w:t xml:space="preserve">farmacista. </w:t>
      </w:r>
    </w:p>
    <w:p w:rsidR="004241AC" w:rsidRPr="009F1B70" w:rsidRDefault="004241AC" w:rsidP="004241AC">
      <w:pPr>
        <w:autoSpaceDE w:val="0"/>
        <w:autoSpaceDN w:val="0"/>
        <w:adjustRightInd w:val="0"/>
        <w:spacing w:after="0" w:line="240" w:lineRule="auto"/>
        <w:jc w:val="both"/>
        <w:rPr>
          <w:rFonts w:eastAsia="Calibri" w:cs="Calibri"/>
          <w:color w:val="000000"/>
          <w:lang w:eastAsia="it-IT"/>
        </w:rPr>
      </w:pPr>
    </w:p>
    <w:p w:rsidR="004241AC" w:rsidRPr="002A3F14" w:rsidRDefault="004241AC" w:rsidP="004241AC">
      <w:pPr>
        <w:autoSpaceDE w:val="0"/>
        <w:autoSpaceDN w:val="0"/>
        <w:adjustRightInd w:val="0"/>
        <w:spacing w:after="0" w:line="240" w:lineRule="auto"/>
        <w:jc w:val="both"/>
        <w:rPr>
          <w:rFonts w:eastAsia="Calibri" w:cs="Calibri"/>
          <w:color w:val="000000"/>
          <w:lang w:eastAsia="it-IT"/>
        </w:rPr>
      </w:pPr>
    </w:p>
    <w:p w:rsidR="004241AC" w:rsidRPr="002A3F14" w:rsidRDefault="004241AC" w:rsidP="004241AC">
      <w:pPr>
        <w:autoSpaceDE w:val="0"/>
        <w:autoSpaceDN w:val="0"/>
        <w:adjustRightInd w:val="0"/>
        <w:spacing w:after="0" w:line="240" w:lineRule="auto"/>
        <w:jc w:val="both"/>
        <w:rPr>
          <w:rFonts w:eastAsia="Calibri" w:cs="Calibri"/>
          <w:color w:val="000000"/>
          <w:lang w:eastAsia="it-IT"/>
        </w:rPr>
      </w:pPr>
      <w:r w:rsidRPr="002A3F14">
        <w:rPr>
          <w:rFonts w:eastAsia="Calibri" w:cs="Calibri"/>
          <w:b/>
          <w:bCs/>
          <w:color w:val="000000"/>
          <w:lang w:eastAsia="it-IT"/>
        </w:rPr>
        <w:t xml:space="preserve">1) CHE COS’È </w:t>
      </w:r>
      <w:r w:rsidR="00621AE2">
        <w:rPr>
          <w:rFonts w:eastAsia="Calibri" w:cs="Calibri"/>
          <w:b/>
          <w:bCs/>
          <w:color w:val="000000"/>
          <w:lang w:eastAsia="it-IT"/>
        </w:rPr>
        <w:t>Sildenafil Brunifarma Research</w:t>
      </w:r>
      <w:r w:rsidR="00E83F8D">
        <w:rPr>
          <w:rFonts w:eastAsia="Calibri" w:cs="Calibri"/>
          <w:b/>
          <w:bCs/>
          <w:color w:val="000000"/>
          <w:lang w:eastAsia="it-IT"/>
        </w:rPr>
        <w:t xml:space="preserve"> </w:t>
      </w:r>
      <w:r w:rsidRPr="002A3F14">
        <w:rPr>
          <w:rFonts w:eastAsia="Calibri" w:cs="Calibri"/>
          <w:b/>
          <w:bCs/>
          <w:color w:val="000000"/>
          <w:lang w:eastAsia="it-IT"/>
        </w:rPr>
        <w:t xml:space="preserve">e a cosa serve? </w:t>
      </w:r>
    </w:p>
    <w:p w:rsidR="004241AC" w:rsidRPr="00E83F8D" w:rsidRDefault="00621AE2" w:rsidP="00E83F8D">
      <w:pPr>
        <w:widowControl w:val="0"/>
        <w:spacing w:after="0" w:line="240" w:lineRule="auto"/>
        <w:jc w:val="both"/>
      </w:pPr>
      <w:r>
        <w:rPr>
          <w:rFonts w:eastAsia="Calibri" w:cs="Calibri"/>
          <w:bCs/>
          <w:color w:val="000000"/>
          <w:lang w:eastAsia="it-IT"/>
        </w:rPr>
        <w:t>Sildenafil Brunifarma Research</w:t>
      </w:r>
      <w:r w:rsidR="00E83F8D" w:rsidRPr="00E83F8D">
        <w:rPr>
          <w:rFonts w:eastAsia="Calibri" w:cs="Calibri"/>
          <w:bCs/>
          <w:color w:val="000000"/>
          <w:lang w:eastAsia="it-IT"/>
        </w:rPr>
        <w:t xml:space="preserve"> </w:t>
      </w:r>
      <w:r w:rsidR="004241AC" w:rsidRPr="00E83F8D">
        <w:rPr>
          <w:rFonts w:eastAsia="Calibri" w:cs="Calibri"/>
          <w:color w:val="000000"/>
          <w:lang w:eastAsia="it-IT"/>
        </w:rPr>
        <w:t xml:space="preserve">è un medicinale contenente </w:t>
      </w:r>
      <w:r w:rsidR="00062636" w:rsidRPr="00E83F8D">
        <w:rPr>
          <w:rFonts w:eastAsia="Calibri" w:cs="Calibri"/>
          <w:color w:val="000000"/>
          <w:lang w:eastAsia="it-IT"/>
        </w:rPr>
        <w:t>i</w:t>
      </w:r>
      <w:r w:rsidR="00E83F8D" w:rsidRPr="00E83F8D">
        <w:rPr>
          <w:rFonts w:eastAsia="Calibri" w:cs="Calibri"/>
          <w:color w:val="000000"/>
          <w:lang w:eastAsia="it-IT"/>
        </w:rPr>
        <w:t>l</w:t>
      </w:r>
      <w:r w:rsidR="004241AC" w:rsidRPr="00E83F8D">
        <w:rPr>
          <w:rFonts w:eastAsia="Calibri" w:cs="Calibri"/>
          <w:color w:val="000000"/>
          <w:lang w:eastAsia="it-IT"/>
        </w:rPr>
        <w:t xml:space="preserve"> principi</w:t>
      </w:r>
      <w:r w:rsidR="00E83F8D" w:rsidRPr="00E83F8D">
        <w:rPr>
          <w:rFonts w:eastAsia="Calibri" w:cs="Calibri"/>
          <w:color w:val="000000"/>
          <w:lang w:eastAsia="it-IT"/>
        </w:rPr>
        <w:t>o</w:t>
      </w:r>
      <w:r w:rsidR="004241AC" w:rsidRPr="00E83F8D">
        <w:rPr>
          <w:rFonts w:eastAsia="Calibri" w:cs="Calibri"/>
          <w:color w:val="000000"/>
          <w:lang w:eastAsia="it-IT"/>
        </w:rPr>
        <w:t xml:space="preserve"> attiv</w:t>
      </w:r>
      <w:r w:rsidR="00E83F8D" w:rsidRPr="00E83F8D">
        <w:rPr>
          <w:rFonts w:eastAsia="Calibri" w:cs="Calibri"/>
          <w:color w:val="000000"/>
          <w:lang w:eastAsia="it-IT"/>
        </w:rPr>
        <w:t>o</w:t>
      </w:r>
      <w:r w:rsidR="004241AC" w:rsidRPr="00E83F8D">
        <w:rPr>
          <w:rFonts w:eastAsia="Calibri" w:cs="Calibri"/>
          <w:color w:val="000000"/>
          <w:lang w:eastAsia="it-IT"/>
        </w:rPr>
        <w:t xml:space="preserve"> </w:t>
      </w:r>
      <w:r w:rsidR="00E83F8D" w:rsidRPr="00E83F8D">
        <w:rPr>
          <w:rFonts w:eastAsia="Calibri" w:cs="Calibri"/>
          <w:color w:val="000000"/>
          <w:lang w:eastAsia="it-IT"/>
        </w:rPr>
        <w:t>sildenafil</w:t>
      </w:r>
      <w:r w:rsidR="00A846D4">
        <w:rPr>
          <w:rFonts w:eastAsia="Calibri" w:cs="Calibri"/>
          <w:color w:val="000000"/>
          <w:lang w:eastAsia="it-IT"/>
        </w:rPr>
        <w:t xml:space="preserve"> ed </w:t>
      </w:r>
      <w:r w:rsidR="004241AC" w:rsidRPr="00E83F8D">
        <w:rPr>
          <w:rFonts w:eastAsia="Calibri" w:cs="Calibri"/>
          <w:color w:val="000000"/>
          <w:lang w:eastAsia="it-IT"/>
        </w:rPr>
        <w:t xml:space="preserve">è disponibile in </w:t>
      </w:r>
      <w:r w:rsidR="00062636" w:rsidRPr="00E83F8D">
        <w:rPr>
          <w:rFonts w:eastAsia="Calibri" w:cs="Calibri"/>
          <w:color w:val="000000"/>
          <w:lang w:eastAsia="it-IT"/>
        </w:rPr>
        <w:t>compresse</w:t>
      </w:r>
      <w:r w:rsidR="004241AC" w:rsidRPr="00E83F8D">
        <w:rPr>
          <w:rFonts w:eastAsia="Calibri" w:cs="Calibri"/>
          <w:color w:val="000000"/>
          <w:lang w:eastAsia="it-IT"/>
        </w:rPr>
        <w:t xml:space="preserve"> contenenti diversi dosaggi de</w:t>
      </w:r>
      <w:r w:rsidR="00E83F8D" w:rsidRPr="00E83F8D">
        <w:rPr>
          <w:rFonts w:eastAsia="Calibri" w:cs="Calibri"/>
          <w:color w:val="000000"/>
          <w:lang w:eastAsia="it-IT"/>
        </w:rPr>
        <w:t>l</w:t>
      </w:r>
      <w:r w:rsidR="004241AC" w:rsidRPr="00E83F8D">
        <w:rPr>
          <w:rFonts w:eastAsia="Calibri" w:cs="Calibri"/>
          <w:color w:val="000000"/>
          <w:lang w:eastAsia="it-IT"/>
        </w:rPr>
        <w:t xml:space="preserve"> principi</w:t>
      </w:r>
      <w:r w:rsidR="00E83F8D" w:rsidRPr="00E83F8D">
        <w:rPr>
          <w:rFonts w:eastAsia="Calibri" w:cs="Calibri"/>
          <w:color w:val="000000"/>
          <w:lang w:eastAsia="it-IT"/>
        </w:rPr>
        <w:t>o attivo:</w:t>
      </w:r>
      <w:r w:rsidR="004241AC" w:rsidRPr="00E83F8D">
        <w:t xml:space="preserve"> </w:t>
      </w:r>
      <w:r w:rsidR="00062636" w:rsidRPr="00E83F8D">
        <w:rPr>
          <w:rFonts w:cs="Helvetica"/>
        </w:rPr>
        <w:t xml:space="preserve">25 mg, </w:t>
      </w:r>
      <w:r w:rsidR="00E83F8D" w:rsidRPr="00E83F8D">
        <w:rPr>
          <w:rFonts w:cs="Helvetica"/>
        </w:rPr>
        <w:t>50</w:t>
      </w:r>
      <w:r w:rsidR="00062636" w:rsidRPr="00E83F8D">
        <w:rPr>
          <w:rFonts w:cs="Helvetica"/>
        </w:rPr>
        <w:t xml:space="preserve"> mg, </w:t>
      </w:r>
      <w:r w:rsidR="00E83F8D" w:rsidRPr="00E83F8D">
        <w:rPr>
          <w:rFonts w:cs="Helvetica"/>
        </w:rPr>
        <w:t>100</w:t>
      </w:r>
      <w:r w:rsidR="00062636" w:rsidRPr="00E83F8D">
        <w:rPr>
          <w:rFonts w:cs="Helvetica"/>
        </w:rPr>
        <w:t xml:space="preserve"> mg</w:t>
      </w:r>
      <w:r w:rsidR="004241AC" w:rsidRPr="00E83F8D">
        <w:t>.</w:t>
      </w:r>
    </w:p>
    <w:p w:rsidR="00A846D4" w:rsidRDefault="00621AE2" w:rsidP="0094532B">
      <w:pPr>
        <w:widowControl w:val="0"/>
        <w:spacing w:after="0" w:line="240" w:lineRule="auto"/>
        <w:jc w:val="both"/>
        <w:rPr>
          <w:rFonts w:eastAsia="Calibri" w:cs="Calibri"/>
          <w:color w:val="000000"/>
          <w:lang w:eastAsia="it-IT"/>
        </w:rPr>
      </w:pPr>
      <w:r>
        <w:rPr>
          <w:rFonts w:eastAsia="Calibri" w:cs="Calibri"/>
          <w:color w:val="000000"/>
          <w:lang w:eastAsia="it-IT"/>
        </w:rPr>
        <w:t>Sildenafil Brunifarma Research</w:t>
      </w:r>
      <w:r w:rsidR="00E83F8D" w:rsidRPr="00E83F8D">
        <w:rPr>
          <w:rFonts w:eastAsia="Calibri" w:cs="Calibri"/>
          <w:color w:val="000000"/>
          <w:lang w:eastAsia="it-IT"/>
        </w:rPr>
        <w:t xml:space="preserve"> </w:t>
      </w:r>
      <w:r w:rsidR="0094532B" w:rsidRPr="00E83F8D">
        <w:rPr>
          <w:rFonts w:eastAsia="Calibri" w:cs="Calibri"/>
          <w:color w:val="000000"/>
          <w:lang w:eastAsia="it-IT"/>
        </w:rPr>
        <w:t xml:space="preserve">è un “medicinale generico”, </w:t>
      </w:r>
      <w:r w:rsidR="00A846D4" w:rsidRPr="00E83F8D">
        <w:rPr>
          <w:rFonts w:eastAsia="Calibri" w:cs="Calibri"/>
          <w:color w:val="000000"/>
          <w:lang w:eastAsia="it-IT"/>
        </w:rPr>
        <w:t xml:space="preserve">cioè è analogo ad un “medicinale di riferimento”, </w:t>
      </w:r>
      <w:r w:rsidR="00A846D4">
        <w:rPr>
          <w:rFonts w:eastAsia="Calibri" w:cs="Calibri"/>
          <w:color w:val="000000"/>
          <w:lang w:eastAsia="it-IT"/>
        </w:rPr>
        <w:t xml:space="preserve">Viagra, </w:t>
      </w:r>
      <w:r w:rsidR="00A846D4" w:rsidRPr="00E83F8D">
        <w:rPr>
          <w:rFonts w:eastAsia="Calibri" w:cs="Calibri"/>
          <w:color w:val="000000"/>
          <w:lang w:eastAsia="it-IT"/>
        </w:rPr>
        <w:t>già autorizzato in Italia</w:t>
      </w:r>
      <w:r w:rsidR="00A846D4">
        <w:rPr>
          <w:rFonts w:eastAsia="Calibri" w:cs="Calibri"/>
          <w:color w:val="000000"/>
          <w:lang w:eastAsia="it-IT"/>
        </w:rPr>
        <w:t xml:space="preserve"> con procedura centralizzata</w:t>
      </w:r>
      <w:r w:rsidR="00A846D4" w:rsidRPr="00E83F8D">
        <w:rPr>
          <w:rFonts w:eastAsia="Calibri" w:cs="Calibri"/>
          <w:color w:val="000000"/>
          <w:lang w:eastAsia="it-IT"/>
        </w:rPr>
        <w:t>.</w:t>
      </w:r>
      <w:r w:rsidR="00A846D4">
        <w:rPr>
          <w:rFonts w:eastAsia="Calibri" w:cs="Calibri"/>
          <w:color w:val="000000"/>
          <w:lang w:eastAsia="it-IT"/>
        </w:rPr>
        <w:t xml:space="preserve"> L’</w:t>
      </w:r>
      <w:r w:rsidR="00A846D4" w:rsidRPr="00DD581F">
        <w:rPr>
          <w:rFonts w:eastAsia="Calibri" w:cs="Calibri"/>
          <w:i/>
          <w:color w:val="000000"/>
          <w:lang w:eastAsia="it-IT"/>
        </w:rPr>
        <w:t>European</w:t>
      </w:r>
      <w:r w:rsidR="00A846D4">
        <w:rPr>
          <w:rFonts w:eastAsia="Calibri" w:cs="Calibri"/>
          <w:color w:val="000000"/>
          <w:lang w:eastAsia="it-IT"/>
        </w:rPr>
        <w:t xml:space="preserve"> </w:t>
      </w:r>
      <w:r w:rsidR="00A846D4" w:rsidRPr="009B03DB">
        <w:rPr>
          <w:rFonts w:eastAsia="Calibri" w:cs="Calibri"/>
          <w:i/>
          <w:color w:val="000000"/>
          <w:lang w:eastAsia="it-IT"/>
        </w:rPr>
        <w:t>Public Assessment Report</w:t>
      </w:r>
      <w:r w:rsidR="00A846D4" w:rsidRPr="009F1B70">
        <w:rPr>
          <w:rFonts w:eastAsia="Calibri" w:cs="Calibri"/>
          <w:color w:val="000000"/>
          <w:lang w:eastAsia="it-IT"/>
        </w:rPr>
        <w:t xml:space="preserve"> (</w:t>
      </w:r>
      <w:r w:rsidR="00A846D4">
        <w:rPr>
          <w:rFonts w:eastAsia="Calibri" w:cs="Calibri"/>
          <w:color w:val="000000"/>
          <w:lang w:eastAsia="it-IT"/>
        </w:rPr>
        <w:t>E</w:t>
      </w:r>
      <w:r w:rsidR="00A846D4" w:rsidRPr="009F1B70">
        <w:rPr>
          <w:rFonts w:eastAsia="Calibri" w:cs="Calibri"/>
          <w:color w:val="000000"/>
          <w:lang w:eastAsia="it-IT"/>
        </w:rPr>
        <w:t>PAR)</w:t>
      </w:r>
      <w:r w:rsidR="00A846D4">
        <w:rPr>
          <w:rFonts w:eastAsia="Calibri" w:cs="Calibri"/>
          <w:color w:val="000000"/>
          <w:lang w:eastAsia="it-IT"/>
        </w:rPr>
        <w:t xml:space="preserve"> di Viagra può essere consultato sul sito dell’Agenzia Europea dei medicinali </w:t>
      </w:r>
      <w:r w:rsidR="0094532B">
        <w:rPr>
          <w:rFonts w:eastAsia="Calibri" w:cs="Calibri"/>
          <w:color w:val="000000"/>
          <w:lang w:eastAsia="it-IT"/>
        </w:rPr>
        <w:t>(</w:t>
      </w:r>
      <w:r w:rsidR="0094532B" w:rsidRPr="00DD581F">
        <w:rPr>
          <w:rFonts w:eastAsia="Calibri" w:cs="Calibri"/>
          <w:i/>
          <w:color w:val="000000"/>
          <w:lang w:eastAsia="it-IT"/>
        </w:rPr>
        <w:t>European Medicinal Agency</w:t>
      </w:r>
      <w:r w:rsidR="0094532B">
        <w:rPr>
          <w:rFonts w:eastAsia="Calibri" w:cs="Calibri"/>
          <w:color w:val="000000"/>
          <w:lang w:eastAsia="it-IT"/>
        </w:rPr>
        <w:t xml:space="preserve"> – EMA) </w:t>
      </w:r>
    </w:p>
    <w:p w:rsidR="004241AC" w:rsidRPr="00E83F8D" w:rsidRDefault="0094532B" w:rsidP="0094532B">
      <w:pPr>
        <w:widowControl w:val="0"/>
        <w:spacing w:after="0" w:line="240" w:lineRule="auto"/>
        <w:jc w:val="both"/>
        <w:rPr>
          <w:rFonts w:eastAsia="Calibri" w:cs="Calibri"/>
          <w:b/>
          <w:bCs/>
          <w:color w:val="000000"/>
          <w:lang w:eastAsia="it-IT"/>
        </w:rPr>
      </w:pPr>
      <w:r>
        <w:rPr>
          <w:rFonts w:eastAsia="Calibri" w:cs="Calibri"/>
          <w:color w:val="000000"/>
          <w:lang w:eastAsia="it-IT"/>
        </w:rPr>
        <w:t>(</w:t>
      </w:r>
      <w:hyperlink r:id="rId6" w:history="1">
        <w:r w:rsidRPr="00DD581F">
          <w:rPr>
            <w:rStyle w:val="Collegamentoipertestuale"/>
            <w:rFonts w:eastAsia="Calibri" w:cs="Calibri"/>
            <w:bCs/>
            <w:lang w:eastAsia="it-IT"/>
          </w:rPr>
          <w:t>http://www.ema.europa.eu/ema/index.jsp?curl=pages/medicines/landing/epar_search.jsp&amp;mid</w:t>
        </w:r>
      </w:hyperlink>
      <w:r>
        <w:rPr>
          <w:rFonts w:eastAsia="Calibri" w:cs="Calibri"/>
          <w:bCs/>
          <w:color w:val="000000"/>
          <w:lang w:eastAsia="it-IT"/>
        </w:rPr>
        <w:t>).</w:t>
      </w:r>
      <w:r w:rsidRPr="00DD581F">
        <w:rPr>
          <w:rFonts w:eastAsia="Calibri" w:cs="Calibri"/>
          <w:bCs/>
          <w:color w:val="000000"/>
          <w:lang w:eastAsia="it-IT"/>
        </w:rPr>
        <w:t xml:space="preserve"> </w:t>
      </w:r>
      <w:r w:rsidR="00621AE2">
        <w:rPr>
          <w:rFonts w:eastAsia="Calibri" w:cs="Calibri"/>
          <w:color w:val="000000"/>
          <w:lang w:eastAsia="it-IT"/>
        </w:rPr>
        <w:t>Sildenafil Brunifarma Research</w:t>
      </w:r>
      <w:r w:rsidR="00E83F8D" w:rsidRPr="00E83F8D">
        <w:rPr>
          <w:rFonts w:eastAsia="Calibri" w:cs="Calibri"/>
          <w:color w:val="000000"/>
          <w:lang w:eastAsia="it-IT"/>
        </w:rPr>
        <w:t xml:space="preserve"> </w:t>
      </w:r>
      <w:r w:rsidR="004241AC" w:rsidRPr="00E83F8D">
        <w:rPr>
          <w:rFonts w:eastAsia="Calibri" w:cs="Calibri"/>
          <w:color w:val="000000"/>
          <w:lang w:eastAsia="it-IT"/>
        </w:rPr>
        <w:t xml:space="preserve">si usa per il trattamento </w:t>
      </w:r>
      <w:r w:rsidR="00E83F8D" w:rsidRPr="00E83F8D">
        <w:rPr>
          <w:rFonts w:eastAsia="Calibri" w:cs="Calibri"/>
          <w:color w:val="000000"/>
          <w:lang w:eastAsia="it-IT"/>
        </w:rPr>
        <w:t>della disfunzione erettile</w:t>
      </w:r>
      <w:r w:rsidR="004241AC" w:rsidRPr="00E83F8D">
        <w:rPr>
          <w:rFonts w:eastAsia="Calibri" w:cs="Calibri"/>
          <w:color w:val="000000"/>
          <w:lang w:eastAsia="it-IT"/>
        </w:rPr>
        <w:t>,</w:t>
      </w:r>
      <w:r w:rsidR="00E83F8D" w:rsidRPr="00E83F8D">
        <w:rPr>
          <w:rFonts w:eastAsia="Calibri" w:cs="Calibri"/>
          <w:color w:val="000000"/>
          <w:lang w:eastAsia="it-IT"/>
        </w:rPr>
        <w:t xml:space="preserve"> cioè in quelle situazioni in cui c’è </w:t>
      </w:r>
      <w:r w:rsidR="00E83F8D" w:rsidRPr="00E83F8D">
        <w:rPr>
          <w:rFonts w:cs="Helvetica"/>
        </w:rPr>
        <w:t>incapacità a raggiungere o a mantenere un’erezione idonea per una attività sessuale soddisfacente.</w:t>
      </w:r>
    </w:p>
    <w:p w:rsidR="004241AC" w:rsidRDefault="004241AC" w:rsidP="00E83F8D">
      <w:pPr>
        <w:autoSpaceDE w:val="0"/>
        <w:autoSpaceDN w:val="0"/>
        <w:adjustRightInd w:val="0"/>
        <w:spacing w:after="0" w:line="240" w:lineRule="auto"/>
        <w:jc w:val="both"/>
        <w:rPr>
          <w:rFonts w:eastAsia="Calibri" w:cs="Calibri"/>
          <w:b/>
          <w:bCs/>
          <w:color w:val="000000"/>
          <w:lang w:eastAsia="it-IT"/>
        </w:rPr>
      </w:pPr>
    </w:p>
    <w:p w:rsidR="00E83F8D" w:rsidRPr="00E83F8D" w:rsidRDefault="00E83F8D" w:rsidP="00E83F8D">
      <w:pPr>
        <w:autoSpaceDE w:val="0"/>
        <w:autoSpaceDN w:val="0"/>
        <w:adjustRightInd w:val="0"/>
        <w:spacing w:after="0" w:line="240" w:lineRule="auto"/>
        <w:jc w:val="both"/>
        <w:rPr>
          <w:rFonts w:eastAsia="Calibri" w:cs="Calibri"/>
          <w:b/>
          <w:bCs/>
          <w:color w:val="000000"/>
          <w:lang w:eastAsia="it-IT"/>
        </w:rPr>
      </w:pPr>
    </w:p>
    <w:p w:rsidR="004241AC" w:rsidRPr="00E83F8D" w:rsidRDefault="004241AC" w:rsidP="00E83F8D">
      <w:pPr>
        <w:autoSpaceDE w:val="0"/>
        <w:autoSpaceDN w:val="0"/>
        <w:adjustRightInd w:val="0"/>
        <w:spacing w:after="0" w:line="240" w:lineRule="auto"/>
        <w:jc w:val="both"/>
        <w:rPr>
          <w:rFonts w:eastAsia="Calibri" w:cs="Calibri"/>
          <w:color w:val="000000"/>
          <w:lang w:eastAsia="it-IT"/>
        </w:rPr>
      </w:pPr>
      <w:r w:rsidRPr="00E83F8D">
        <w:rPr>
          <w:rFonts w:eastAsia="Calibri" w:cs="Calibri"/>
          <w:b/>
          <w:bCs/>
          <w:color w:val="000000"/>
          <w:lang w:eastAsia="it-IT"/>
        </w:rPr>
        <w:t xml:space="preserve">2) COME E’ PRESCRITTO/USATO </w:t>
      </w:r>
      <w:r w:rsidR="00621AE2">
        <w:rPr>
          <w:rFonts w:eastAsia="Calibri" w:cs="Calibri"/>
          <w:b/>
          <w:bCs/>
          <w:color w:val="000000"/>
          <w:lang w:eastAsia="it-IT"/>
        </w:rPr>
        <w:t>Sildenafil Brunifarma Research</w:t>
      </w:r>
      <w:r w:rsidRPr="00E83F8D">
        <w:rPr>
          <w:rFonts w:eastAsia="Calibri" w:cs="Calibri"/>
          <w:b/>
          <w:bCs/>
          <w:color w:val="000000"/>
          <w:lang w:eastAsia="it-IT"/>
        </w:rPr>
        <w:t>?</w:t>
      </w:r>
    </w:p>
    <w:p w:rsidR="004241AC" w:rsidRPr="00E83F8D" w:rsidRDefault="00A846D4" w:rsidP="00E83F8D">
      <w:p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t>Sildenafil Brunifarma Research</w:t>
      </w:r>
      <w:r w:rsidRPr="00E83F8D">
        <w:rPr>
          <w:rFonts w:eastAsia="Calibri" w:cs="Calibri"/>
          <w:color w:val="000000"/>
          <w:lang w:eastAsia="it-IT"/>
        </w:rPr>
        <w:t xml:space="preserve"> </w:t>
      </w:r>
      <w:r w:rsidR="004241AC" w:rsidRPr="00E83F8D">
        <w:rPr>
          <w:rFonts w:eastAsia="Calibri" w:cs="Calibri"/>
          <w:color w:val="000000"/>
          <w:lang w:eastAsia="it-IT"/>
        </w:rPr>
        <w:t>può essere ottenuto solo dietro prescrizione da parte del medico (ricetta ripetibile).</w:t>
      </w:r>
    </w:p>
    <w:p w:rsidR="004241AC" w:rsidRPr="00E83F8D" w:rsidRDefault="004241AC" w:rsidP="00E83F8D">
      <w:pPr>
        <w:tabs>
          <w:tab w:val="left" w:pos="0"/>
        </w:tabs>
        <w:spacing w:after="0" w:line="240" w:lineRule="auto"/>
        <w:jc w:val="both"/>
      </w:pPr>
      <w:r w:rsidRPr="00E83F8D">
        <w:t xml:space="preserve">La dose </w:t>
      </w:r>
      <w:r w:rsidR="00A846D4">
        <w:t xml:space="preserve">raccomandata </w:t>
      </w:r>
      <w:r w:rsidRPr="00E83F8D">
        <w:t xml:space="preserve">è di una </w:t>
      </w:r>
      <w:r w:rsidR="00FA2702" w:rsidRPr="00E83F8D">
        <w:t>compressa</w:t>
      </w:r>
      <w:r w:rsidR="00E83F8D">
        <w:t xml:space="preserve"> da 50 mg</w:t>
      </w:r>
      <w:r w:rsidR="00E43089" w:rsidRPr="00E83F8D">
        <w:t xml:space="preserve"> </w:t>
      </w:r>
      <w:r w:rsidRPr="00E83F8D">
        <w:t xml:space="preserve">al giorno; </w:t>
      </w:r>
      <w:r w:rsidR="00E83F8D">
        <w:t>il medico può stabilire se diminuirla a 25 mg al giorno o aumentarla a 100 mg al giorno</w:t>
      </w:r>
      <w:r w:rsidRPr="00E83F8D">
        <w:t>.</w:t>
      </w:r>
      <w:r w:rsidR="00E83F8D">
        <w:t xml:space="preserve"> 100 mg sono la dose massima giornaliera raccomandata.</w:t>
      </w:r>
    </w:p>
    <w:p w:rsidR="004241AC" w:rsidRPr="00E83F8D" w:rsidRDefault="00EF062E" w:rsidP="00EF062E">
      <w:pPr>
        <w:tabs>
          <w:tab w:val="left" w:pos="0"/>
        </w:tabs>
        <w:spacing w:after="0" w:line="240" w:lineRule="auto"/>
        <w:jc w:val="both"/>
      </w:pPr>
      <w:r>
        <w:t>Nei pazienti con problemi ai reni o al fegato il dosaggio è minore.</w:t>
      </w:r>
    </w:p>
    <w:p w:rsidR="004241AC" w:rsidRPr="00A8302B" w:rsidRDefault="004241AC" w:rsidP="00EF062E">
      <w:pPr>
        <w:tabs>
          <w:tab w:val="left" w:pos="0"/>
        </w:tabs>
        <w:spacing w:after="0" w:line="240" w:lineRule="auto"/>
        <w:jc w:val="both"/>
      </w:pPr>
      <w:r>
        <w:t xml:space="preserve">Le </w:t>
      </w:r>
      <w:r w:rsidR="00FA2702">
        <w:t>compresse</w:t>
      </w:r>
      <w:r>
        <w:t xml:space="preserve"> vanno assunte con un po’ di acqua, possibilmente </w:t>
      </w:r>
      <w:r w:rsidR="00EF062E">
        <w:t xml:space="preserve">lontano </w:t>
      </w:r>
      <w:r>
        <w:t>dai pasti</w:t>
      </w:r>
      <w:r w:rsidR="00EF062E">
        <w:t xml:space="preserve"> (quando il medicinale è assunto insieme al pasto, l’assorbimento e, quindi la sua azione, può essere ritardato). </w:t>
      </w:r>
    </w:p>
    <w:p w:rsidR="004241AC" w:rsidRDefault="004241AC" w:rsidP="00EF062E">
      <w:pPr>
        <w:autoSpaceDE w:val="0"/>
        <w:autoSpaceDN w:val="0"/>
        <w:adjustRightInd w:val="0"/>
        <w:spacing w:after="0" w:line="240" w:lineRule="auto"/>
        <w:jc w:val="both"/>
        <w:rPr>
          <w:rFonts w:eastAsia="Calibri" w:cs="Verdana"/>
          <w:color w:val="000000"/>
          <w:lang w:eastAsia="it-IT"/>
        </w:rPr>
      </w:pPr>
    </w:p>
    <w:p w:rsidR="004241AC" w:rsidRPr="00EF062E" w:rsidRDefault="004241AC" w:rsidP="00EF062E">
      <w:pPr>
        <w:autoSpaceDE w:val="0"/>
        <w:autoSpaceDN w:val="0"/>
        <w:adjustRightInd w:val="0"/>
        <w:spacing w:after="0" w:line="240" w:lineRule="auto"/>
        <w:jc w:val="both"/>
        <w:rPr>
          <w:rFonts w:eastAsia="Calibri" w:cs="Verdana"/>
          <w:color w:val="000000"/>
          <w:lang w:eastAsia="it-IT"/>
        </w:rPr>
      </w:pPr>
    </w:p>
    <w:p w:rsidR="004241AC" w:rsidRPr="00EF062E" w:rsidRDefault="004241AC" w:rsidP="00EF062E">
      <w:pPr>
        <w:autoSpaceDE w:val="0"/>
        <w:autoSpaceDN w:val="0"/>
        <w:adjustRightInd w:val="0"/>
        <w:spacing w:after="0" w:line="240" w:lineRule="auto"/>
        <w:jc w:val="both"/>
        <w:rPr>
          <w:rFonts w:eastAsia="Calibri" w:cs="Calibri"/>
          <w:color w:val="000000"/>
          <w:lang w:eastAsia="it-IT"/>
        </w:rPr>
      </w:pPr>
      <w:r w:rsidRPr="00EF062E">
        <w:rPr>
          <w:rFonts w:eastAsia="Calibri" w:cs="Calibri"/>
          <w:b/>
          <w:bCs/>
          <w:color w:val="000000"/>
          <w:lang w:eastAsia="it-IT"/>
        </w:rPr>
        <w:t xml:space="preserve">3) COME FUNZIONA </w:t>
      </w:r>
      <w:r w:rsidR="00621AE2">
        <w:rPr>
          <w:rFonts w:eastAsia="Calibri" w:cs="Calibri"/>
          <w:b/>
          <w:bCs/>
          <w:color w:val="000000"/>
          <w:lang w:eastAsia="it-IT"/>
        </w:rPr>
        <w:t>Sildenafil Brunifarma Research</w:t>
      </w:r>
      <w:r w:rsidRPr="00EF062E">
        <w:rPr>
          <w:rFonts w:eastAsia="Calibri" w:cs="Calibri"/>
          <w:b/>
          <w:bCs/>
          <w:color w:val="000000"/>
          <w:lang w:eastAsia="it-IT"/>
        </w:rPr>
        <w:t xml:space="preserve">? </w:t>
      </w:r>
    </w:p>
    <w:p w:rsidR="00EF062E" w:rsidRPr="00EF062E" w:rsidRDefault="00621AE2" w:rsidP="00EF062E">
      <w:pPr>
        <w:autoSpaceDE w:val="0"/>
        <w:autoSpaceDN w:val="0"/>
        <w:adjustRightInd w:val="0"/>
        <w:spacing w:after="0" w:line="240" w:lineRule="auto"/>
        <w:jc w:val="both"/>
        <w:rPr>
          <w:rFonts w:eastAsia="DejaVuSans" w:cs="DejaVuSans"/>
        </w:rPr>
      </w:pPr>
      <w:r>
        <w:rPr>
          <w:rFonts w:eastAsia="Calibri" w:cs="Calibri"/>
          <w:bCs/>
          <w:color w:val="000000"/>
          <w:lang w:eastAsia="it-IT"/>
        </w:rPr>
        <w:t xml:space="preserve">Sildenafil </w:t>
      </w:r>
      <w:r w:rsidR="001E6A6E">
        <w:rPr>
          <w:rFonts w:eastAsia="Calibri" w:cs="Calibri"/>
          <w:bCs/>
          <w:color w:val="000000"/>
          <w:lang w:eastAsia="it-IT"/>
        </w:rPr>
        <w:t>Brunifarma R</w:t>
      </w:r>
      <w:r>
        <w:rPr>
          <w:rFonts w:eastAsia="Calibri" w:cs="Calibri"/>
          <w:bCs/>
          <w:color w:val="000000"/>
          <w:lang w:eastAsia="it-IT"/>
        </w:rPr>
        <w:t>esearch</w:t>
      </w:r>
      <w:r w:rsidR="001E6A6E">
        <w:rPr>
          <w:rFonts w:eastAsia="Calibri" w:cs="Calibri"/>
          <w:bCs/>
          <w:color w:val="000000"/>
          <w:lang w:eastAsia="it-IT"/>
        </w:rPr>
        <w:t xml:space="preserve">, </w:t>
      </w:r>
      <w:r w:rsidR="001E6A6E" w:rsidRPr="00EF062E">
        <w:rPr>
          <w:rFonts w:eastAsia="Calibri" w:cs="Calibri"/>
          <w:bCs/>
          <w:color w:val="000000"/>
          <w:lang w:eastAsia="it-IT"/>
        </w:rPr>
        <w:t xml:space="preserve">il </w:t>
      </w:r>
      <w:r w:rsidR="001E6A6E">
        <w:rPr>
          <w:rFonts w:eastAsia="Calibri" w:cs="Calibri"/>
          <w:bCs/>
          <w:color w:val="000000"/>
          <w:lang w:eastAsia="it-IT"/>
        </w:rPr>
        <w:t xml:space="preserve">cui </w:t>
      </w:r>
      <w:r w:rsidR="001E6A6E" w:rsidRPr="00EF062E">
        <w:rPr>
          <w:rFonts w:eastAsia="Calibri" w:cs="Calibri"/>
          <w:bCs/>
          <w:color w:val="000000"/>
          <w:lang w:eastAsia="it-IT"/>
        </w:rPr>
        <w:t xml:space="preserve">codice ATC è </w:t>
      </w:r>
      <w:r w:rsidR="001E6A6E" w:rsidRPr="00EF062E">
        <w:rPr>
          <w:rFonts w:eastAsia="DejaVuSans" w:cs="DejaVuSans"/>
        </w:rPr>
        <w:t>G04BE03</w:t>
      </w:r>
      <w:r w:rsidR="00E43089" w:rsidRPr="00EF062E">
        <w:rPr>
          <w:rFonts w:eastAsia="DejaVuSans" w:cs="DejaVuSans"/>
        </w:rPr>
        <w:t xml:space="preserve"> </w:t>
      </w:r>
      <w:r w:rsidR="004241AC" w:rsidRPr="00EF062E">
        <w:rPr>
          <w:rFonts w:eastAsia="Calibri" w:cs="Calibri"/>
          <w:color w:val="000000"/>
          <w:lang w:eastAsia="it-IT"/>
        </w:rPr>
        <w:t>contiene i</w:t>
      </w:r>
      <w:r w:rsidR="00EF062E" w:rsidRPr="00EF062E">
        <w:rPr>
          <w:rFonts w:eastAsia="Calibri" w:cs="Calibri"/>
          <w:color w:val="000000"/>
          <w:lang w:eastAsia="it-IT"/>
        </w:rPr>
        <w:t>l</w:t>
      </w:r>
      <w:r w:rsidR="004241AC" w:rsidRPr="00EF062E">
        <w:rPr>
          <w:rFonts w:eastAsia="Calibri" w:cs="Calibri"/>
          <w:color w:val="000000"/>
          <w:lang w:eastAsia="it-IT"/>
        </w:rPr>
        <w:t xml:space="preserve"> principi</w:t>
      </w:r>
      <w:r w:rsidR="00EF062E" w:rsidRPr="00EF062E">
        <w:rPr>
          <w:rFonts w:eastAsia="Calibri" w:cs="Calibri"/>
          <w:color w:val="000000"/>
          <w:lang w:eastAsia="it-IT"/>
        </w:rPr>
        <w:t>o</w:t>
      </w:r>
      <w:r w:rsidR="004241AC" w:rsidRPr="00EF062E">
        <w:rPr>
          <w:rFonts w:eastAsia="Calibri" w:cs="Calibri"/>
          <w:color w:val="000000"/>
          <w:lang w:eastAsia="it-IT"/>
        </w:rPr>
        <w:t xml:space="preserve"> attiv</w:t>
      </w:r>
      <w:r w:rsidR="00EF062E" w:rsidRPr="00EF062E">
        <w:rPr>
          <w:rFonts w:eastAsia="Calibri" w:cs="Calibri"/>
          <w:color w:val="000000"/>
          <w:lang w:eastAsia="it-IT"/>
        </w:rPr>
        <w:t>o</w:t>
      </w:r>
      <w:r w:rsidR="004241AC" w:rsidRPr="00EF062E">
        <w:rPr>
          <w:rFonts w:eastAsia="Calibri" w:cs="Calibri"/>
          <w:color w:val="000000"/>
          <w:lang w:eastAsia="it-IT"/>
        </w:rPr>
        <w:t xml:space="preserve"> </w:t>
      </w:r>
      <w:r w:rsidR="00EF062E" w:rsidRPr="00EF062E">
        <w:rPr>
          <w:rFonts w:eastAsia="Calibri" w:cs="Calibri"/>
          <w:color w:val="000000"/>
          <w:lang w:eastAsia="it-IT"/>
        </w:rPr>
        <w:t>sildenafil</w:t>
      </w:r>
      <w:r w:rsidR="001E6A6E">
        <w:rPr>
          <w:rFonts w:eastAsia="Calibri" w:cs="Calibri"/>
          <w:color w:val="000000"/>
          <w:lang w:eastAsia="it-IT"/>
        </w:rPr>
        <w:t xml:space="preserve"> che, </w:t>
      </w:r>
      <w:r w:rsidR="00EF062E" w:rsidRPr="00EF062E">
        <w:rPr>
          <w:rFonts w:eastAsia="DejaVuSans" w:cs="DejaVuSans"/>
        </w:rPr>
        <w:t xml:space="preserve">in presenza di una stimolazione sessuale, ripristina </w:t>
      </w:r>
      <w:r w:rsidR="00A846D4">
        <w:rPr>
          <w:rFonts w:eastAsia="DejaVuSans" w:cs="DejaVuSans"/>
        </w:rPr>
        <w:t>l</w:t>
      </w:r>
      <w:r w:rsidR="00EF062E" w:rsidRPr="00EF062E">
        <w:rPr>
          <w:rFonts w:eastAsia="DejaVuSans" w:cs="DejaVuSans"/>
        </w:rPr>
        <w:t>a</w:t>
      </w:r>
      <w:r w:rsidR="00EF062E">
        <w:rPr>
          <w:rFonts w:eastAsia="DejaVuSans" w:cs="DejaVuSans"/>
        </w:rPr>
        <w:t xml:space="preserve"> </w:t>
      </w:r>
      <w:r w:rsidR="00EF062E" w:rsidRPr="00EF062E">
        <w:rPr>
          <w:rFonts w:eastAsia="DejaVuSans" w:cs="DejaVuSans"/>
        </w:rPr>
        <w:t xml:space="preserve">funzione erettile </w:t>
      </w:r>
      <w:r w:rsidR="00EF062E">
        <w:rPr>
          <w:rFonts w:eastAsia="DejaVuSans" w:cs="DejaVuSans"/>
        </w:rPr>
        <w:t>c</w:t>
      </w:r>
      <w:r w:rsidR="00EF062E" w:rsidRPr="00EF062E">
        <w:rPr>
          <w:rFonts w:eastAsia="DejaVuSans" w:cs="DejaVuSans"/>
        </w:rPr>
        <w:t>ompromessa mediante un aumento del flusso sanguigno al pene</w:t>
      </w:r>
      <w:r w:rsidR="00EF062E">
        <w:rPr>
          <w:rFonts w:eastAsia="DejaVuSans" w:cs="DejaVuSans"/>
        </w:rPr>
        <w:t>.</w:t>
      </w:r>
    </w:p>
    <w:p w:rsidR="004241AC" w:rsidRDefault="004241AC" w:rsidP="00EF062E">
      <w:pPr>
        <w:autoSpaceDE w:val="0"/>
        <w:autoSpaceDN w:val="0"/>
        <w:adjustRightInd w:val="0"/>
        <w:spacing w:after="0" w:line="240" w:lineRule="auto"/>
        <w:jc w:val="both"/>
        <w:rPr>
          <w:rFonts w:eastAsia="DejaVuSans" w:cs="DejaVuSans"/>
          <w:szCs w:val="20"/>
        </w:rPr>
      </w:pPr>
    </w:p>
    <w:p w:rsidR="001E6A6E" w:rsidRDefault="001E6A6E" w:rsidP="00EF062E">
      <w:pPr>
        <w:autoSpaceDE w:val="0"/>
        <w:autoSpaceDN w:val="0"/>
        <w:adjustRightInd w:val="0"/>
        <w:spacing w:after="0" w:line="240" w:lineRule="auto"/>
        <w:jc w:val="both"/>
        <w:rPr>
          <w:rFonts w:eastAsia="DejaVuSans" w:cs="DejaVuSans"/>
          <w:szCs w:val="20"/>
        </w:rPr>
      </w:pPr>
    </w:p>
    <w:p w:rsidR="004241AC" w:rsidRPr="00EF062E" w:rsidRDefault="004241AC" w:rsidP="00EF062E">
      <w:pPr>
        <w:autoSpaceDE w:val="0"/>
        <w:autoSpaceDN w:val="0"/>
        <w:adjustRightInd w:val="0"/>
        <w:spacing w:after="0" w:line="240" w:lineRule="auto"/>
        <w:jc w:val="both"/>
        <w:rPr>
          <w:rFonts w:eastAsia="Calibri" w:cs="Calibri"/>
          <w:lang w:eastAsia="it-IT"/>
        </w:rPr>
      </w:pPr>
      <w:r w:rsidRPr="00EF062E">
        <w:rPr>
          <w:rFonts w:eastAsia="Calibri" w:cs="Calibri"/>
          <w:b/>
          <w:bCs/>
          <w:lang w:eastAsia="it-IT"/>
        </w:rPr>
        <w:t xml:space="preserve">4) COME È STATO STUDIATO </w:t>
      </w:r>
      <w:r w:rsidR="00621AE2">
        <w:rPr>
          <w:rFonts w:eastAsia="Calibri" w:cs="Calibri"/>
          <w:b/>
          <w:bCs/>
          <w:color w:val="000000"/>
          <w:lang w:eastAsia="it-IT"/>
        </w:rPr>
        <w:t>Sildenafil Brunifarma Research</w:t>
      </w:r>
      <w:r w:rsidRPr="00EF062E">
        <w:rPr>
          <w:rFonts w:eastAsia="Calibri" w:cs="Calibri"/>
          <w:b/>
          <w:bCs/>
          <w:lang w:eastAsia="it-IT"/>
        </w:rPr>
        <w:t xml:space="preserve">? </w:t>
      </w:r>
    </w:p>
    <w:p w:rsidR="004241AC" w:rsidRPr="004E389D" w:rsidRDefault="004241AC" w:rsidP="004241AC">
      <w:pPr>
        <w:spacing w:after="0" w:line="240" w:lineRule="auto"/>
        <w:jc w:val="both"/>
        <w:rPr>
          <w:rFonts w:ascii="Calibri" w:hAnsi="Calibri" w:cs="Arial"/>
        </w:rPr>
      </w:pPr>
      <w:r>
        <w:rPr>
          <w:rFonts w:ascii="Calibri" w:hAnsi="Calibri" w:cs="Arial"/>
        </w:rPr>
        <w:t xml:space="preserve">Poiché </w:t>
      </w:r>
      <w:r w:rsidR="00621AE2">
        <w:rPr>
          <w:rFonts w:ascii="Calibri" w:hAnsi="Calibri" w:cs="Arial"/>
        </w:rPr>
        <w:t>Sildenafil Brunifarma Research</w:t>
      </w:r>
      <w:r w:rsidR="00062636">
        <w:rPr>
          <w:rFonts w:ascii="Calibri" w:hAnsi="Calibri" w:cs="Arial"/>
        </w:rPr>
        <w:t xml:space="preserve"> </w:t>
      </w:r>
      <w:r w:rsidR="00013020">
        <w:rPr>
          <w:rFonts w:ascii="Calibri" w:hAnsi="Calibri" w:cs="Arial"/>
        </w:rPr>
        <w:t>è un medicinale generico</w:t>
      </w:r>
      <w:r w:rsidRPr="004E389D">
        <w:rPr>
          <w:rFonts w:ascii="Calibri" w:hAnsi="Calibri" w:cs="Arial"/>
        </w:rPr>
        <w:t xml:space="preserve">, </w:t>
      </w:r>
      <w:r>
        <w:rPr>
          <w:rFonts w:ascii="Calibri" w:hAnsi="Calibri" w:cs="Arial"/>
        </w:rPr>
        <w:t xml:space="preserve">è stato sufficiente </w:t>
      </w:r>
      <w:r w:rsidRPr="004E389D">
        <w:rPr>
          <w:rFonts w:ascii="Calibri" w:hAnsi="Calibri" w:cs="Arial"/>
        </w:rPr>
        <w:t>effettuare</w:t>
      </w:r>
      <w:r>
        <w:rPr>
          <w:rFonts w:ascii="Calibri" w:hAnsi="Calibri" w:cs="Arial"/>
        </w:rPr>
        <w:t xml:space="preserve"> prove cliniche per determinare</w:t>
      </w:r>
      <w:r w:rsidRPr="004E389D">
        <w:rPr>
          <w:rFonts w:ascii="Calibri" w:hAnsi="Calibri" w:cs="Arial"/>
          <w:b/>
        </w:rPr>
        <w:t xml:space="preserve"> </w:t>
      </w:r>
      <w:r>
        <w:rPr>
          <w:rFonts w:ascii="Calibri" w:hAnsi="Calibri" w:cs="Arial"/>
        </w:rPr>
        <w:t xml:space="preserve">la bioequivalenza rispetto </w:t>
      </w:r>
      <w:r w:rsidR="00013020">
        <w:rPr>
          <w:rFonts w:ascii="Calibri" w:hAnsi="Calibri" w:cs="Arial"/>
        </w:rPr>
        <w:t>al</w:t>
      </w:r>
      <w:r>
        <w:rPr>
          <w:rFonts w:ascii="Calibri" w:hAnsi="Calibri" w:cs="Arial"/>
        </w:rPr>
        <w:t xml:space="preserve"> medicinal</w:t>
      </w:r>
      <w:r w:rsidR="00013020">
        <w:rPr>
          <w:rFonts w:ascii="Calibri" w:hAnsi="Calibri" w:cs="Arial"/>
        </w:rPr>
        <w:t xml:space="preserve">e </w:t>
      </w:r>
      <w:r>
        <w:rPr>
          <w:rFonts w:ascii="Calibri" w:hAnsi="Calibri" w:cs="Arial"/>
        </w:rPr>
        <w:t xml:space="preserve">di riferimento </w:t>
      </w:r>
      <w:r w:rsidR="009B03DB">
        <w:rPr>
          <w:rFonts w:ascii="Calibri" w:hAnsi="Calibri" w:cs="Arial"/>
        </w:rPr>
        <w:t>Viagra</w:t>
      </w:r>
      <w:r w:rsidR="00013020">
        <w:rPr>
          <w:rFonts w:ascii="Calibri" w:hAnsi="Calibri" w:cs="Arial"/>
        </w:rPr>
        <w:t>. Due medicinali sono bioequivalenti quando producono gli stessi livelli di principio attivo nell’organismo</w:t>
      </w:r>
      <w:r w:rsidRPr="004E389D">
        <w:rPr>
          <w:rFonts w:ascii="Calibri" w:hAnsi="Calibri" w:cs="Arial"/>
        </w:rPr>
        <w:t xml:space="preserve">. </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r w:rsidR="00621AE2">
        <w:rPr>
          <w:rFonts w:eastAsia="Calibri" w:cs="Calibri"/>
          <w:b/>
          <w:bCs/>
          <w:color w:val="000000"/>
          <w:lang w:eastAsia="it-IT"/>
        </w:rPr>
        <w:t xml:space="preserve">Sildenafil </w:t>
      </w:r>
      <w:r w:rsidR="002C1F10">
        <w:rPr>
          <w:rFonts w:eastAsia="Calibri" w:cs="Calibri"/>
          <w:b/>
          <w:bCs/>
          <w:color w:val="000000"/>
          <w:lang w:eastAsia="it-IT"/>
        </w:rPr>
        <w:t>B</w:t>
      </w:r>
      <w:r w:rsidR="00621AE2">
        <w:rPr>
          <w:rFonts w:eastAsia="Calibri" w:cs="Calibri"/>
          <w:b/>
          <w:bCs/>
          <w:color w:val="000000"/>
          <w:lang w:eastAsia="it-IT"/>
        </w:rPr>
        <w:t xml:space="preserve">runifarma </w:t>
      </w:r>
      <w:r w:rsidR="002C1F10">
        <w:rPr>
          <w:rFonts w:eastAsia="Calibri" w:cs="Calibri"/>
          <w:b/>
          <w:bCs/>
          <w:color w:val="000000"/>
          <w:lang w:eastAsia="it-IT"/>
        </w:rPr>
        <w:t>R</w:t>
      </w:r>
      <w:r w:rsidR="00621AE2">
        <w:rPr>
          <w:rFonts w:eastAsia="Calibri" w:cs="Calibri"/>
          <w:b/>
          <w:bCs/>
          <w:color w:val="000000"/>
          <w:lang w:eastAsia="it-IT"/>
        </w:rPr>
        <w:t>esearch</w:t>
      </w:r>
      <w:r w:rsidRPr="009B03DB">
        <w:rPr>
          <w:rFonts w:eastAsia="Calibri" w:cs="Calibri"/>
          <w:b/>
          <w:lang w:eastAsia="it-IT"/>
        </w:rPr>
        <w:t>?</w:t>
      </w:r>
      <w:r w:rsidRPr="002A3F14">
        <w:rPr>
          <w:rFonts w:eastAsia="Calibri" w:cs="Calibri"/>
          <w:lang w:eastAsia="it-IT"/>
        </w:rPr>
        <w:t xml:space="preserve"> </w:t>
      </w:r>
    </w:p>
    <w:p w:rsidR="004241AC" w:rsidRPr="002A3F14" w:rsidRDefault="00621AE2" w:rsidP="004241AC">
      <w:pPr>
        <w:autoSpaceDE w:val="0"/>
        <w:autoSpaceDN w:val="0"/>
        <w:adjustRightInd w:val="0"/>
        <w:spacing w:after="0" w:line="240" w:lineRule="auto"/>
        <w:jc w:val="both"/>
        <w:rPr>
          <w:rFonts w:eastAsia="Calibri" w:cs="Calibri"/>
          <w:lang w:eastAsia="it-IT"/>
        </w:rPr>
      </w:pPr>
      <w:r>
        <w:rPr>
          <w:rFonts w:eastAsia="Calibri" w:cs="Calibri"/>
          <w:bCs/>
          <w:color w:val="000000"/>
          <w:lang w:eastAsia="it-IT"/>
        </w:rPr>
        <w:t>Sildenafil Brunifarma Research</w:t>
      </w:r>
      <w:r w:rsidR="009B03DB">
        <w:rPr>
          <w:rFonts w:eastAsia="Calibri" w:cs="Calibri"/>
          <w:bCs/>
          <w:color w:val="000000"/>
          <w:lang w:eastAsia="it-IT"/>
        </w:rPr>
        <w:t xml:space="preserve"> </w:t>
      </w:r>
      <w:r w:rsidR="004241AC" w:rsidRPr="004241AC">
        <w:rPr>
          <w:rFonts w:eastAsia="Calibri" w:cs="Calibri"/>
          <w:lang w:eastAsia="it-IT"/>
        </w:rPr>
        <w:t xml:space="preserve">è un medicinale </w:t>
      </w:r>
      <w:r w:rsidR="00013020">
        <w:rPr>
          <w:rFonts w:eastAsia="Calibri" w:cs="Calibri"/>
          <w:lang w:eastAsia="it-IT"/>
        </w:rPr>
        <w:t>generico ed è bioequivale</w:t>
      </w:r>
      <w:r w:rsidR="009B03DB">
        <w:rPr>
          <w:rFonts w:eastAsia="Calibri" w:cs="Calibri"/>
          <w:lang w:eastAsia="it-IT"/>
        </w:rPr>
        <w:t>n</w:t>
      </w:r>
      <w:r w:rsidR="00013020">
        <w:rPr>
          <w:rFonts w:eastAsia="Calibri" w:cs="Calibri"/>
          <w:lang w:eastAsia="it-IT"/>
        </w:rPr>
        <w:t>te al medicinale di riferimento</w:t>
      </w:r>
      <w:r w:rsidR="00A966D1">
        <w:rPr>
          <w:rFonts w:eastAsia="Calibri" w:cs="Calibri"/>
          <w:lang w:eastAsia="it-IT"/>
        </w:rPr>
        <w:t>; pertanto,</w:t>
      </w:r>
      <w:r w:rsidR="00A966D1" w:rsidRPr="002A3F14">
        <w:rPr>
          <w:rFonts w:eastAsia="Calibri" w:cs="Calibri"/>
          <w:lang w:eastAsia="it-IT"/>
        </w:rPr>
        <w:t xml:space="preserve"> </w:t>
      </w:r>
      <w:r w:rsidR="00013020">
        <w:rPr>
          <w:rFonts w:eastAsia="Calibri" w:cs="Calibri"/>
          <w:lang w:eastAsia="it-IT"/>
        </w:rPr>
        <w:t>i suoi</w:t>
      </w:r>
      <w:r w:rsidR="004241AC" w:rsidRPr="002A3F14">
        <w:rPr>
          <w:rFonts w:eastAsia="Calibri" w:cs="Calibri"/>
          <w:lang w:eastAsia="it-IT"/>
        </w:rPr>
        <w:t xml:space="preserve"> benefici e rischi sono sovrapponibili a quelli de</w:t>
      </w:r>
      <w:r w:rsidR="00013020">
        <w:rPr>
          <w:rFonts w:eastAsia="Calibri" w:cs="Calibri"/>
          <w:lang w:eastAsia="it-IT"/>
        </w:rPr>
        <w:t>l</w:t>
      </w:r>
      <w:r w:rsidR="004241AC" w:rsidRPr="002A3F14">
        <w:rPr>
          <w:rFonts w:eastAsia="Calibri" w:cs="Calibri"/>
          <w:lang w:eastAsia="it-IT"/>
        </w:rPr>
        <w:t xml:space="preserve"> </w:t>
      </w:r>
      <w:r w:rsidR="004241AC">
        <w:rPr>
          <w:rFonts w:eastAsia="Calibri" w:cs="Calibri"/>
          <w:lang w:eastAsia="it-IT"/>
        </w:rPr>
        <w:t>medicinal</w:t>
      </w:r>
      <w:r w:rsidR="00013020">
        <w:rPr>
          <w:rFonts w:eastAsia="Calibri" w:cs="Calibri"/>
          <w:lang w:eastAsia="it-IT"/>
        </w:rPr>
        <w:t>e</w:t>
      </w:r>
      <w:r w:rsidR="004241AC" w:rsidRPr="002A3F14">
        <w:rPr>
          <w:rFonts w:eastAsia="Calibri" w:cs="Calibri"/>
          <w:lang w:eastAsia="it-IT"/>
        </w:rPr>
        <w:t xml:space="preserve"> di riferimento. </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CA3A1E" w:rsidRDefault="004241AC" w:rsidP="004241AC">
      <w:pPr>
        <w:autoSpaceDE w:val="0"/>
        <w:autoSpaceDN w:val="0"/>
        <w:adjustRightInd w:val="0"/>
        <w:spacing w:after="0" w:line="240" w:lineRule="auto"/>
        <w:jc w:val="both"/>
        <w:rPr>
          <w:rFonts w:eastAsia="Calibri" w:cs="Calibri"/>
          <w:lang w:eastAsia="it-IT"/>
        </w:rPr>
      </w:pPr>
      <w:r w:rsidRPr="00CA3A1E">
        <w:rPr>
          <w:rFonts w:eastAsia="Calibri" w:cs="Calibri"/>
          <w:b/>
          <w:bCs/>
          <w:lang w:eastAsia="it-IT"/>
        </w:rPr>
        <w:t xml:space="preserve">6) PERCHE’ </w:t>
      </w:r>
      <w:r w:rsidR="00621AE2">
        <w:rPr>
          <w:rFonts w:eastAsia="Calibri" w:cs="Calibri"/>
          <w:b/>
          <w:bCs/>
          <w:color w:val="000000"/>
          <w:lang w:eastAsia="it-IT"/>
        </w:rPr>
        <w:t>Sildenafil Brunifarma Research</w:t>
      </w:r>
      <w:r w:rsidR="009B03DB">
        <w:rPr>
          <w:rFonts w:eastAsia="Calibri" w:cs="Calibri"/>
          <w:b/>
          <w:bCs/>
          <w:color w:val="000000"/>
          <w:lang w:eastAsia="it-IT"/>
        </w:rPr>
        <w:t xml:space="preserve"> </w:t>
      </w:r>
      <w:r w:rsidRPr="00CA3A1E">
        <w:rPr>
          <w:rFonts w:eastAsia="Calibri" w:cs="Calibri"/>
          <w:b/>
          <w:bCs/>
          <w:lang w:eastAsia="it-IT"/>
        </w:rPr>
        <w:t xml:space="preserve">E’ STATO APPROVATO? </w:t>
      </w:r>
    </w:p>
    <w:p w:rsidR="004241AC"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La Commissione Tecnico Scientifica (CTS)</w:t>
      </w:r>
      <w:r>
        <w:rPr>
          <w:rFonts w:eastAsia="Calibri" w:cs="Calibri"/>
          <w:lang w:eastAsia="it-IT"/>
        </w:rPr>
        <w:t>,</w:t>
      </w:r>
      <w:r w:rsidRPr="002A3F14">
        <w:rPr>
          <w:rFonts w:eastAsia="Calibri" w:cs="Calibri"/>
          <w:lang w:eastAsia="it-IT"/>
        </w:rPr>
        <w:t xml:space="preserve"> nella </w:t>
      </w:r>
      <w:r w:rsidRPr="00CA3A1E">
        <w:rPr>
          <w:rFonts w:eastAsia="Calibri" w:cs="Calibri"/>
          <w:lang w:eastAsia="it-IT"/>
        </w:rPr>
        <w:t xml:space="preserve">seduta del </w:t>
      </w:r>
      <w:r w:rsidR="009B03DB">
        <w:rPr>
          <w:rFonts w:eastAsia="Calibri" w:cs="Calibri"/>
          <w:lang w:eastAsia="it-IT"/>
        </w:rPr>
        <w:t>7-9 aprile</w:t>
      </w:r>
      <w:r>
        <w:rPr>
          <w:rFonts w:eastAsia="Calibri" w:cs="Calibri"/>
          <w:lang w:eastAsia="it-IT"/>
        </w:rPr>
        <w:t xml:space="preserve"> 201</w:t>
      </w:r>
      <w:r w:rsidR="00D20170">
        <w:rPr>
          <w:rFonts w:eastAsia="Calibri" w:cs="Calibri"/>
          <w:lang w:eastAsia="it-IT"/>
        </w:rPr>
        <w:t>4</w:t>
      </w:r>
      <w:r w:rsidRPr="002A3F14">
        <w:rPr>
          <w:rFonts w:eastAsia="Calibri" w:cs="Calibri"/>
          <w:lang w:eastAsia="it-IT"/>
        </w:rPr>
        <w:t xml:space="preserve">, </w:t>
      </w:r>
      <w:r>
        <w:rPr>
          <w:rFonts w:eastAsia="Calibri" w:cs="Calibri"/>
          <w:lang w:eastAsia="it-IT"/>
        </w:rPr>
        <w:t xml:space="preserve">ha concluso che, conformemente ai requisiti della normativa vigente, come nel caso </w:t>
      </w:r>
      <w:r w:rsidR="00D20170">
        <w:rPr>
          <w:rFonts w:eastAsia="Calibri" w:cs="Calibri"/>
          <w:lang w:eastAsia="it-IT"/>
        </w:rPr>
        <w:t>del</w:t>
      </w:r>
      <w:r>
        <w:rPr>
          <w:rFonts w:eastAsia="Calibri" w:cs="Calibri"/>
          <w:lang w:eastAsia="it-IT"/>
        </w:rPr>
        <w:t xml:space="preserve"> medicinal</w:t>
      </w:r>
      <w:r w:rsidR="00D20170">
        <w:rPr>
          <w:rFonts w:eastAsia="Calibri" w:cs="Calibri"/>
          <w:lang w:eastAsia="it-IT"/>
        </w:rPr>
        <w:t>e</w:t>
      </w:r>
      <w:r>
        <w:rPr>
          <w:rFonts w:eastAsia="Calibri" w:cs="Calibri"/>
          <w:lang w:eastAsia="it-IT"/>
        </w:rPr>
        <w:t xml:space="preserve"> di riferimento </w:t>
      </w:r>
      <w:r w:rsidR="009B03DB">
        <w:rPr>
          <w:rFonts w:eastAsia="Calibri" w:cs="Calibri"/>
          <w:lang w:eastAsia="it-IT"/>
        </w:rPr>
        <w:t>Viagra</w:t>
      </w:r>
      <w:r>
        <w:rPr>
          <w:rFonts w:eastAsia="Calibri" w:cs="Calibri"/>
          <w:lang w:eastAsia="it-IT"/>
        </w:rPr>
        <w:t xml:space="preserve">, i benefici di </w:t>
      </w:r>
      <w:r w:rsidR="00621AE2">
        <w:rPr>
          <w:rFonts w:eastAsia="Calibri" w:cs="Calibri"/>
          <w:lang w:eastAsia="it-IT"/>
        </w:rPr>
        <w:t>Sildenafil Brunifarma Research</w:t>
      </w:r>
      <w:r w:rsidR="009B03DB">
        <w:rPr>
          <w:rFonts w:eastAsia="Calibri" w:cs="Calibri"/>
          <w:lang w:eastAsia="it-IT"/>
        </w:rPr>
        <w:t xml:space="preserve"> </w:t>
      </w:r>
      <w:r w:rsidR="005F6B90">
        <w:rPr>
          <w:rFonts w:eastAsia="Calibri" w:cs="Calibri"/>
          <w:lang w:eastAsia="it-IT"/>
        </w:rPr>
        <w:t>sono</w:t>
      </w:r>
      <w:r>
        <w:rPr>
          <w:rFonts w:eastAsia="Calibri" w:cs="Calibri"/>
          <w:lang w:eastAsia="it-IT"/>
        </w:rPr>
        <w:t xml:space="preserve"> superiori ai rischi individuati. La CTS </w:t>
      </w:r>
      <w:r w:rsidRPr="002A3F14">
        <w:rPr>
          <w:rFonts w:eastAsia="Calibri" w:cs="Calibri"/>
          <w:lang w:eastAsia="it-IT"/>
        </w:rPr>
        <w:t>ha</w:t>
      </w:r>
      <w:r>
        <w:rPr>
          <w:rFonts w:eastAsia="Calibri" w:cs="Calibri"/>
          <w:lang w:eastAsia="it-IT"/>
        </w:rPr>
        <w:t>, inoltre,</w:t>
      </w:r>
      <w:r w:rsidRPr="002A3F14">
        <w:rPr>
          <w:rFonts w:eastAsia="Calibri" w:cs="Calibri"/>
          <w:lang w:eastAsia="it-IT"/>
        </w:rPr>
        <w:t xml:space="preserve"> </w:t>
      </w:r>
      <w:r>
        <w:rPr>
          <w:rFonts w:eastAsia="Calibri" w:cs="Calibri"/>
          <w:lang w:eastAsia="it-IT"/>
        </w:rPr>
        <w:t>definito</w:t>
      </w:r>
      <w:r w:rsidRPr="002A3F14">
        <w:rPr>
          <w:rFonts w:eastAsia="Calibri" w:cs="Calibri"/>
          <w:lang w:eastAsia="it-IT"/>
        </w:rPr>
        <w:t xml:space="preserve"> le modalità d</w:t>
      </w:r>
      <w:r w:rsidR="00A846D4">
        <w:rPr>
          <w:rFonts w:eastAsia="Calibri" w:cs="Calibri"/>
          <w:lang w:eastAsia="it-IT"/>
        </w:rPr>
        <w:t xml:space="preserve">i prescrizione di cui al punto </w:t>
      </w:r>
      <w:r w:rsidRPr="002A3F14">
        <w:rPr>
          <w:rFonts w:eastAsia="Calibri" w:cs="Calibri"/>
          <w:lang w:eastAsia="it-IT"/>
        </w:rPr>
        <w:t xml:space="preserve">2) </w:t>
      </w:r>
      <w:r>
        <w:rPr>
          <w:rFonts w:eastAsia="Calibri" w:cs="Calibri"/>
          <w:lang w:eastAsia="it-IT"/>
        </w:rPr>
        <w:t>di questo Riassunto</w:t>
      </w:r>
      <w:r w:rsidRPr="002A3F14">
        <w:rPr>
          <w:rFonts w:eastAsia="Calibri" w:cs="Calibri"/>
          <w:lang w:eastAsia="it-IT"/>
        </w:rPr>
        <w:t xml:space="preserve"> e la classe di rimborsabilità del medicinale</w:t>
      </w:r>
      <w:r w:rsidR="00D20170">
        <w:rPr>
          <w:rFonts w:eastAsia="Calibri" w:cs="Calibri"/>
          <w:lang w:eastAsia="it-IT"/>
        </w:rPr>
        <w:t xml:space="preserve"> </w:t>
      </w:r>
      <w:r w:rsidRPr="002A3F14">
        <w:rPr>
          <w:rFonts w:eastAsia="Calibri" w:cs="Calibri"/>
          <w:lang w:eastAsia="it-IT"/>
        </w:rPr>
        <w:t xml:space="preserve">(C). </w:t>
      </w:r>
    </w:p>
    <w:p w:rsidR="004241AC"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b/>
          <w:bCs/>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DI </w:t>
      </w:r>
      <w:r w:rsidR="00621AE2">
        <w:rPr>
          <w:rFonts w:eastAsia="Calibri" w:cs="Calibri"/>
          <w:b/>
          <w:bCs/>
          <w:color w:val="000000"/>
          <w:lang w:eastAsia="it-IT"/>
        </w:rPr>
        <w:t>Sildenafil Brunifarma Research</w:t>
      </w:r>
      <w:r w:rsidRPr="002A3F14">
        <w:rPr>
          <w:rFonts w:eastAsia="Calibri" w:cs="Calibri"/>
          <w:b/>
          <w:bCs/>
          <w:color w:val="000000"/>
          <w:lang w:eastAsia="it-IT"/>
        </w:rPr>
        <w:t>?</w:t>
      </w:r>
    </w:p>
    <w:p w:rsidR="004241AC" w:rsidRPr="002A3F14" w:rsidRDefault="00C95F6B"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r w:rsidR="00621AE2">
        <w:rPr>
          <w:rFonts w:eastAsia="Calibri" w:cs="Calibri"/>
          <w:lang w:eastAsia="it-IT"/>
        </w:rPr>
        <w:t>Sildenafil Brunifarma Research</w:t>
      </w:r>
      <w:r w:rsidR="004241AC" w:rsidRPr="002A3F14">
        <w:rPr>
          <w:rFonts w:eastAsia="Calibri" w:cs="Calibri"/>
          <w:lang w:eastAsia="it-IT"/>
        </w:rPr>
        <w:t>.</w:t>
      </w:r>
    </w:p>
    <w:p w:rsidR="004241AC"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r w:rsidR="00621AE2">
        <w:rPr>
          <w:rFonts w:eastAsia="Calibri" w:cs="Calibri"/>
          <w:b/>
          <w:bCs/>
          <w:color w:val="000000"/>
          <w:lang w:eastAsia="it-IT"/>
        </w:rPr>
        <w:t>Sildenafil Brunifarma Research</w:t>
      </w:r>
    </w:p>
    <w:p w:rsidR="004241AC" w:rsidRPr="00CA3A1E" w:rsidRDefault="004241AC" w:rsidP="004241AC">
      <w:pPr>
        <w:autoSpaceDE w:val="0"/>
        <w:autoSpaceDN w:val="0"/>
        <w:adjustRightInd w:val="0"/>
        <w:spacing w:after="0" w:line="240" w:lineRule="auto"/>
        <w:jc w:val="both"/>
        <w:rPr>
          <w:rFonts w:eastAsia="Calibri" w:cs="Calibri"/>
          <w:bCs/>
          <w:lang w:eastAsia="it-IT"/>
        </w:rPr>
      </w:pPr>
      <w:r w:rsidRPr="00CA3A1E">
        <w:rPr>
          <w:rFonts w:eastAsia="Calibri" w:cs="Calibri"/>
          <w:bCs/>
          <w:iCs/>
          <w:lang w:eastAsia="it-IT"/>
        </w:rPr>
        <w:t xml:space="preserve">Il </w:t>
      </w:r>
      <w:r w:rsidR="004D1CD8">
        <w:rPr>
          <w:rFonts w:eastAsia="Calibri" w:cs="Calibri"/>
          <w:bCs/>
          <w:iCs/>
          <w:lang w:eastAsia="it-IT"/>
        </w:rPr>
        <w:t>6 febbraio</w:t>
      </w:r>
      <w:r>
        <w:rPr>
          <w:rFonts w:eastAsia="Calibri" w:cs="Calibri"/>
          <w:bCs/>
          <w:iCs/>
          <w:lang w:eastAsia="it-IT"/>
        </w:rPr>
        <w:t xml:space="preserve"> </w:t>
      </w:r>
      <w:r w:rsidRPr="00CA3A1E">
        <w:rPr>
          <w:rFonts w:eastAsia="Calibri" w:cs="Calibri"/>
          <w:bCs/>
          <w:iCs/>
          <w:lang w:eastAsia="it-IT"/>
        </w:rPr>
        <w:t xml:space="preserve">2015 l’AIFA ha rilasciato l’autorizzazione all’immissione in commercio di </w:t>
      </w:r>
      <w:r w:rsidR="00621AE2">
        <w:rPr>
          <w:rFonts w:eastAsia="Calibri" w:cs="Calibri"/>
          <w:bCs/>
          <w:color w:val="000000"/>
          <w:lang w:eastAsia="it-IT"/>
        </w:rPr>
        <w:t>Sildenafil Brunifarma Research</w:t>
      </w:r>
      <w:r w:rsidRPr="00CA3A1E">
        <w:rPr>
          <w:rFonts w:eastAsia="Calibri" w:cs="Calibri"/>
          <w:bCs/>
          <w:lang w:eastAsia="it-IT"/>
        </w:rPr>
        <w:t xml:space="preserve">. </w:t>
      </w:r>
    </w:p>
    <w:p w:rsidR="005A16AD" w:rsidRDefault="005A16AD" w:rsidP="004241AC">
      <w:pPr>
        <w:autoSpaceDE w:val="0"/>
        <w:autoSpaceDN w:val="0"/>
        <w:adjustRightInd w:val="0"/>
        <w:spacing w:after="0" w:line="240" w:lineRule="auto"/>
        <w:jc w:val="both"/>
        <w:rPr>
          <w:rFonts w:eastAsia="Calibri" w:cs="Calibri"/>
          <w:lang w:eastAsia="it-IT"/>
        </w:rPr>
      </w:pPr>
    </w:p>
    <w:p w:rsidR="005A16AD" w:rsidRDefault="005A16AD" w:rsidP="005A16AD">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r w:rsidR="00621AE2">
        <w:rPr>
          <w:rFonts w:eastAsia="Calibri" w:cs="Calibri"/>
          <w:bCs/>
          <w:color w:val="000000"/>
          <w:lang w:eastAsia="it-IT"/>
        </w:rPr>
        <w:t>Sildenafil Brunifarma Research</w:t>
      </w:r>
      <w:r>
        <w:rPr>
          <w:rFonts w:eastAsia="Calibri" w:cs="Calibri"/>
          <w:bCs/>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94532B">
        <w:rPr>
          <w:rFonts w:eastAsia="Calibri" w:cs="Calibri"/>
          <w:lang w:eastAsia="it-IT"/>
        </w:rPr>
        <w:t>(</w:t>
      </w:r>
      <w:hyperlink r:id="rId7" w:history="1">
        <w:r w:rsidR="0094532B">
          <w:rPr>
            <w:rStyle w:val="Collegamentoipertestuale"/>
            <w:rFonts w:eastAsia="Calibri" w:cs="Calibri"/>
            <w:lang w:eastAsia="it-IT"/>
          </w:rPr>
          <w:t>https://farmaci.agenziafarmaco.gov.it/bancadatifarmaci</w:t>
        </w:r>
      </w:hyperlink>
      <w:r w:rsidR="0094532B">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rsidR="004241AC" w:rsidRDefault="004241AC" w:rsidP="004241AC">
      <w:pPr>
        <w:spacing w:after="0" w:line="240" w:lineRule="auto"/>
        <w:jc w:val="both"/>
        <w:rPr>
          <w:rFonts w:eastAsia="Calibri" w:cs="Calibri"/>
          <w:lang w:eastAsia="it-IT"/>
        </w:rPr>
      </w:pPr>
    </w:p>
    <w:p w:rsidR="004241AC" w:rsidRDefault="004241AC" w:rsidP="004241AC">
      <w:pPr>
        <w:spacing w:after="0" w:line="240" w:lineRule="auto"/>
        <w:jc w:val="both"/>
        <w:rPr>
          <w:rFonts w:eastAsia="Calibri" w:cs="Calibri"/>
          <w:lang w:eastAsia="it-IT"/>
        </w:rPr>
      </w:pPr>
    </w:p>
    <w:p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data </w:t>
      </w:r>
      <w:r w:rsidR="00C55238">
        <w:rPr>
          <w:rFonts w:eastAsia="Calibri" w:cs="Calibri"/>
          <w:lang w:eastAsia="it-IT"/>
        </w:rPr>
        <w:t>09.07.2015</w:t>
      </w:r>
      <w:r w:rsidRPr="002A3F14">
        <w:rPr>
          <w:rFonts w:eastAsia="Calibri" w:cs="Calibri"/>
          <w:lang w:eastAsia="it-IT"/>
        </w:rPr>
        <w:t xml:space="preserve">. </w:t>
      </w:r>
    </w:p>
    <w:p w:rsidR="004241AC" w:rsidRDefault="004241AC" w:rsidP="004241AC">
      <w:pPr>
        <w:spacing w:after="0" w:line="240" w:lineRule="auto"/>
        <w:jc w:val="both"/>
      </w:pPr>
    </w:p>
    <w:p w:rsidR="004241AC" w:rsidRPr="002A3F14" w:rsidRDefault="004241AC" w:rsidP="004241AC">
      <w:pPr>
        <w:spacing w:after="0" w:line="240" w:lineRule="auto"/>
        <w:jc w:val="both"/>
      </w:pPr>
    </w:p>
    <w:p w:rsidR="009A260F" w:rsidRDefault="009A260F"/>
    <w:p w:rsidR="005A16AD" w:rsidRDefault="005A16AD"/>
    <w:p w:rsidR="005A16AD" w:rsidRDefault="005A16AD"/>
    <w:p w:rsidR="005A16AD" w:rsidRDefault="005A16AD"/>
    <w:p w:rsidR="005A16AD" w:rsidRDefault="005A16AD" w:rsidP="005A16AD">
      <w:pPr>
        <w:spacing w:after="0" w:line="240" w:lineRule="auto"/>
        <w:jc w:val="center"/>
        <w:rPr>
          <w:b/>
          <w:sz w:val="28"/>
        </w:rPr>
      </w:pPr>
      <w:r>
        <w:rPr>
          <w:b/>
          <w:sz w:val="28"/>
        </w:rPr>
        <w:lastRenderedPageBreak/>
        <w:t>RELAZIONE PUBBLICA DI VALUTAZIONE</w:t>
      </w:r>
    </w:p>
    <w:p w:rsidR="005A16AD" w:rsidRDefault="005A16AD" w:rsidP="005A16AD">
      <w:pPr>
        <w:spacing w:after="0" w:line="240" w:lineRule="auto"/>
        <w:jc w:val="center"/>
        <w:rPr>
          <w:b/>
        </w:rPr>
      </w:pPr>
    </w:p>
    <w:p w:rsidR="005A16AD" w:rsidRDefault="005A16AD" w:rsidP="005A16AD">
      <w:pPr>
        <w:spacing w:after="0" w:line="240" w:lineRule="auto"/>
        <w:jc w:val="center"/>
        <w:rPr>
          <w:b/>
        </w:rPr>
      </w:pPr>
    </w:p>
    <w:p w:rsidR="005A16AD" w:rsidRDefault="005A16AD" w:rsidP="005A16AD">
      <w:pPr>
        <w:spacing w:after="0" w:line="240" w:lineRule="auto"/>
        <w:jc w:val="center"/>
        <w:rPr>
          <w:b/>
        </w:rPr>
      </w:pPr>
    </w:p>
    <w:p w:rsidR="005A16AD" w:rsidRDefault="005A16AD" w:rsidP="005A16AD">
      <w:pPr>
        <w:spacing w:after="0" w:line="240" w:lineRule="auto"/>
        <w:jc w:val="center"/>
        <w:rPr>
          <w:b/>
        </w:rPr>
      </w:pPr>
    </w:p>
    <w:p w:rsidR="005A16AD" w:rsidRDefault="005A16AD" w:rsidP="005A16AD">
      <w:pPr>
        <w:spacing w:after="0" w:line="240" w:lineRule="auto"/>
        <w:jc w:val="center"/>
        <w:rPr>
          <w:b/>
        </w:rPr>
      </w:pPr>
      <w:r>
        <w:rPr>
          <w:b/>
        </w:rPr>
        <w:t>INDICE</w:t>
      </w:r>
    </w:p>
    <w:p w:rsidR="005A16AD" w:rsidRDefault="005A16AD" w:rsidP="005A16AD">
      <w:pPr>
        <w:spacing w:after="0" w:line="240" w:lineRule="auto"/>
        <w:jc w:val="both"/>
      </w:pPr>
    </w:p>
    <w:p w:rsidR="005A16AD" w:rsidRDefault="005A16AD" w:rsidP="005A16AD">
      <w:pPr>
        <w:spacing w:after="0" w:line="240" w:lineRule="auto"/>
        <w:jc w:val="both"/>
      </w:pPr>
    </w:p>
    <w:p w:rsidR="005A16AD" w:rsidRDefault="005A16AD" w:rsidP="005A16AD">
      <w:pPr>
        <w:spacing w:after="0" w:line="240" w:lineRule="auto"/>
        <w:jc w:val="both"/>
      </w:pPr>
    </w:p>
    <w:p w:rsidR="005A16AD" w:rsidRDefault="005A16AD" w:rsidP="005A16AD">
      <w:pPr>
        <w:pStyle w:val="Paragrafoelenco"/>
        <w:numPr>
          <w:ilvl w:val="0"/>
          <w:numId w:val="1"/>
        </w:numPr>
        <w:spacing w:after="0" w:line="240" w:lineRule="auto"/>
        <w:rPr>
          <w:b/>
        </w:rPr>
      </w:pPr>
      <w:r>
        <w:rPr>
          <w:b/>
        </w:rPr>
        <w:t>INTRODUZIONE</w:t>
      </w:r>
    </w:p>
    <w:p w:rsidR="005A16AD" w:rsidRDefault="005A16AD" w:rsidP="005A16AD">
      <w:pPr>
        <w:spacing w:after="0" w:line="240" w:lineRule="auto"/>
        <w:jc w:val="both"/>
      </w:pPr>
    </w:p>
    <w:p w:rsidR="005A16AD" w:rsidRDefault="005A16AD" w:rsidP="005A16AD">
      <w:pPr>
        <w:pStyle w:val="Paragrafoelenco"/>
        <w:numPr>
          <w:ilvl w:val="0"/>
          <w:numId w:val="1"/>
        </w:numPr>
        <w:spacing w:after="0" w:line="240" w:lineRule="auto"/>
        <w:jc w:val="both"/>
        <w:rPr>
          <w:b/>
        </w:rPr>
      </w:pPr>
      <w:r>
        <w:rPr>
          <w:b/>
        </w:rPr>
        <w:t>ASPETTI DI QUALITA’</w:t>
      </w:r>
    </w:p>
    <w:p w:rsidR="005A16AD" w:rsidRDefault="005A16AD" w:rsidP="005A16AD">
      <w:pPr>
        <w:pStyle w:val="Paragrafoelenco"/>
        <w:rPr>
          <w:b/>
        </w:rPr>
      </w:pPr>
    </w:p>
    <w:p w:rsidR="005A16AD" w:rsidRDefault="005A16AD" w:rsidP="005A16AD">
      <w:pPr>
        <w:pStyle w:val="Paragrafoelenco"/>
        <w:numPr>
          <w:ilvl w:val="0"/>
          <w:numId w:val="1"/>
        </w:numPr>
        <w:spacing w:after="0" w:line="240" w:lineRule="auto"/>
        <w:jc w:val="both"/>
        <w:rPr>
          <w:b/>
        </w:rPr>
      </w:pPr>
      <w:r>
        <w:rPr>
          <w:b/>
        </w:rPr>
        <w:t>ASPETTI NON CLINICI</w:t>
      </w:r>
    </w:p>
    <w:p w:rsidR="005A16AD" w:rsidRDefault="005A16AD" w:rsidP="005A16AD">
      <w:pPr>
        <w:pStyle w:val="Paragrafoelenco"/>
        <w:rPr>
          <w:b/>
        </w:rPr>
      </w:pPr>
    </w:p>
    <w:p w:rsidR="005A16AD" w:rsidRDefault="005A16AD" w:rsidP="005A16AD">
      <w:pPr>
        <w:pStyle w:val="Paragrafoelenco"/>
        <w:numPr>
          <w:ilvl w:val="0"/>
          <w:numId w:val="1"/>
        </w:numPr>
        <w:spacing w:after="0" w:line="240" w:lineRule="auto"/>
        <w:jc w:val="both"/>
        <w:rPr>
          <w:b/>
        </w:rPr>
      </w:pPr>
      <w:r>
        <w:rPr>
          <w:b/>
        </w:rPr>
        <w:t>ASPETTI CLINICI</w:t>
      </w:r>
    </w:p>
    <w:p w:rsidR="005A16AD" w:rsidRDefault="005A16AD" w:rsidP="005A16AD">
      <w:pPr>
        <w:pStyle w:val="Paragrafoelenco"/>
        <w:rPr>
          <w:b/>
        </w:rPr>
      </w:pPr>
    </w:p>
    <w:p w:rsidR="005A16AD" w:rsidRDefault="005A16AD" w:rsidP="005A16AD">
      <w:pPr>
        <w:pStyle w:val="Paragrafoelenco"/>
        <w:numPr>
          <w:ilvl w:val="0"/>
          <w:numId w:val="1"/>
        </w:numPr>
        <w:spacing w:after="0" w:line="240" w:lineRule="auto"/>
        <w:jc w:val="both"/>
        <w:rPr>
          <w:b/>
        </w:rPr>
      </w:pPr>
      <w:r>
        <w:rPr>
          <w:b/>
        </w:rPr>
        <w:t>CONSULTAZIONE SUL FOGLIO ILLUSTRATIVO</w:t>
      </w:r>
    </w:p>
    <w:p w:rsidR="005A16AD" w:rsidRDefault="005A16AD" w:rsidP="005A16AD">
      <w:pPr>
        <w:pStyle w:val="Paragrafoelenco"/>
        <w:spacing w:after="0" w:line="240" w:lineRule="auto"/>
        <w:ind w:left="1080"/>
        <w:jc w:val="both"/>
        <w:rPr>
          <w:b/>
        </w:rPr>
      </w:pPr>
    </w:p>
    <w:p w:rsidR="005A16AD" w:rsidRDefault="005A16AD" w:rsidP="005A16AD">
      <w:pPr>
        <w:pStyle w:val="Paragrafoelenco"/>
        <w:numPr>
          <w:ilvl w:val="0"/>
          <w:numId w:val="1"/>
        </w:numPr>
        <w:spacing w:after="0" w:line="240" w:lineRule="auto"/>
        <w:jc w:val="both"/>
        <w:rPr>
          <w:b/>
        </w:rPr>
      </w:pPr>
      <w:r>
        <w:rPr>
          <w:b/>
        </w:rPr>
        <w:t>CONCLUSIONI, VALUTAZIONE DEL RAPPORTO BENEFICIO/RISCHIO E RACCOMANDAZIONI</w:t>
      </w:r>
    </w:p>
    <w:p w:rsidR="005A16AD" w:rsidRDefault="005A16AD" w:rsidP="005A16AD"/>
    <w:p w:rsidR="005A16AD" w:rsidRDefault="005A16AD" w:rsidP="005A16AD"/>
    <w:p w:rsidR="005A16AD" w:rsidRDefault="005A16AD" w:rsidP="005A16AD"/>
    <w:p w:rsidR="005A16AD" w:rsidRDefault="005A16AD" w:rsidP="005A16AD"/>
    <w:p w:rsidR="005A16AD" w:rsidRDefault="005A16AD" w:rsidP="005A16AD"/>
    <w:p w:rsidR="005A16AD" w:rsidRDefault="005A16AD" w:rsidP="005A16AD"/>
    <w:p w:rsidR="005A16AD" w:rsidRDefault="005A16AD" w:rsidP="005A16AD"/>
    <w:p w:rsidR="005A16AD" w:rsidRDefault="005A16AD" w:rsidP="005A16AD"/>
    <w:p w:rsidR="005A16AD" w:rsidRDefault="005A16AD" w:rsidP="005A16AD"/>
    <w:p w:rsidR="005A16AD" w:rsidRDefault="005A16AD" w:rsidP="005A16AD"/>
    <w:p w:rsidR="005A16AD" w:rsidRDefault="005A16AD" w:rsidP="005A16AD"/>
    <w:p w:rsidR="005A16AD" w:rsidRDefault="005A16AD" w:rsidP="005A16AD"/>
    <w:p w:rsidR="005A16AD" w:rsidRDefault="005A16AD" w:rsidP="005A16AD"/>
    <w:p w:rsidR="005A16AD" w:rsidRDefault="005A16AD" w:rsidP="005A16AD"/>
    <w:p w:rsidR="005A16AD" w:rsidRDefault="005A16AD" w:rsidP="005A16AD"/>
    <w:p w:rsidR="005A16AD" w:rsidRDefault="005A16AD" w:rsidP="005A16AD"/>
    <w:p w:rsidR="005A16AD" w:rsidRDefault="005A16AD" w:rsidP="005A16AD"/>
    <w:p w:rsidR="005A16AD" w:rsidRDefault="005A16AD" w:rsidP="005A16AD">
      <w:pPr>
        <w:pStyle w:val="Paragrafoelenco"/>
        <w:numPr>
          <w:ilvl w:val="0"/>
          <w:numId w:val="2"/>
        </w:numPr>
        <w:spacing w:after="0" w:line="240" w:lineRule="auto"/>
        <w:rPr>
          <w:b/>
        </w:rPr>
      </w:pPr>
      <w:r>
        <w:rPr>
          <w:b/>
        </w:rPr>
        <w:lastRenderedPageBreak/>
        <w:t>INTRODUZIONE</w:t>
      </w:r>
    </w:p>
    <w:p w:rsidR="005A16AD" w:rsidRDefault="005A16AD" w:rsidP="005A16AD">
      <w:pPr>
        <w:autoSpaceDE w:val="0"/>
        <w:autoSpaceDN w:val="0"/>
        <w:adjustRightInd w:val="0"/>
        <w:spacing w:after="0" w:line="240" w:lineRule="auto"/>
        <w:jc w:val="both"/>
      </w:pPr>
      <w:r w:rsidRPr="003726B7">
        <w:t xml:space="preserve">Sulla base dei dati di qualità, sicurezza ed efficacia, l’AIFA ha rilasciato a </w:t>
      </w:r>
      <w:r w:rsidRPr="003726B7">
        <w:rPr>
          <w:rFonts w:ascii="Calibri" w:eastAsia="Calibri" w:hAnsi="Calibri" w:cs="Times New Roman"/>
          <w:bCs/>
        </w:rPr>
        <w:t xml:space="preserve">Brunifarma Research </w:t>
      </w:r>
      <w:r w:rsidRPr="003726B7">
        <w:t xml:space="preserve">l’autorizzazione all’immissione in commercio (AIC) per il medicinale </w:t>
      </w:r>
      <w:r>
        <w:t>Sildenafil Brunifarma Research</w:t>
      </w:r>
      <w:r w:rsidRPr="003726B7">
        <w:t xml:space="preserve"> </w:t>
      </w:r>
      <w:r w:rsidRPr="003726B7">
        <w:rPr>
          <w:rFonts w:eastAsia="Calibri" w:cs="Calibri"/>
          <w:bCs/>
          <w:iCs/>
          <w:lang w:eastAsia="it-IT"/>
        </w:rPr>
        <w:t xml:space="preserve">il </w:t>
      </w:r>
      <w:r w:rsidR="004D1CD8">
        <w:rPr>
          <w:rFonts w:eastAsia="Calibri" w:cs="Calibri"/>
          <w:bCs/>
          <w:iCs/>
          <w:lang w:eastAsia="it-IT"/>
        </w:rPr>
        <w:t>6 febbraio 2015.</w:t>
      </w:r>
    </w:p>
    <w:p w:rsidR="005A16AD" w:rsidRDefault="005A16AD" w:rsidP="005A16AD">
      <w:pPr>
        <w:spacing w:after="0" w:line="240" w:lineRule="auto"/>
        <w:jc w:val="both"/>
      </w:pPr>
    </w:p>
    <w:p w:rsidR="005A16AD" w:rsidRDefault="005A16AD" w:rsidP="005A16AD">
      <w:p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t>Sildenafil Brunifarma Research può essere ottenuto solo dietro prescrizione da parte del medico (ricetta ripetibile).</w:t>
      </w:r>
    </w:p>
    <w:p w:rsidR="005A16AD" w:rsidRDefault="005A16AD" w:rsidP="005A16AD">
      <w:pPr>
        <w:spacing w:after="0" w:line="240" w:lineRule="auto"/>
        <w:jc w:val="both"/>
      </w:pPr>
    </w:p>
    <w:p w:rsidR="005A16AD" w:rsidRDefault="005A16AD" w:rsidP="005A16AD">
      <w:pPr>
        <w:spacing w:after="0" w:line="240" w:lineRule="auto"/>
        <w:jc w:val="both"/>
      </w:pPr>
      <w:r>
        <w:t>Questa procedura è stata presentata ai sensi dell’art. 10(1) della Direttiva 2001/83/EU s.m.i.</w:t>
      </w:r>
    </w:p>
    <w:p w:rsidR="005A16AD" w:rsidRDefault="005A16AD" w:rsidP="005A16AD">
      <w:pPr>
        <w:widowControl w:val="0"/>
        <w:spacing w:after="0" w:line="240" w:lineRule="auto"/>
        <w:jc w:val="both"/>
        <w:rPr>
          <w:rFonts w:eastAsia="Calibri" w:cs="Calibri"/>
          <w:bCs/>
          <w:color w:val="000000"/>
          <w:lang w:eastAsia="it-IT"/>
        </w:rPr>
      </w:pPr>
    </w:p>
    <w:p w:rsidR="005A16AD" w:rsidRDefault="005A16AD" w:rsidP="005A16AD">
      <w:pPr>
        <w:widowControl w:val="0"/>
        <w:spacing w:after="0" w:line="240" w:lineRule="auto"/>
        <w:jc w:val="both"/>
        <w:rPr>
          <w:rFonts w:eastAsia="Calibri" w:cs="Calibri"/>
          <w:color w:val="000000"/>
          <w:lang w:eastAsia="it-IT"/>
        </w:rPr>
      </w:pPr>
      <w:r>
        <w:rPr>
          <w:rFonts w:eastAsia="Calibri" w:cs="Calibri"/>
          <w:bCs/>
          <w:color w:val="000000"/>
          <w:lang w:eastAsia="it-IT"/>
        </w:rPr>
        <w:t xml:space="preserve">Sildenafil Brunifarma Research </w:t>
      </w:r>
      <w:r>
        <w:rPr>
          <w:rFonts w:eastAsia="Calibri" w:cs="Calibri"/>
          <w:color w:val="000000"/>
          <w:lang w:eastAsia="it-IT"/>
        </w:rPr>
        <w:t>è un medicinale generico contenente il principio attivo sildenafil (sotto forma di sildenafil citrato)  presente nel medicinale di riferimento Viagra, autorizzato in Italia da più di 10 anni.</w:t>
      </w:r>
    </w:p>
    <w:p w:rsidR="005A16AD" w:rsidRDefault="005A16AD" w:rsidP="005A16AD">
      <w:pPr>
        <w:widowControl w:val="0"/>
        <w:spacing w:after="0" w:line="240" w:lineRule="auto"/>
        <w:jc w:val="both"/>
        <w:rPr>
          <w:highlight w:val="yellow"/>
        </w:rPr>
      </w:pPr>
    </w:p>
    <w:p w:rsidR="005A16AD" w:rsidRPr="005262C8" w:rsidRDefault="005A16AD" w:rsidP="005A16AD">
      <w:pPr>
        <w:widowControl w:val="0"/>
        <w:autoSpaceDE w:val="0"/>
        <w:autoSpaceDN w:val="0"/>
        <w:adjustRightInd w:val="0"/>
        <w:spacing w:after="0" w:line="240" w:lineRule="auto"/>
        <w:jc w:val="both"/>
        <w:rPr>
          <w:lang w:eastAsia="it-IT"/>
        </w:rPr>
      </w:pPr>
      <w:r>
        <w:rPr>
          <w:rFonts w:eastAsia="Calibri" w:cs="Calibri"/>
          <w:bCs/>
          <w:color w:val="000000"/>
          <w:lang w:eastAsia="it-IT"/>
        </w:rPr>
        <w:t xml:space="preserve">Sildenafil Brunifarma Research, </w:t>
      </w:r>
      <w:r>
        <w:rPr>
          <w:color w:val="000000"/>
        </w:rPr>
        <w:t>il cui c</w:t>
      </w:r>
      <w:r>
        <w:rPr>
          <w:iCs/>
        </w:rPr>
        <w:t>odice ATC è</w:t>
      </w:r>
      <w:r w:rsidRPr="005262C8">
        <w:rPr>
          <w:rFonts w:ascii="Calibri" w:eastAsia="Calibri" w:hAnsi="Calibri" w:cs="Times New Roman"/>
          <w:lang w:eastAsia="it-IT"/>
        </w:rPr>
        <w:t xml:space="preserve"> G04B E03</w:t>
      </w:r>
      <w:r>
        <w:rPr>
          <w:rFonts w:ascii="Calibri" w:eastAsia="Calibri" w:hAnsi="Calibri" w:cs="Times New Roman"/>
          <w:lang w:eastAsia="it-IT"/>
        </w:rPr>
        <w:t xml:space="preserve">, </w:t>
      </w:r>
      <w:r>
        <w:rPr>
          <w:rFonts w:eastAsia="Calibri" w:cs="Calibri"/>
          <w:color w:val="000000"/>
          <w:lang w:eastAsia="it-IT"/>
        </w:rPr>
        <w:t>contiene il principio attivo sildenafil citrato che, i</w:t>
      </w:r>
      <w:r w:rsidRPr="005262C8">
        <w:rPr>
          <w:lang w:eastAsia="it-IT"/>
        </w:rPr>
        <w:t xml:space="preserve">n condizioni normali, ovvero in presenza di una stimolazione sessuale, ripristina una funzione erettile compromessa mediante un aumento del flusso sanguigno al pene. </w:t>
      </w:r>
    </w:p>
    <w:p w:rsidR="005A16AD" w:rsidRPr="005262C8" w:rsidRDefault="005A16AD" w:rsidP="005A16AD">
      <w:pPr>
        <w:widowControl w:val="0"/>
        <w:autoSpaceDE w:val="0"/>
        <w:autoSpaceDN w:val="0"/>
        <w:adjustRightInd w:val="0"/>
        <w:spacing w:after="0" w:line="240" w:lineRule="auto"/>
        <w:jc w:val="both"/>
        <w:rPr>
          <w:lang w:eastAsia="it-IT"/>
        </w:rPr>
      </w:pPr>
      <w:r w:rsidRPr="005262C8">
        <w:rPr>
          <w:lang w:eastAsia="it-IT"/>
        </w:rPr>
        <w:t xml:space="preserve">Il meccanismo fisiologico responsabile dell’erezione del pene implica il rilascio di ossido di azoto (NO) nel corpo cavernoso durante la stimolazione sessuale. L’ossido di azoto a sua volta attiva l’enzima guanilato-ciclasi che provoca un aumento dei livelli di guanosin monofosfato ciclico (cGMP), producendo il rilassamento della muscolatura liscia nel corpo cavernoso e consentendo quindi l’afflusso di sangue. </w:t>
      </w:r>
    </w:p>
    <w:p w:rsidR="005A16AD" w:rsidRDefault="005A16AD" w:rsidP="005A16AD">
      <w:pPr>
        <w:widowControl w:val="0"/>
        <w:autoSpaceDE w:val="0"/>
        <w:autoSpaceDN w:val="0"/>
        <w:adjustRightInd w:val="0"/>
        <w:spacing w:after="0" w:line="240" w:lineRule="auto"/>
        <w:jc w:val="both"/>
        <w:rPr>
          <w:lang w:eastAsia="it-IT"/>
        </w:rPr>
      </w:pPr>
      <w:r w:rsidRPr="005262C8">
        <w:rPr>
          <w:lang w:eastAsia="it-IT"/>
        </w:rPr>
        <w:t xml:space="preserve">Il sildenafil è un potente inibitore selettivo della fosfodiesterasi di tipo 5 cGMP-specifica (PDE5) nel corpo cavernoso, dove </w:t>
      </w:r>
      <w:smartTag w:uri="urn:schemas-microsoft-com:office:smarttags" w:element="PersonName">
        <w:smartTagPr>
          <w:attr w:name="ProductID" w:val="la PDE"/>
        </w:smartTagPr>
        <w:r w:rsidRPr="005262C8">
          <w:rPr>
            <w:lang w:eastAsia="it-IT"/>
          </w:rPr>
          <w:t>la PDE</w:t>
        </w:r>
      </w:smartTag>
      <w:r w:rsidRPr="005262C8">
        <w:rPr>
          <w:lang w:eastAsia="it-IT"/>
        </w:rPr>
        <w:t>5 è responsabile della degradazione di cGMP. Il sildenafil agisce perifericamente sulle erezioni. Il sildenafil non ha un effetto rilassante diretto sul corpo cavernoso isolato dall’uomo, ma aumenta in modo efficace l'effetto rilassante dell'ossido di azoto (NO) su questo tessuto. Quando la via NO/cGMP viene attivata, come avviene con la stimolazione sessuale, l’inibizione della PDE5 da parte del sildenafil provoca un aumento dei livelli di cGMP nel corpo cavernoso. Pertanto è necessaria la stimolazione sessuale affinché il sildenafil possa produrre i suoi benefici effetti farmacologici previsti.</w:t>
      </w:r>
    </w:p>
    <w:p w:rsidR="005A16AD" w:rsidRDefault="005A16AD" w:rsidP="005A16AD">
      <w:pPr>
        <w:widowControl w:val="0"/>
        <w:autoSpaceDE w:val="0"/>
        <w:autoSpaceDN w:val="0"/>
        <w:adjustRightInd w:val="0"/>
        <w:spacing w:after="0" w:line="240" w:lineRule="auto"/>
        <w:jc w:val="both"/>
      </w:pPr>
    </w:p>
    <w:p w:rsidR="005A16AD" w:rsidRDefault="005A16AD" w:rsidP="005A16AD">
      <w:pPr>
        <w:widowControl w:val="0"/>
        <w:autoSpaceDE w:val="0"/>
        <w:autoSpaceDN w:val="0"/>
        <w:adjustRightInd w:val="0"/>
        <w:spacing w:after="0" w:line="240" w:lineRule="auto"/>
        <w:jc w:val="both"/>
      </w:pPr>
      <w:r>
        <w:rPr>
          <w:lang w:eastAsia="it-IT"/>
        </w:rPr>
        <w:t>Sildenafil Brunifarma Research è utilizzato per il t</w:t>
      </w:r>
      <w:r w:rsidRPr="005262C8">
        <w:rPr>
          <w:lang w:eastAsia="it-IT"/>
        </w:rPr>
        <w:t xml:space="preserve">rattamento di soggetti con disfunzione erettile, ovvero dell’incapacità a raggiungere o a mantenere un’erezione idonea per una attività sessuale soddisfacente.  È necessaria la stimolazione sessuale affinché </w:t>
      </w:r>
      <w:r>
        <w:rPr>
          <w:lang w:eastAsia="it-IT"/>
        </w:rPr>
        <w:t>Sildenafil Brunifarma Research</w:t>
      </w:r>
      <w:r w:rsidRPr="005262C8">
        <w:rPr>
          <w:lang w:eastAsia="it-IT"/>
        </w:rPr>
        <w:t xml:space="preserve"> possa essere efficace</w:t>
      </w:r>
      <w:r>
        <w:rPr>
          <w:lang w:eastAsia="it-IT"/>
        </w:rPr>
        <w:t>.</w:t>
      </w:r>
    </w:p>
    <w:p w:rsidR="005A16AD" w:rsidRDefault="005A16AD" w:rsidP="005A16AD">
      <w:pPr>
        <w:spacing w:after="0" w:line="240" w:lineRule="auto"/>
        <w:jc w:val="both"/>
      </w:pPr>
    </w:p>
    <w:p w:rsidR="005A16AD" w:rsidRDefault="005A16AD" w:rsidP="005A16AD">
      <w:pPr>
        <w:spacing w:after="0" w:line="240" w:lineRule="auto"/>
        <w:jc w:val="both"/>
      </w:pPr>
      <w:r w:rsidRPr="0002468C">
        <w:t xml:space="preserve">Poiché </w:t>
      </w:r>
      <w:r>
        <w:t>Sildenafil Brunifarma Research</w:t>
      </w:r>
      <w:r w:rsidRPr="0002468C">
        <w:t xml:space="preserve"> contiene </w:t>
      </w:r>
      <w:r>
        <w:t xml:space="preserve">un </w:t>
      </w:r>
      <w:r w:rsidRPr="0002468C">
        <w:t>principi</w:t>
      </w:r>
      <w:r>
        <w:t>o</w:t>
      </w:r>
      <w:r w:rsidRPr="0002468C">
        <w:t xml:space="preserve"> attiv</w:t>
      </w:r>
      <w:r>
        <w:t>o</w:t>
      </w:r>
      <w:r w:rsidRPr="0002468C">
        <w:t xml:space="preserve"> not</w:t>
      </w:r>
      <w:r>
        <w:t>o</w:t>
      </w:r>
      <w:r w:rsidRPr="0002468C">
        <w:t xml:space="preserve"> non sono stati forniti nuovi dati non clinici e clinici: questo approccio è accettabile poiché il medicinale di riferimento </w:t>
      </w:r>
      <w:r>
        <w:t xml:space="preserve">Viagra </w:t>
      </w:r>
      <w:r w:rsidRPr="0002468C">
        <w:t>è autorizzato in Italia da oltre 10 anni.</w:t>
      </w:r>
    </w:p>
    <w:p w:rsidR="005A16AD" w:rsidRPr="0002468C" w:rsidRDefault="005A16AD" w:rsidP="005A16AD">
      <w:pPr>
        <w:spacing w:after="0" w:line="240" w:lineRule="auto"/>
        <w:jc w:val="both"/>
      </w:pPr>
      <w:r w:rsidRPr="0002468C">
        <w:t xml:space="preserve">La richiesta di AIC è supportata da uno studio di bioequivalenza che ha confrontato i profili farmacocinetici del medicinale test </w:t>
      </w:r>
      <w:r>
        <w:t>Sildenafil Brunifarma Research</w:t>
      </w:r>
      <w:r w:rsidRPr="0002468C">
        <w:t xml:space="preserve"> e quelli del medicinale di riferimento </w:t>
      </w:r>
      <w:r>
        <w:t>Viagra</w:t>
      </w:r>
      <w:r w:rsidRPr="0002468C">
        <w:t>.</w:t>
      </w:r>
    </w:p>
    <w:p w:rsidR="005A16AD" w:rsidRPr="00900C91" w:rsidRDefault="005A16AD" w:rsidP="005A16AD">
      <w:pPr>
        <w:spacing w:after="0" w:line="240" w:lineRule="auto"/>
        <w:jc w:val="both"/>
      </w:pPr>
      <w:r w:rsidRPr="00900C91">
        <w:t>Lo studio di bioequivalenza è stato condotto in conformità alle linee guida di Buona Pratica Clinica (</w:t>
      </w:r>
      <w:r w:rsidRPr="00900C91">
        <w:rPr>
          <w:i/>
        </w:rPr>
        <w:t>Good Clinical Practice</w:t>
      </w:r>
      <w:r w:rsidRPr="00900C91">
        <w:t xml:space="preserve"> - GCP).</w:t>
      </w:r>
    </w:p>
    <w:p w:rsidR="005A16AD" w:rsidRDefault="005A16AD" w:rsidP="005A16AD">
      <w:pPr>
        <w:spacing w:after="0" w:line="240" w:lineRule="auto"/>
        <w:jc w:val="both"/>
      </w:pPr>
    </w:p>
    <w:p w:rsidR="007F0ECF" w:rsidRDefault="005A16AD" w:rsidP="007F0ECF">
      <w:pPr>
        <w:spacing w:after="0" w:line="240" w:lineRule="auto"/>
        <w:jc w:val="both"/>
      </w:pPr>
      <w:r>
        <w:t>Le officine coinvolte nella produzione sono conformi alle linee guida di Buona Pratica di Fabbricazione (</w:t>
      </w:r>
      <w:r>
        <w:rPr>
          <w:i/>
        </w:rPr>
        <w:t>Good Manufacturing Practice</w:t>
      </w:r>
      <w:r>
        <w:t xml:space="preserve"> - GMP). </w:t>
      </w:r>
      <w:r w:rsidR="007F0ECF">
        <w:t xml:space="preserve">Le autorità </w:t>
      </w:r>
      <w:r w:rsidR="007B7EAC">
        <w:t>regolatorie</w:t>
      </w:r>
      <w:r w:rsidR="007F0ECF">
        <w:t xml:space="preserve"> europee competenti hanno rilasciato i certificati GMP per i siti di produzione.</w:t>
      </w:r>
    </w:p>
    <w:p w:rsidR="005A16AD" w:rsidRDefault="005A16AD" w:rsidP="005A16AD">
      <w:pPr>
        <w:spacing w:after="0" w:line="240" w:lineRule="auto"/>
        <w:jc w:val="both"/>
        <w:rPr>
          <w:highlight w:val="yellow"/>
        </w:rPr>
      </w:pPr>
    </w:p>
    <w:p w:rsidR="005A16AD" w:rsidRDefault="005A16AD" w:rsidP="005A16AD">
      <w:pPr>
        <w:spacing w:after="0" w:line="240" w:lineRule="auto"/>
        <w:jc w:val="both"/>
      </w:pPr>
      <w:r>
        <w:t>Il sistema di Farmacovigilanza descritto dal titolare dell’AIC è conforme ai requisiti previsti dalla normativa corrente. E’ stato presentato un Piano di gestione del rischio (</w:t>
      </w:r>
      <w:r>
        <w:rPr>
          <w:i/>
        </w:rPr>
        <w:t>Risk Management Plan</w:t>
      </w:r>
      <w:r>
        <w:t xml:space="preserve"> – RMP) accettabile.</w:t>
      </w:r>
    </w:p>
    <w:p w:rsidR="005A16AD" w:rsidRDefault="005A16AD" w:rsidP="005A16AD">
      <w:pPr>
        <w:spacing w:after="0" w:line="240" w:lineRule="auto"/>
        <w:jc w:val="both"/>
      </w:pPr>
    </w:p>
    <w:p w:rsidR="005A16AD" w:rsidRDefault="005A16AD" w:rsidP="005A16AD">
      <w:pPr>
        <w:spacing w:after="0" w:line="240" w:lineRule="auto"/>
        <w:jc w:val="both"/>
      </w:pPr>
      <w:r>
        <w:t>Il titolare di AIC ha presentato una adeguata giustificazione relativa alla non presentazione della Valutazione del Rischio ambientale; questo approccio è accettabile in quanto Sildenafil Brunifarma Research contiene un principio attivo noto presente in medicinali autorizzati; inoltre, non sono presenti componenti geneticamente modificati; il metodo di produzione e la formulazione del medicinale non presentano problematiche di carattere ambientale.</w:t>
      </w:r>
    </w:p>
    <w:p w:rsidR="005A16AD" w:rsidRPr="003601F7" w:rsidRDefault="005A16AD" w:rsidP="005A16AD">
      <w:pPr>
        <w:pStyle w:val="Paragrafoelenco"/>
        <w:numPr>
          <w:ilvl w:val="0"/>
          <w:numId w:val="2"/>
        </w:numPr>
        <w:spacing w:after="0" w:line="240" w:lineRule="auto"/>
        <w:jc w:val="both"/>
        <w:rPr>
          <w:b/>
        </w:rPr>
      </w:pPr>
      <w:r w:rsidRPr="003601F7">
        <w:rPr>
          <w:b/>
        </w:rPr>
        <w:lastRenderedPageBreak/>
        <w:t>ASPETTI DI QUALITA’</w:t>
      </w:r>
    </w:p>
    <w:p w:rsidR="005A16AD" w:rsidRPr="003601F7" w:rsidRDefault="005A16AD" w:rsidP="005A16AD">
      <w:pPr>
        <w:spacing w:after="0" w:line="240" w:lineRule="auto"/>
        <w:jc w:val="both"/>
      </w:pPr>
      <w:r w:rsidRPr="003601F7">
        <w:rPr>
          <w:b/>
        </w:rPr>
        <w:t>II.1 PRINCIPIO ATTIVO SILDENAFIL CITRATO</w:t>
      </w:r>
    </w:p>
    <w:p w:rsidR="005A16AD" w:rsidRPr="003601F7" w:rsidRDefault="005A16AD" w:rsidP="005A16AD">
      <w:pPr>
        <w:autoSpaceDE w:val="0"/>
        <w:autoSpaceDN w:val="0"/>
        <w:adjustRightInd w:val="0"/>
        <w:spacing w:after="0" w:line="240" w:lineRule="auto"/>
        <w:jc w:val="both"/>
        <w:rPr>
          <w:rFonts w:cs="Arial"/>
        </w:rPr>
      </w:pPr>
      <w:r w:rsidRPr="003601F7">
        <w:rPr>
          <w:u w:val="single"/>
        </w:rPr>
        <w:t>Nome chimico:</w:t>
      </w:r>
      <w:r w:rsidRPr="003601F7">
        <w:t xml:space="preserve">  </w:t>
      </w:r>
      <w:r w:rsidRPr="003601F7">
        <w:rPr>
          <w:rFonts w:cs="Arial"/>
        </w:rPr>
        <w:t>5-[2-Ethoxy-5-[(4-methylpiperazin-1-yl)sulfonyl]phenyl]-1-methyl-3-propyl-1,6-dihydro-7</w:t>
      </w:r>
      <w:r w:rsidRPr="003601F7">
        <w:rPr>
          <w:rFonts w:cs="Arial"/>
          <w:i/>
          <w:iCs/>
        </w:rPr>
        <w:t>H</w:t>
      </w:r>
      <w:r w:rsidRPr="003601F7">
        <w:rPr>
          <w:rFonts w:cs="Arial"/>
        </w:rPr>
        <w:t>-pyrazolo[4,3-</w:t>
      </w:r>
      <w:r w:rsidRPr="003601F7">
        <w:rPr>
          <w:rFonts w:cs="Arial"/>
          <w:i/>
          <w:iCs/>
        </w:rPr>
        <w:t>d</w:t>
      </w:r>
      <w:r w:rsidRPr="003601F7">
        <w:rPr>
          <w:rFonts w:cs="Arial"/>
        </w:rPr>
        <w:t>]pyrimidin-7-one dihydrogen 2-hydroxypropane-1,2,3-tricarboxylate.</w:t>
      </w:r>
    </w:p>
    <w:p w:rsidR="005A16AD" w:rsidRPr="003601F7" w:rsidRDefault="005A16AD" w:rsidP="005A16AD">
      <w:pPr>
        <w:spacing w:after="0" w:line="240" w:lineRule="auto"/>
        <w:jc w:val="both"/>
      </w:pPr>
      <w:r w:rsidRPr="003601F7">
        <w:rPr>
          <w:u w:val="single"/>
        </w:rPr>
        <w:t>Struttura</w:t>
      </w:r>
      <w:r w:rsidRPr="003601F7">
        <w:t>:</w:t>
      </w:r>
    </w:p>
    <w:p w:rsidR="005A16AD" w:rsidRPr="003601F7" w:rsidRDefault="005A16AD" w:rsidP="005A16AD">
      <w:pPr>
        <w:spacing w:after="0" w:line="240" w:lineRule="auto"/>
        <w:jc w:val="center"/>
        <w:rPr>
          <w:rFonts w:eastAsia="Times New Roman" w:cs="Times New Roman"/>
          <w:sz w:val="24"/>
          <w:szCs w:val="24"/>
          <w:lang w:eastAsia="it-IT"/>
        </w:rPr>
      </w:pPr>
      <w:bookmarkStart w:id="2" w:name="a1325400080"/>
      <w:bookmarkEnd w:id="2"/>
      <w:r w:rsidRPr="003601F7">
        <w:rPr>
          <w:rFonts w:eastAsia="Times New Roman" w:cs="Arial"/>
          <w:noProof/>
          <w:sz w:val="20"/>
          <w:szCs w:val="20"/>
          <w:lang w:eastAsia="it-IT"/>
        </w:rPr>
        <w:drawing>
          <wp:inline distT="0" distB="0" distL="0" distR="0">
            <wp:extent cx="2088046" cy="667393"/>
            <wp:effectExtent l="19050" t="0" r="7454" b="0"/>
            <wp:docPr id="2" name="Immagine 1" descr="P:\_dp\804\XML-IN\Images\CF2270-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4\XML-IN\Images\CF2270-B.tif"/>
                    <pic:cNvPicPr>
                      <a:picLocks noChangeAspect="1" noChangeArrowheads="1"/>
                    </pic:cNvPicPr>
                  </pic:nvPicPr>
                  <pic:blipFill>
                    <a:blip r:embed="rId8" cstate="print"/>
                    <a:srcRect/>
                    <a:stretch>
                      <a:fillRect/>
                    </a:stretch>
                  </pic:blipFill>
                  <pic:spPr bwMode="auto">
                    <a:xfrm>
                      <a:off x="0" y="0"/>
                      <a:ext cx="2090148" cy="668065"/>
                    </a:xfrm>
                    <a:prstGeom prst="rect">
                      <a:avLst/>
                    </a:prstGeom>
                    <a:noFill/>
                    <a:ln w="9525">
                      <a:noFill/>
                      <a:miter lim="800000"/>
                      <a:headEnd/>
                      <a:tailEnd/>
                    </a:ln>
                  </pic:spPr>
                </pic:pic>
              </a:graphicData>
            </a:graphic>
          </wp:inline>
        </w:drawing>
      </w:r>
    </w:p>
    <w:p w:rsidR="005A16AD" w:rsidRPr="003601F7" w:rsidRDefault="005A16AD" w:rsidP="005A16AD">
      <w:pPr>
        <w:spacing w:after="0" w:line="240" w:lineRule="auto"/>
        <w:jc w:val="both"/>
      </w:pPr>
      <w:r w:rsidRPr="003601F7">
        <w:rPr>
          <w:u w:val="single"/>
        </w:rPr>
        <w:t>Formula molecolare</w:t>
      </w:r>
      <w:r w:rsidRPr="003601F7">
        <w:t>:</w:t>
      </w:r>
      <w:r w:rsidRPr="003601F7">
        <w:rPr>
          <w:rStyle w:val="s1"/>
          <w:rFonts w:asciiTheme="minorHAnsi" w:hAnsiTheme="minorHAnsi"/>
        </w:rPr>
        <w:t xml:space="preserve"> </w:t>
      </w:r>
    </w:p>
    <w:p w:rsidR="005A16AD" w:rsidRPr="003601F7" w:rsidRDefault="005A16AD" w:rsidP="005A16AD">
      <w:pPr>
        <w:spacing w:after="0" w:line="240" w:lineRule="auto"/>
        <w:jc w:val="both"/>
      </w:pPr>
      <w:r w:rsidRPr="003601F7">
        <w:rPr>
          <w:u w:val="single"/>
        </w:rPr>
        <w:t>Peso molecolare</w:t>
      </w:r>
      <w:r w:rsidRPr="003601F7">
        <w:t>:</w:t>
      </w:r>
      <w:r w:rsidRPr="003601F7">
        <w:rPr>
          <w:rFonts w:cs="Arial"/>
          <w:color w:val="252525"/>
          <w:shd w:val="clear" w:color="auto" w:fill="F9F9F9"/>
        </w:rPr>
        <w:t xml:space="preserve"> </w:t>
      </w:r>
      <w:r w:rsidRPr="003601F7">
        <w:rPr>
          <w:rStyle w:val="s1"/>
          <w:rFonts w:asciiTheme="minorHAnsi" w:hAnsiTheme="minorHAnsi"/>
        </w:rPr>
        <w:t>666.71</w:t>
      </w:r>
      <w:r>
        <w:rPr>
          <w:rStyle w:val="s1"/>
          <w:rFonts w:asciiTheme="minorHAnsi" w:hAnsiTheme="minorHAnsi"/>
        </w:rPr>
        <w:t xml:space="preserve"> </w:t>
      </w:r>
      <w:r w:rsidRPr="003601F7">
        <w:rPr>
          <w:rStyle w:val="s1"/>
          <w:rFonts w:asciiTheme="minorHAnsi" w:hAnsiTheme="minorHAnsi"/>
        </w:rPr>
        <w:t>g/mol</w:t>
      </w:r>
    </w:p>
    <w:p w:rsidR="005A16AD" w:rsidRPr="003601F7" w:rsidRDefault="005A16AD" w:rsidP="005A16AD">
      <w:pPr>
        <w:spacing w:after="0" w:line="240" w:lineRule="auto"/>
        <w:jc w:val="both"/>
      </w:pPr>
      <w:r w:rsidRPr="003601F7">
        <w:rPr>
          <w:u w:val="single"/>
        </w:rPr>
        <w:t>CAS</w:t>
      </w:r>
      <w:r w:rsidRPr="003601F7">
        <w:t xml:space="preserve">: </w:t>
      </w:r>
      <w:r w:rsidRPr="003601F7">
        <w:rPr>
          <w:rStyle w:val="s1"/>
          <w:rFonts w:asciiTheme="minorHAnsi" w:hAnsiTheme="minorHAnsi"/>
        </w:rPr>
        <w:t>[145040-37-5]</w:t>
      </w:r>
    </w:p>
    <w:p w:rsidR="005A16AD" w:rsidRPr="003601F7" w:rsidRDefault="005A16AD" w:rsidP="005A16AD">
      <w:pPr>
        <w:spacing w:after="0" w:line="240" w:lineRule="auto"/>
        <w:jc w:val="both"/>
      </w:pPr>
      <w:r w:rsidRPr="003601F7">
        <w:rPr>
          <w:u w:val="single"/>
        </w:rPr>
        <w:t>Aspetto</w:t>
      </w:r>
      <w:r w:rsidRPr="003601F7">
        <w:t>: polvere  cristallina bianca o quasi bianca, leggermente igroscopica</w:t>
      </w:r>
      <w:r>
        <w:t>.</w:t>
      </w:r>
    </w:p>
    <w:p w:rsidR="005A16AD" w:rsidRPr="003601F7" w:rsidRDefault="005A16AD" w:rsidP="005A16AD">
      <w:pPr>
        <w:spacing w:after="0" w:line="240" w:lineRule="auto"/>
        <w:jc w:val="both"/>
        <w:rPr>
          <w:highlight w:val="yellow"/>
        </w:rPr>
      </w:pPr>
      <w:r w:rsidRPr="003601F7">
        <w:rPr>
          <w:u w:val="single"/>
        </w:rPr>
        <w:t>Solubilità</w:t>
      </w:r>
      <w:r w:rsidRPr="003601F7">
        <w:t>: leggermente solubile  in acqua e metanolo, praticamente insolubile in esano</w:t>
      </w:r>
      <w:r>
        <w:t>.</w:t>
      </w:r>
      <w:r w:rsidRPr="003601F7">
        <w:t xml:space="preserve"> </w:t>
      </w:r>
    </w:p>
    <w:p w:rsidR="005A16AD" w:rsidRPr="003601F7" w:rsidRDefault="005A16AD" w:rsidP="005A16AD">
      <w:pPr>
        <w:spacing w:after="0" w:line="240" w:lineRule="auto"/>
        <w:jc w:val="both"/>
      </w:pPr>
      <w:r w:rsidRPr="003601F7">
        <w:rPr>
          <w:u w:val="single"/>
        </w:rPr>
        <w:t>Polimorfismo</w:t>
      </w:r>
      <w:r w:rsidRPr="003601F7">
        <w:t xml:space="preserve">: </w:t>
      </w:r>
      <w:r w:rsidRPr="003601F7">
        <w:rPr>
          <w:lang w:eastAsia="it-IT"/>
        </w:rPr>
        <w:t>sildenafil citrato  mostra polimorfismo</w:t>
      </w:r>
      <w:r w:rsidRPr="003601F7">
        <w:t>.</w:t>
      </w:r>
    </w:p>
    <w:p w:rsidR="005A16AD" w:rsidRPr="003601F7" w:rsidRDefault="005A16AD" w:rsidP="005A16AD">
      <w:pPr>
        <w:spacing w:after="0" w:line="240" w:lineRule="auto"/>
        <w:jc w:val="both"/>
        <w:rPr>
          <w:highlight w:val="yellow"/>
        </w:rPr>
      </w:pPr>
    </w:p>
    <w:p w:rsidR="005A16AD" w:rsidRPr="003601F7" w:rsidRDefault="005A16AD" w:rsidP="005A16AD">
      <w:pPr>
        <w:spacing w:after="0" w:line="240" w:lineRule="auto"/>
        <w:jc w:val="both"/>
      </w:pPr>
      <w:r w:rsidRPr="007469AE">
        <w:t>Il principio attivo sildenafil citrato è presente in Farmacopea Europea; entrambi i produttori proposti hanno presentato un ASMF.</w:t>
      </w:r>
      <w:r w:rsidRPr="003601F7">
        <w:t xml:space="preserve"> </w:t>
      </w:r>
    </w:p>
    <w:p w:rsidR="005A16AD" w:rsidRDefault="005A16AD" w:rsidP="005A16AD">
      <w:pPr>
        <w:spacing w:after="0" w:line="240" w:lineRule="auto"/>
        <w:jc w:val="both"/>
      </w:pPr>
      <w:r>
        <w:t>La sintesi del principio attivo è stata adeguatamente descritta a partire da  idonei materiali di partenza; sono utilizzati appropriati controlli di processo e degli intermedi di sintesi.</w:t>
      </w:r>
    </w:p>
    <w:p w:rsidR="005A16AD" w:rsidRDefault="005A16AD" w:rsidP="005A16AD">
      <w:pPr>
        <w:spacing w:after="0" w:line="240" w:lineRule="auto"/>
        <w:jc w:val="both"/>
      </w:pPr>
      <w:r>
        <w:t>I materiali e i reagenti utilizzati nella sintesi sono di qualità adeguata.</w:t>
      </w:r>
    </w:p>
    <w:p w:rsidR="005A16AD" w:rsidRDefault="005A16AD" w:rsidP="005A16AD">
      <w:pPr>
        <w:spacing w:after="0" w:line="240" w:lineRule="auto"/>
        <w:jc w:val="both"/>
      </w:pPr>
      <w:r>
        <w:t>I materiali, gli intermedi, i reagenti utilizzati nella sintesi non sono di origine umana, biologica o geneticamente modificata. Sono state fornite prove adeguate della struttura isolata nonché della stabilità della forma polimorfica utilizzata. Tutte le potenziali impurezze note sono state identificate e caratterizzate</w:t>
      </w:r>
    </w:p>
    <w:p w:rsidR="005A16AD" w:rsidRDefault="005A16AD" w:rsidP="005A16AD">
      <w:pPr>
        <w:spacing w:after="0" w:line="240" w:lineRule="auto"/>
        <w:jc w:val="both"/>
      </w:pPr>
      <w:r>
        <w:t>Le specifiche del principio attivo sono appropriate e controllati con metodi analitici adeguatamente convalidati. Sono stati forniti certificati analitici che confermano la qualità del principio attivo.</w:t>
      </w:r>
    </w:p>
    <w:p w:rsidR="005A16AD" w:rsidRPr="007469AE" w:rsidRDefault="005A16AD" w:rsidP="005A16AD">
      <w:pPr>
        <w:spacing w:after="0" w:line="240" w:lineRule="auto"/>
        <w:jc w:val="both"/>
      </w:pPr>
      <w:r w:rsidRPr="00C97A20">
        <w:t xml:space="preserve">Il principio attivo è confezionato in un adeguato contenitore, per il quale sono stati forniti specifiche e </w:t>
      </w:r>
      <w:r w:rsidRPr="007469AE">
        <w:t>certificati analitici. Il confezionamento primario è una busta di polietilene trasparente posta all’interno di un fustino.</w:t>
      </w:r>
    </w:p>
    <w:p w:rsidR="005A16AD" w:rsidRDefault="005A16AD" w:rsidP="005A16AD">
      <w:pPr>
        <w:spacing w:after="0" w:line="240" w:lineRule="auto"/>
        <w:jc w:val="both"/>
      </w:pPr>
      <w:r w:rsidRPr="007469AE">
        <w:t>Sono stati forniti adeguati studi di stabilità per il principio attivo conservato nel confezionamento proposto per il commercio. Sulla base di questi dati, è stato approvato un periodo di retest di 3 anni per un produttore e di 5 anni per il secondo</w:t>
      </w:r>
      <w:r>
        <w:t xml:space="preserve">.  </w:t>
      </w:r>
    </w:p>
    <w:p w:rsidR="005A16AD" w:rsidRDefault="005A16AD" w:rsidP="005A16AD">
      <w:pPr>
        <w:spacing w:after="0" w:line="240" w:lineRule="auto"/>
        <w:jc w:val="both"/>
      </w:pPr>
    </w:p>
    <w:p w:rsidR="005A16AD" w:rsidRDefault="005A16AD" w:rsidP="005A16AD">
      <w:pPr>
        <w:spacing w:after="0" w:line="240" w:lineRule="auto"/>
        <w:jc w:val="both"/>
      </w:pPr>
    </w:p>
    <w:p w:rsidR="005A16AD" w:rsidRDefault="005A16AD" w:rsidP="005A16AD">
      <w:pPr>
        <w:spacing w:after="0" w:line="240" w:lineRule="auto"/>
        <w:jc w:val="both"/>
        <w:rPr>
          <w:b/>
        </w:rPr>
      </w:pPr>
      <w:r>
        <w:rPr>
          <w:b/>
        </w:rPr>
        <w:t>II.2 PRODOTTO FINITO</w:t>
      </w:r>
    </w:p>
    <w:p w:rsidR="005A16AD" w:rsidRDefault="005A16AD" w:rsidP="005A16AD">
      <w:pPr>
        <w:spacing w:after="0" w:line="240" w:lineRule="auto"/>
        <w:jc w:val="both"/>
        <w:rPr>
          <w:b/>
        </w:rPr>
      </w:pPr>
      <w:r>
        <w:rPr>
          <w:b/>
        </w:rPr>
        <w:t>Descrizione e composizione</w:t>
      </w:r>
    </w:p>
    <w:p w:rsidR="005A16AD" w:rsidRDefault="005A16AD" w:rsidP="005A16AD">
      <w:pPr>
        <w:widowControl w:val="0"/>
        <w:spacing w:after="0" w:line="240" w:lineRule="auto"/>
        <w:jc w:val="both"/>
      </w:pPr>
      <w:r>
        <w:rPr>
          <w:rFonts w:eastAsia="Calibri" w:cs="Calibri"/>
          <w:color w:val="000000"/>
          <w:lang w:eastAsia="it-IT"/>
        </w:rPr>
        <w:t>Sildenafil Brunifarma Research è disponibile in compresse rivestite contenenti diversi dosaggi del principio attivo:</w:t>
      </w:r>
      <w:r>
        <w:t xml:space="preserve"> </w:t>
      </w:r>
      <w:r>
        <w:rPr>
          <w:rFonts w:cs="Helvetica"/>
        </w:rPr>
        <w:t>25 mg, 50 mg e 100 mg.</w:t>
      </w:r>
    </w:p>
    <w:p w:rsidR="005A16AD" w:rsidRPr="00AF431F" w:rsidRDefault="005A16AD" w:rsidP="005A16AD">
      <w:pPr>
        <w:spacing w:after="0" w:line="240" w:lineRule="auto"/>
        <w:jc w:val="both"/>
        <w:rPr>
          <w:lang w:eastAsia="it-IT"/>
        </w:rPr>
      </w:pPr>
      <w:r>
        <w:t>Gli eccipienti sono</w:t>
      </w:r>
      <w:r w:rsidRPr="007469AE">
        <w:t xml:space="preserve">: </w:t>
      </w:r>
      <w:r>
        <w:rPr>
          <w:lang w:eastAsia="it-IT"/>
        </w:rPr>
        <w:t>c</w:t>
      </w:r>
      <w:r w:rsidRPr="007469AE">
        <w:rPr>
          <w:lang w:eastAsia="it-IT"/>
        </w:rPr>
        <w:t xml:space="preserve">roscarmellosa </w:t>
      </w:r>
      <w:r>
        <w:rPr>
          <w:lang w:eastAsia="it-IT"/>
        </w:rPr>
        <w:t>s</w:t>
      </w:r>
      <w:r w:rsidRPr="007469AE">
        <w:rPr>
          <w:lang w:eastAsia="it-IT"/>
        </w:rPr>
        <w:t>odica, calcio idrogeno fosfato anidro, cellulosa microcristallina,</w:t>
      </w:r>
      <w:r>
        <w:rPr>
          <w:lang w:eastAsia="it-IT"/>
        </w:rPr>
        <w:t xml:space="preserve"> magnesio stearato</w:t>
      </w:r>
      <w:r>
        <w:rPr>
          <w:rFonts w:ascii="Calibri" w:eastAsia="Times New Roman" w:hAnsi="Calibri" w:cs="Times New Roman"/>
          <w:lang w:eastAsia="it-IT"/>
        </w:rPr>
        <w:t>, l</w:t>
      </w:r>
      <w:r w:rsidRPr="00AF431F">
        <w:rPr>
          <w:lang w:eastAsia="it-IT"/>
        </w:rPr>
        <w:t>attosio monoidrato</w:t>
      </w:r>
      <w:r>
        <w:rPr>
          <w:lang w:eastAsia="it-IT"/>
        </w:rPr>
        <w:t xml:space="preserve">, </w:t>
      </w:r>
      <w:r w:rsidRPr="00AF431F">
        <w:rPr>
          <w:lang w:eastAsia="it-IT"/>
        </w:rPr>
        <w:t>ipromellosa</w:t>
      </w:r>
      <w:r>
        <w:rPr>
          <w:lang w:eastAsia="it-IT"/>
        </w:rPr>
        <w:t xml:space="preserve">, </w:t>
      </w:r>
      <w:r w:rsidRPr="00AF431F">
        <w:rPr>
          <w:lang w:eastAsia="it-IT"/>
        </w:rPr>
        <w:t>triacetina</w:t>
      </w:r>
      <w:r>
        <w:rPr>
          <w:lang w:eastAsia="it-IT"/>
        </w:rPr>
        <w:t xml:space="preserve">, </w:t>
      </w:r>
      <w:r w:rsidRPr="00AF431F">
        <w:rPr>
          <w:lang w:eastAsia="it-IT"/>
        </w:rPr>
        <w:t xml:space="preserve">titanio diossido </w:t>
      </w:r>
      <w:r>
        <w:rPr>
          <w:lang w:eastAsia="it-IT"/>
        </w:rPr>
        <w:t>(E171).</w:t>
      </w:r>
    </w:p>
    <w:p w:rsidR="005A16AD" w:rsidRDefault="005A16AD" w:rsidP="005A16AD">
      <w:pPr>
        <w:spacing w:after="0" w:line="240" w:lineRule="auto"/>
        <w:ind w:right="13"/>
        <w:jc w:val="both"/>
      </w:pPr>
      <w:r>
        <w:t xml:space="preserve">Tutti gli eccipienti sono conformi alla relativa monografia di Farmacopea Europea. </w:t>
      </w:r>
    </w:p>
    <w:p w:rsidR="005A16AD" w:rsidRDefault="005A16AD" w:rsidP="005A16AD">
      <w:pPr>
        <w:spacing w:after="0" w:line="240" w:lineRule="auto"/>
        <w:jc w:val="both"/>
      </w:pPr>
      <w:r>
        <w:t>Gli eccipienti di originale animale sono il lattosio e il magnesio stearato; per essi è stata fornita una dichiarazione che nella sua produzione sono utilizzati animali sani della stessa qualità utilizzata per il consumo umano.</w:t>
      </w:r>
    </w:p>
    <w:p w:rsidR="005A16AD" w:rsidRDefault="005A16AD" w:rsidP="005A16AD">
      <w:pPr>
        <w:spacing w:after="0" w:line="240" w:lineRule="auto"/>
        <w:jc w:val="both"/>
      </w:pPr>
      <w:r>
        <w:t>Nessun eccipiente è ottenuto da organismi geneticamente modificati; non sono presenti eccipienti mai utilizzati nell’uomo.</w:t>
      </w:r>
    </w:p>
    <w:p w:rsidR="005A16AD" w:rsidRDefault="005A16AD" w:rsidP="005A16AD">
      <w:pPr>
        <w:spacing w:after="0" w:line="240" w:lineRule="auto"/>
        <w:jc w:val="both"/>
      </w:pPr>
    </w:p>
    <w:p w:rsidR="005A16AD" w:rsidRDefault="005A16AD" w:rsidP="005A16AD">
      <w:pPr>
        <w:spacing w:after="0" w:line="240" w:lineRule="auto"/>
        <w:jc w:val="both"/>
        <w:rPr>
          <w:b/>
        </w:rPr>
      </w:pPr>
      <w:r>
        <w:rPr>
          <w:b/>
        </w:rPr>
        <w:t>Sviluppo farmaceutico</w:t>
      </w:r>
    </w:p>
    <w:p w:rsidR="005A16AD" w:rsidRDefault="005A16AD" w:rsidP="005A16AD">
      <w:pPr>
        <w:spacing w:after="0" w:line="240" w:lineRule="auto"/>
        <w:jc w:val="both"/>
      </w:pPr>
      <w:r>
        <w:t>Sono stati forniti dettagli dello sviluppo farmaceutico e questi sono stati ritenuti soddisfacenti.</w:t>
      </w:r>
    </w:p>
    <w:p w:rsidR="005A16AD" w:rsidRDefault="005A16AD" w:rsidP="005A16AD">
      <w:pPr>
        <w:spacing w:after="0" w:line="240" w:lineRule="auto"/>
        <w:jc w:val="both"/>
      </w:pPr>
      <w:r>
        <w:t>Lo scopo era quello di ottenere un medicinale bioequivalente al medicinale di riferimento Viagra.</w:t>
      </w:r>
    </w:p>
    <w:p w:rsidR="005A16AD" w:rsidRDefault="005A16AD" w:rsidP="005A16AD">
      <w:pPr>
        <w:spacing w:after="0" w:line="240" w:lineRule="auto"/>
        <w:jc w:val="both"/>
      </w:pPr>
      <w:r>
        <w:t>Sono stati forniti dati comparatici relativi al profilo di dissoluzione e al profilo di impurezze rispetto al medicinale di riferimento. I dati sono soddisfacenti.</w:t>
      </w:r>
    </w:p>
    <w:p w:rsidR="005A16AD" w:rsidRDefault="005A16AD" w:rsidP="005A16AD">
      <w:pPr>
        <w:spacing w:after="0" w:line="240" w:lineRule="auto"/>
        <w:jc w:val="both"/>
      </w:pPr>
    </w:p>
    <w:p w:rsidR="005A16AD" w:rsidRDefault="005A16AD" w:rsidP="005A16AD">
      <w:pPr>
        <w:spacing w:after="0" w:line="240" w:lineRule="auto"/>
        <w:jc w:val="both"/>
        <w:rPr>
          <w:b/>
        </w:rPr>
      </w:pPr>
      <w:r>
        <w:rPr>
          <w:b/>
        </w:rPr>
        <w:lastRenderedPageBreak/>
        <w:t xml:space="preserve">Produzione </w:t>
      </w:r>
    </w:p>
    <w:p w:rsidR="005A16AD" w:rsidRDefault="005A16AD" w:rsidP="005A16AD">
      <w:pPr>
        <w:spacing w:after="0" w:line="240" w:lineRule="auto"/>
        <w:jc w:val="both"/>
      </w:pPr>
      <w:r>
        <w:t>Sono stati forniti una descrizione del metodo di produzione e la relativa flow-chart.</w:t>
      </w:r>
    </w:p>
    <w:p w:rsidR="005A16AD" w:rsidRDefault="005A16AD" w:rsidP="005A16AD">
      <w:pPr>
        <w:spacing w:after="0" w:line="240" w:lineRule="auto"/>
        <w:jc w:val="both"/>
      </w:pPr>
      <w:r>
        <w:t>I controlli effettuati nel corso della produzione sono appropriati per la natura del medicinale e del metodo di produzione. Sono stati forniti, inoltre, dati soddisfacenti relativi alla convalida del metodo di produzione.</w:t>
      </w:r>
    </w:p>
    <w:p w:rsidR="005A16AD" w:rsidRDefault="005A16AD" w:rsidP="005A16AD">
      <w:pPr>
        <w:spacing w:after="0" w:line="240" w:lineRule="auto"/>
        <w:jc w:val="both"/>
      </w:pPr>
    </w:p>
    <w:p w:rsidR="005A16AD" w:rsidRDefault="005A16AD" w:rsidP="005A16AD">
      <w:pPr>
        <w:spacing w:after="0" w:line="240" w:lineRule="auto"/>
        <w:jc w:val="both"/>
        <w:rPr>
          <w:b/>
        </w:rPr>
      </w:pPr>
      <w:r>
        <w:rPr>
          <w:b/>
        </w:rPr>
        <w:t>Specifiche del prodotto finito</w:t>
      </w:r>
    </w:p>
    <w:p w:rsidR="005A16AD" w:rsidRDefault="005A16AD" w:rsidP="005A16AD">
      <w:pPr>
        <w:spacing w:after="0" w:line="240" w:lineRule="auto"/>
        <w:jc w:val="both"/>
      </w:pPr>
      <w:r>
        <w:t>Sono state fornite adeguate specifiche di controllo per il prodotto finito al rilascio e alla fine della validità. I metodi analitici sono stati descritti e adeguatamente convalidati. Sono stati forniti, inoltre, dati analitici per tutti i dosaggi del prodotto finito: questi dati dimostrano che i lotti prodotti sono in accordo alle specifiche proposte. Sono stati forniti, infine, certificati analitici per gli standard di riferimento utilizzati.</w:t>
      </w:r>
    </w:p>
    <w:p w:rsidR="005A16AD" w:rsidRDefault="005A16AD" w:rsidP="005A16AD">
      <w:pPr>
        <w:spacing w:after="0" w:line="240" w:lineRule="auto"/>
        <w:jc w:val="both"/>
        <w:rPr>
          <w:b/>
        </w:rPr>
      </w:pPr>
    </w:p>
    <w:p w:rsidR="005A16AD" w:rsidRPr="00E466EA" w:rsidRDefault="005A16AD" w:rsidP="005A16AD">
      <w:pPr>
        <w:spacing w:after="0" w:line="240" w:lineRule="auto"/>
        <w:jc w:val="both"/>
        <w:rPr>
          <w:b/>
        </w:rPr>
      </w:pPr>
      <w:r w:rsidRPr="00E466EA">
        <w:rPr>
          <w:b/>
        </w:rPr>
        <w:t>Contenitore</w:t>
      </w:r>
    </w:p>
    <w:p w:rsidR="005A16AD" w:rsidRDefault="005A16AD" w:rsidP="005A16AD">
      <w:pPr>
        <w:spacing w:after="0" w:line="240" w:lineRule="auto"/>
        <w:jc w:val="both"/>
      </w:pPr>
      <w:r>
        <w:t>Sildenafil Brunifarma Research</w:t>
      </w:r>
      <w:r w:rsidRPr="00E466EA">
        <w:t xml:space="preserve"> è confezionato in blister  trasparente di PVC/Alluminio. Sono state fornite specifiche e certificati analitici per tutti i componenti del confezionamento primario, che è adeguato per il medicinale.</w:t>
      </w:r>
    </w:p>
    <w:p w:rsidR="005A16AD" w:rsidRDefault="005A16AD" w:rsidP="005A16AD">
      <w:pPr>
        <w:spacing w:after="0" w:line="240" w:lineRule="auto"/>
        <w:jc w:val="both"/>
      </w:pPr>
    </w:p>
    <w:p w:rsidR="005A16AD" w:rsidRDefault="005A16AD" w:rsidP="005A16AD">
      <w:pPr>
        <w:spacing w:after="0" w:line="240" w:lineRule="auto"/>
        <w:jc w:val="both"/>
        <w:rPr>
          <w:b/>
        </w:rPr>
      </w:pPr>
      <w:r>
        <w:rPr>
          <w:b/>
        </w:rPr>
        <w:t>Stabilità</w:t>
      </w:r>
    </w:p>
    <w:p w:rsidR="005A16AD" w:rsidRDefault="005A16AD" w:rsidP="005A16AD">
      <w:pPr>
        <w:spacing w:after="0" w:line="240" w:lineRule="auto"/>
        <w:jc w:val="both"/>
      </w:pPr>
      <w:r>
        <w:t xml:space="preserve">Studi di stabilità sul prodotto finito sono stati condotti in accordo alle correnti linee guida e i risultati sono entro i limiti delle specifiche autorizzate. Sulla base di questi risultati, è stato autorizzato un periodo di </w:t>
      </w:r>
      <w:r w:rsidR="00FE1EB7">
        <w:t xml:space="preserve">validità di 2 anni  </w:t>
      </w:r>
      <w:r>
        <w:t>senza nessuna condizione particolare di conservazione</w:t>
      </w:r>
    </w:p>
    <w:p w:rsidR="005A16AD" w:rsidRDefault="005A16AD" w:rsidP="005A16AD">
      <w:pPr>
        <w:spacing w:after="0" w:line="240" w:lineRule="auto"/>
        <w:jc w:val="both"/>
      </w:pPr>
    </w:p>
    <w:p w:rsidR="005A16AD" w:rsidRDefault="005A16AD" w:rsidP="005A16AD">
      <w:pPr>
        <w:spacing w:after="0" w:line="240" w:lineRule="auto"/>
        <w:jc w:val="both"/>
        <w:rPr>
          <w:b/>
        </w:rPr>
      </w:pPr>
      <w:r>
        <w:rPr>
          <w:b/>
        </w:rPr>
        <w:t>II.3 Discussione sugli aspetti di qualità</w:t>
      </w:r>
    </w:p>
    <w:p w:rsidR="005A16AD" w:rsidRDefault="005A16AD" w:rsidP="005A16AD">
      <w:pPr>
        <w:spacing w:after="0" w:line="240" w:lineRule="auto"/>
        <w:jc w:val="both"/>
      </w:pPr>
      <w:r>
        <w:t>Tutte le criticità evidenziate nel corso della valutazione sono state risolte e la qualità di Sildenafil Brunifarma Research è considerata adeguata. Non ci sono obiezioni per l’approvazione di Sildenafil Brunifarma Research dal punto di vista chimico-farmaceutico.</w:t>
      </w:r>
    </w:p>
    <w:p w:rsidR="005A16AD" w:rsidRDefault="005A16AD" w:rsidP="005A16AD">
      <w:pPr>
        <w:spacing w:after="0" w:line="240" w:lineRule="auto"/>
        <w:jc w:val="both"/>
      </w:pPr>
    </w:p>
    <w:p w:rsidR="005A16AD" w:rsidRDefault="005A16AD" w:rsidP="005A16AD">
      <w:pPr>
        <w:spacing w:after="0" w:line="240" w:lineRule="auto"/>
        <w:jc w:val="both"/>
      </w:pPr>
    </w:p>
    <w:p w:rsidR="005A16AD" w:rsidRDefault="005A16AD" w:rsidP="005A16AD">
      <w:pPr>
        <w:pStyle w:val="Paragrafoelenco"/>
        <w:numPr>
          <w:ilvl w:val="0"/>
          <w:numId w:val="2"/>
        </w:numPr>
        <w:spacing w:after="0" w:line="240" w:lineRule="auto"/>
        <w:jc w:val="both"/>
        <w:rPr>
          <w:b/>
        </w:rPr>
      </w:pPr>
      <w:r>
        <w:rPr>
          <w:b/>
        </w:rPr>
        <w:t>ASPETTI NON CLINICI</w:t>
      </w:r>
    </w:p>
    <w:p w:rsidR="005A16AD" w:rsidRDefault="005A16AD" w:rsidP="005A16AD">
      <w:pPr>
        <w:spacing w:after="0" w:line="240" w:lineRule="auto"/>
        <w:jc w:val="both"/>
      </w:pPr>
      <w:r>
        <w:t>Non sono stati condotti specifici studi non clinici, in quanto Sildenafil Brunifarma Research contiene un principio attivo noto: questo approccio è accettabile poiché il medicinale di riferimento Viagra è autorizzato in Italia da oltre 10 anni.</w:t>
      </w:r>
    </w:p>
    <w:p w:rsidR="005A16AD" w:rsidRDefault="005A16AD" w:rsidP="005A16AD">
      <w:pPr>
        <w:spacing w:after="0" w:line="240" w:lineRule="auto"/>
        <w:jc w:val="both"/>
      </w:pPr>
      <w:r>
        <w:t>Non ci sono obiezioni per l’approvazione dal punto di vista non clinico.</w:t>
      </w:r>
    </w:p>
    <w:p w:rsidR="005A16AD" w:rsidRDefault="005A16AD" w:rsidP="005A16AD">
      <w:pPr>
        <w:spacing w:after="0" w:line="240" w:lineRule="auto"/>
        <w:jc w:val="both"/>
      </w:pPr>
    </w:p>
    <w:p w:rsidR="005A16AD" w:rsidRDefault="005A16AD" w:rsidP="005A16AD">
      <w:pPr>
        <w:spacing w:after="0" w:line="240" w:lineRule="auto"/>
        <w:jc w:val="both"/>
      </w:pPr>
    </w:p>
    <w:p w:rsidR="005A16AD" w:rsidRDefault="005A16AD" w:rsidP="005A16AD">
      <w:pPr>
        <w:pStyle w:val="Paragrafoelenco"/>
        <w:numPr>
          <w:ilvl w:val="0"/>
          <w:numId w:val="2"/>
        </w:numPr>
        <w:spacing w:after="0" w:line="240" w:lineRule="auto"/>
        <w:jc w:val="both"/>
        <w:rPr>
          <w:b/>
        </w:rPr>
      </w:pPr>
      <w:r>
        <w:rPr>
          <w:b/>
        </w:rPr>
        <w:t>ASPETTI CLINICI</w:t>
      </w:r>
    </w:p>
    <w:p w:rsidR="005A16AD" w:rsidRDefault="005A16AD" w:rsidP="005A16AD">
      <w:pPr>
        <w:widowControl w:val="0"/>
        <w:autoSpaceDE w:val="0"/>
        <w:autoSpaceDN w:val="0"/>
        <w:adjustRightInd w:val="0"/>
        <w:spacing w:after="0" w:line="240" w:lineRule="auto"/>
        <w:jc w:val="both"/>
      </w:pPr>
      <w:r>
        <w:t>Sildenafil Brunifarma Research</w:t>
      </w:r>
      <w:r w:rsidRPr="00E466EA">
        <w:t xml:space="preserve"> è utilizzato </w:t>
      </w:r>
      <w:r>
        <w:rPr>
          <w:lang w:eastAsia="it-IT"/>
        </w:rPr>
        <w:t>per il t</w:t>
      </w:r>
      <w:r w:rsidRPr="005262C8">
        <w:rPr>
          <w:lang w:eastAsia="it-IT"/>
        </w:rPr>
        <w:t xml:space="preserve">rattamento di soggetti con disfunzione erettile, ovvero dell’incapacità a raggiungere o a mantenere un’erezione idonea per una attività sessuale soddisfacente.  È necessaria la stimolazione sessuale affinché </w:t>
      </w:r>
      <w:r>
        <w:rPr>
          <w:lang w:eastAsia="it-IT"/>
        </w:rPr>
        <w:t>Sildenafil Brunifarma Research</w:t>
      </w:r>
      <w:r w:rsidRPr="005262C8">
        <w:rPr>
          <w:lang w:eastAsia="it-IT"/>
        </w:rPr>
        <w:t xml:space="preserve"> possa essere efficace</w:t>
      </w:r>
      <w:r>
        <w:rPr>
          <w:lang w:eastAsia="it-IT"/>
        </w:rPr>
        <w:t>.</w:t>
      </w:r>
    </w:p>
    <w:p w:rsidR="005A16AD" w:rsidRDefault="005A16AD" w:rsidP="005A16AD">
      <w:pPr>
        <w:autoSpaceDE w:val="0"/>
        <w:autoSpaceDN w:val="0"/>
        <w:adjustRightInd w:val="0"/>
        <w:spacing w:after="0" w:line="240" w:lineRule="auto"/>
        <w:jc w:val="both"/>
      </w:pPr>
    </w:p>
    <w:p w:rsidR="005A16AD" w:rsidRDefault="005A16AD" w:rsidP="005A16AD">
      <w:pPr>
        <w:spacing w:after="0" w:line="240" w:lineRule="auto"/>
        <w:ind w:right="6"/>
        <w:jc w:val="both"/>
        <w:rPr>
          <w:b/>
        </w:rPr>
      </w:pPr>
      <w:r>
        <w:rPr>
          <w:b/>
        </w:rPr>
        <w:t>Posologia e modalità di somministrazione</w:t>
      </w:r>
    </w:p>
    <w:p w:rsidR="005A16AD" w:rsidRDefault="005A16AD" w:rsidP="005A16AD">
      <w:pPr>
        <w:spacing w:after="0" w:line="240" w:lineRule="auto"/>
        <w:ind w:right="6"/>
        <w:jc w:val="both"/>
        <w:rPr>
          <w:rFonts w:eastAsia="Calibri" w:cs="Calibri"/>
          <w:lang w:eastAsia="it-IT"/>
        </w:rPr>
      </w:pPr>
      <w:r>
        <w:t>Le informazioni sulla posologia e sulle modalità di somministrazione sono riportate nel Riassunto delle Caratteristiche del Prodotto pubblicato sul sito dell’Agenzia Italiana del Farmaco - AIFA /</w:t>
      </w:r>
      <w:r>
        <w:rPr>
          <w:rFonts w:eastAsia="Calibri" w:cs="Calibri"/>
          <w:lang w:eastAsia="it-IT"/>
        </w:rPr>
        <w:t>(</w:t>
      </w:r>
      <w:hyperlink r:id="rId9" w:history="1">
        <w:r>
          <w:rPr>
            <w:rStyle w:val="Collegamentoipertestuale"/>
            <w:rFonts w:eastAsia="Calibri" w:cs="Calibri"/>
            <w:lang w:eastAsia="it-IT"/>
          </w:rPr>
          <w:t>https://farmaci.agenziafarmaco.gov.it/bancadatifarmaci</w:t>
        </w:r>
      </w:hyperlink>
      <w:r>
        <w:rPr>
          <w:rFonts w:eastAsia="Calibri" w:cs="Calibri"/>
          <w:lang w:eastAsia="it-IT"/>
        </w:rPr>
        <w:t>).</w:t>
      </w:r>
    </w:p>
    <w:p w:rsidR="005A16AD" w:rsidRDefault="005A16AD" w:rsidP="005A16AD">
      <w:pPr>
        <w:spacing w:after="0" w:line="240" w:lineRule="auto"/>
        <w:ind w:right="6"/>
        <w:jc w:val="both"/>
        <w:rPr>
          <w:rFonts w:eastAsia="Calibri" w:cs="Calibri"/>
          <w:lang w:eastAsia="it-IT"/>
        </w:rPr>
      </w:pPr>
    </w:p>
    <w:p w:rsidR="005A16AD" w:rsidRDefault="005A16AD" w:rsidP="005A16AD">
      <w:pPr>
        <w:spacing w:after="0" w:line="240" w:lineRule="auto"/>
        <w:ind w:right="6"/>
        <w:jc w:val="both"/>
        <w:rPr>
          <w:rFonts w:eastAsia="Calibri" w:cs="Calibri"/>
          <w:b/>
          <w:lang w:eastAsia="it-IT"/>
        </w:rPr>
      </w:pPr>
      <w:r>
        <w:rPr>
          <w:rFonts w:eastAsia="Calibri" w:cs="Calibri"/>
          <w:b/>
          <w:lang w:eastAsia="it-IT"/>
        </w:rPr>
        <w:t>Tossicologia</w:t>
      </w:r>
    </w:p>
    <w:p w:rsidR="005A16AD" w:rsidRDefault="005A16AD" w:rsidP="005A16AD">
      <w:pPr>
        <w:spacing w:after="0" w:line="240" w:lineRule="auto"/>
        <w:ind w:right="6"/>
        <w:jc w:val="both"/>
        <w:rPr>
          <w:rFonts w:eastAsia="Calibri" w:cs="Calibri"/>
          <w:lang w:eastAsia="it-IT"/>
        </w:rPr>
      </w:pPr>
      <w:r>
        <w:rPr>
          <w:rFonts w:eastAsia="Calibri" w:cs="Calibri"/>
          <w:lang w:eastAsia="it-IT"/>
        </w:rPr>
        <w:t xml:space="preserve">La tossicologia di </w:t>
      </w:r>
      <w:r>
        <w:t xml:space="preserve">sildenafil citrato </w:t>
      </w:r>
      <w:r>
        <w:rPr>
          <w:rFonts w:eastAsia="Calibri" w:cs="Calibri"/>
          <w:lang w:eastAsia="it-IT"/>
        </w:rPr>
        <w:t>è ben conosciuta; non è stato necessario presentare ulteriori dati.</w:t>
      </w:r>
    </w:p>
    <w:p w:rsidR="005A16AD" w:rsidRDefault="005A16AD" w:rsidP="005A16AD">
      <w:pPr>
        <w:spacing w:after="0" w:line="240" w:lineRule="auto"/>
        <w:ind w:right="6"/>
        <w:jc w:val="both"/>
        <w:rPr>
          <w:rFonts w:eastAsia="Calibri" w:cs="Calibri"/>
          <w:lang w:eastAsia="it-IT"/>
        </w:rPr>
      </w:pPr>
    </w:p>
    <w:p w:rsidR="005A16AD" w:rsidRDefault="005A16AD" w:rsidP="005A16AD">
      <w:pPr>
        <w:spacing w:after="0" w:line="240" w:lineRule="auto"/>
        <w:ind w:right="6"/>
        <w:jc w:val="both"/>
        <w:rPr>
          <w:rFonts w:eastAsia="Times New Roman" w:cs="Times New Roman"/>
          <w:b/>
        </w:rPr>
      </w:pPr>
      <w:r>
        <w:rPr>
          <w:rFonts w:eastAsia="Times New Roman" w:cs="Times New Roman"/>
          <w:b/>
        </w:rPr>
        <w:t>Farmacologia clinica</w:t>
      </w:r>
    </w:p>
    <w:p w:rsidR="005A16AD" w:rsidRDefault="005A16AD" w:rsidP="005A16AD">
      <w:pPr>
        <w:spacing w:after="0" w:line="240" w:lineRule="auto"/>
        <w:jc w:val="both"/>
      </w:pPr>
      <w:r>
        <w:rPr>
          <w:rFonts w:eastAsia="Calibri" w:cs="Calibri"/>
          <w:lang w:eastAsia="it-IT"/>
        </w:rPr>
        <w:t xml:space="preserve">La farmacologia clinica di </w:t>
      </w:r>
      <w:r>
        <w:t xml:space="preserve">sildenafil citrato </w:t>
      </w:r>
      <w:r>
        <w:rPr>
          <w:rFonts w:eastAsia="Calibri" w:cs="Calibri"/>
          <w:lang w:eastAsia="it-IT"/>
        </w:rPr>
        <w:t>è ben conosciuta.</w:t>
      </w:r>
      <w:r>
        <w:t xml:space="preserve"> Con l’eccezione dello studio di bioequivalenza, non sono stati condotti nuovi studi clinici di farmacodinamica e farmacocinetica, in quanto Sildenafil Brunifarma Research contiene un principio attivo noto e presente nel medicinale Viagra autorizzato  in Italia da più di 10 anni.</w:t>
      </w:r>
    </w:p>
    <w:p w:rsidR="005A16AD" w:rsidRDefault="005A16AD" w:rsidP="005A16AD">
      <w:pPr>
        <w:spacing w:after="0" w:line="240" w:lineRule="auto"/>
        <w:jc w:val="both"/>
      </w:pPr>
    </w:p>
    <w:p w:rsidR="005A16AD" w:rsidRPr="009F5FC7" w:rsidRDefault="005A16AD" w:rsidP="005A16AD">
      <w:pPr>
        <w:spacing w:after="0" w:line="240" w:lineRule="auto"/>
        <w:jc w:val="both"/>
        <w:rPr>
          <w:b/>
        </w:rPr>
      </w:pPr>
      <w:r w:rsidRPr="009F5FC7">
        <w:rPr>
          <w:b/>
        </w:rPr>
        <w:lastRenderedPageBreak/>
        <w:t>Studio di bioequivalenza</w:t>
      </w:r>
    </w:p>
    <w:p w:rsidR="005A16AD" w:rsidRPr="009F5FC7" w:rsidRDefault="005A16AD" w:rsidP="005A16AD">
      <w:pPr>
        <w:spacing w:after="0" w:line="240" w:lineRule="auto"/>
        <w:jc w:val="both"/>
      </w:pPr>
      <w:r w:rsidRPr="009F5FC7">
        <w:t xml:space="preserve">La richiesta di AIC è supportata da uno studio di bioequivalenza che ha confrontato i profili farmacocinetici di </w:t>
      </w:r>
      <w:r>
        <w:t>Sildenafil Brunifarma Research</w:t>
      </w:r>
      <w:r w:rsidRPr="009F5FC7">
        <w:t xml:space="preserve"> e quelli del medicinale </w:t>
      </w:r>
      <w:r>
        <w:t>Viagra</w:t>
      </w:r>
      <w:r w:rsidRPr="009F5FC7">
        <w:t>.</w:t>
      </w:r>
    </w:p>
    <w:p w:rsidR="005A16AD" w:rsidRPr="009F5FC7" w:rsidRDefault="005A16AD" w:rsidP="005A16AD">
      <w:pPr>
        <w:pStyle w:val="Paragrafoelenco"/>
        <w:spacing w:after="0" w:line="240" w:lineRule="auto"/>
        <w:ind w:left="0"/>
        <w:jc w:val="both"/>
      </w:pPr>
      <w:r w:rsidRPr="009F5FC7">
        <w:t>Lo studio era caratterizzato da un appropriato disegno ed è stato condotto in accordo ai principi GCP.</w:t>
      </w:r>
    </w:p>
    <w:p w:rsidR="005A16AD" w:rsidRPr="009F5FC7" w:rsidRDefault="005A16AD" w:rsidP="005A16AD">
      <w:pPr>
        <w:pStyle w:val="Paragrafoelenco"/>
        <w:spacing w:after="0" w:line="240" w:lineRule="auto"/>
        <w:ind w:left="0"/>
        <w:jc w:val="both"/>
      </w:pPr>
      <w:r w:rsidRPr="009F5FC7">
        <w:t>Sono stati forniti certificati analitici per medicinale test e medicinale di riferimento.</w:t>
      </w:r>
    </w:p>
    <w:p w:rsidR="005A16AD" w:rsidRDefault="005A16AD" w:rsidP="005A16AD">
      <w:pPr>
        <w:spacing w:after="0" w:line="240" w:lineRule="auto"/>
        <w:jc w:val="both"/>
      </w:pPr>
      <w:r w:rsidRPr="007469AE">
        <w:rPr>
          <w:rFonts w:ascii="Calibri" w:hAnsi="Calibri"/>
        </w:rPr>
        <w:t xml:space="preserve">L’utilizzo del solo dosaggio </w:t>
      </w:r>
      <w:r w:rsidRPr="007469AE">
        <w:t xml:space="preserve">maggiore 100 mg per lo studio di bioequivalenza è stato opportunamente giustificato. </w:t>
      </w:r>
    </w:p>
    <w:p w:rsidR="005A16AD" w:rsidRPr="005D5D07" w:rsidRDefault="005A16AD" w:rsidP="005A16AD">
      <w:pPr>
        <w:spacing w:after="0" w:line="240" w:lineRule="auto"/>
        <w:jc w:val="both"/>
        <w:rPr>
          <w:rFonts w:ascii="Calibri" w:hAnsi="Calibri" w:cs="Arial"/>
        </w:rPr>
      </w:pPr>
      <w:r w:rsidRPr="007469AE">
        <w:rPr>
          <w:rFonts w:ascii="Calibri" w:hAnsi="Calibri"/>
        </w:rPr>
        <w:t xml:space="preserve">Lo studio di bioequivalenza è </w:t>
      </w:r>
      <w:r>
        <w:rPr>
          <w:rFonts w:ascii="Calibri" w:hAnsi="Calibri"/>
        </w:rPr>
        <w:t xml:space="preserve"> uno studio </w:t>
      </w:r>
      <w:r w:rsidRPr="005D5D07">
        <w:rPr>
          <w:rFonts w:ascii="Calibri" w:hAnsi="Calibri"/>
        </w:rPr>
        <w:t xml:space="preserve">comparativo, controllato,  randomizzato, a dose singola, 2-periodi, </w:t>
      </w:r>
      <w:r w:rsidRPr="00F36FEA">
        <w:rPr>
          <w:rFonts w:ascii="Calibri" w:hAnsi="Calibri"/>
        </w:rPr>
        <w:t xml:space="preserve">crossover condotto in 40 volontari sani di entrambi i sessi con somministrazione a digiuno. </w:t>
      </w:r>
      <w:r w:rsidRPr="00F36FEA">
        <w:rPr>
          <w:rFonts w:ascii="Calibri" w:hAnsi="Calibri" w:cs="Arial"/>
        </w:rPr>
        <w:t xml:space="preserve">Dopo una notte di digiuno, il medicinale è stato somministrato con acqua. </w:t>
      </w:r>
      <w:r w:rsidRPr="00F36FEA">
        <w:rPr>
          <w:rFonts w:ascii="Calibri" w:hAnsi="Calibri"/>
        </w:rPr>
        <w:t xml:space="preserve">Un soddisfacente periodo di wash-out di </w:t>
      </w:r>
      <w:r w:rsidRPr="00F36FEA">
        <w:rPr>
          <w:rFonts w:ascii="Calibri" w:hAnsi="Calibri" w:cs="Arial"/>
        </w:rPr>
        <w:t>9 giorni è stato previsto tra le somministrazioni in ogni gruppo.</w:t>
      </w:r>
    </w:p>
    <w:p w:rsidR="005A16AD" w:rsidRPr="009F5FC7" w:rsidRDefault="005A16AD" w:rsidP="005A16AD">
      <w:pPr>
        <w:spacing w:after="0" w:line="240" w:lineRule="auto"/>
        <w:jc w:val="both"/>
        <w:rPr>
          <w:rFonts w:ascii="Calibri" w:hAnsi="Calibri" w:cs="Arial"/>
        </w:rPr>
      </w:pPr>
      <w:r w:rsidRPr="009F5FC7">
        <w:rPr>
          <w:rFonts w:ascii="Calibri" w:hAnsi="Calibri" w:cs="Arial"/>
        </w:rPr>
        <w:t>Campioni di sangue sono stati prelevati al tempo zero (pre-dose) e a specificati tempi fino a 24 ore dopo la somministrazione. I livelli plasmatici di di sildenafil sono stati determinati mediante un metodo analitico HPLC-MS-MS opportunamente convalidato.</w:t>
      </w:r>
    </w:p>
    <w:p w:rsidR="005A16AD" w:rsidRPr="009F5FC7" w:rsidRDefault="005A16AD" w:rsidP="005A16AD">
      <w:pPr>
        <w:pStyle w:val="Paragrafoelenco"/>
        <w:spacing w:after="0" w:line="240" w:lineRule="auto"/>
        <w:ind w:left="0"/>
        <w:jc w:val="both"/>
        <w:rPr>
          <w:rFonts w:ascii="Calibri" w:hAnsi="Calibri" w:cs="Arial"/>
        </w:rPr>
      </w:pPr>
      <w:r>
        <w:rPr>
          <w:rFonts w:ascii="Calibri" w:hAnsi="Calibri" w:cs="Arial"/>
        </w:rPr>
        <w:t xml:space="preserve">Per sildenafil e il metabolita piperazina N-desmetil sildenafil sono state definite le seguenti </w:t>
      </w:r>
      <w:r w:rsidRPr="009F5FC7">
        <w:rPr>
          <w:rFonts w:ascii="Calibri" w:hAnsi="Calibri" w:cs="Arial"/>
        </w:rPr>
        <w:t>variabili farmacocinetiche: C</w:t>
      </w:r>
      <w:r w:rsidRPr="009F5FC7">
        <w:rPr>
          <w:rFonts w:ascii="Calibri" w:hAnsi="Calibri" w:cs="Arial"/>
          <w:vertAlign w:val="subscript"/>
        </w:rPr>
        <w:t>max</w:t>
      </w:r>
      <w:r w:rsidRPr="009F5FC7">
        <w:rPr>
          <w:rFonts w:ascii="Calibri" w:hAnsi="Calibri" w:cs="Arial"/>
        </w:rPr>
        <w:t>, AUC</w:t>
      </w:r>
      <w:r w:rsidRPr="009F5FC7">
        <w:rPr>
          <w:rFonts w:ascii="Calibri" w:hAnsi="Calibri" w:cs="Arial"/>
          <w:vertAlign w:val="subscript"/>
        </w:rPr>
        <w:t>0-t</w:t>
      </w:r>
      <w:r w:rsidRPr="009F5FC7">
        <w:rPr>
          <w:rFonts w:ascii="Calibri" w:hAnsi="Calibri" w:cs="Arial"/>
        </w:rPr>
        <w:t>,, AUC</w:t>
      </w:r>
      <w:r w:rsidRPr="009F5FC7">
        <w:rPr>
          <w:rFonts w:ascii="Calibri" w:hAnsi="Calibri" w:cs="Arial"/>
          <w:vertAlign w:val="subscript"/>
        </w:rPr>
        <w:t>0-</w:t>
      </w:r>
      <w:r w:rsidRPr="009F5FC7">
        <w:rPr>
          <w:rFonts w:ascii="Calibri" w:hAnsi="Calibri" w:cs="Arial"/>
          <w:vertAlign w:val="subscript"/>
          <w:lang w:val="en-GB"/>
        </w:rPr>
        <w:sym w:font="Symbol" w:char="00A5"/>
      </w:r>
      <w:r w:rsidRPr="009F5FC7">
        <w:rPr>
          <w:rFonts w:ascii="Calibri" w:hAnsi="Calibri" w:cs="Arial"/>
        </w:rPr>
        <w:t>, t</w:t>
      </w:r>
      <w:r w:rsidRPr="009F5FC7">
        <w:rPr>
          <w:rFonts w:ascii="Calibri" w:hAnsi="Calibri" w:cs="Arial"/>
          <w:vertAlign w:val="subscript"/>
        </w:rPr>
        <w:t>max</w:t>
      </w:r>
      <w:r w:rsidRPr="009F5FC7">
        <w:rPr>
          <w:rFonts w:ascii="Calibri" w:hAnsi="Calibri" w:cs="Arial"/>
        </w:rPr>
        <w:t>, t½ e AUC estrapolata. La bioequivalenza tra medicinale test e medicinale di riferimento è dimostrata se gli intervalli di confidenza al 90% per la trasformata logaritmica di C</w:t>
      </w:r>
      <w:r w:rsidRPr="009F5FC7">
        <w:rPr>
          <w:rFonts w:ascii="Calibri" w:hAnsi="Calibri" w:cs="Arial"/>
          <w:vertAlign w:val="subscript"/>
        </w:rPr>
        <w:t>max</w:t>
      </w:r>
      <w:r w:rsidRPr="009F5FC7">
        <w:rPr>
          <w:rFonts w:ascii="Calibri" w:hAnsi="Calibri" w:cs="Arial"/>
        </w:rPr>
        <w:t xml:space="preserve"> e AUC</w:t>
      </w:r>
      <w:r w:rsidRPr="009F5FC7">
        <w:rPr>
          <w:rFonts w:ascii="Calibri" w:hAnsi="Calibri" w:cs="Arial"/>
          <w:vertAlign w:val="subscript"/>
        </w:rPr>
        <w:t>0-t</w:t>
      </w:r>
      <w:r w:rsidRPr="009F5FC7">
        <w:rPr>
          <w:rFonts w:ascii="Calibri" w:hAnsi="Calibri" w:cs="Arial"/>
        </w:rPr>
        <w:t>,,  cadono nel range di accettabilità di 0.80-1.25 (80%-125%).</w:t>
      </w:r>
    </w:p>
    <w:p w:rsidR="005A16AD" w:rsidRPr="009F5FC7" w:rsidRDefault="005A16AD" w:rsidP="005A16AD">
      <w:pPr>
        <w:pStyle w:val="Paragrafoelenco"/>
        <w:spacing w:after="0" w:line="240" w:lineRule="auto"/>
        <w:ind w:left="0"/>
        <w:jc w:val="both"/>
      </w:pPr>
    </w:p>
    <w:p w:rsidR="005A16AD" w:rsidRPr="009F5FC7" w:rsidRDefault="005A16AD" w:rsidP="005A16AD">
      <w:pPr>
        <w:pStyle w:val="Paragrafoelenco"/>
        <w:spacing w:after="0" w:line="240" w:lineRule="auto"/>
        <w:ind w:left="0"/>
        <w:jc w:val="both"/>
        <w:rPr>
          <w:u w:val="single"/>
        </w:rPr>
      </w:pPr>
      <w:r w:rsidRPr="009F5FC7">
        <w:rPr>
          <w:u w:val="single"/>
        </w:rPr>
        <w:t>Risultati</w:t>
      </w:r>
    </w:p>
    <w:p w:rsidR="005A16AD" w:rsidRPr="009F5FC7" w:rsidRDefault="005A16AD" w:rsidP="005A16AD">
      <w:pPr>
        <w:pStyle w:val="Paragrafoelenco"/>
        <w:spacing w:after="0" w:line="240" w:lineRule="auto"/>
        <w:ind w:left="0"/>
        <w:jc w:val="both"/>
        <w:rPr>
          <w:rFonts w:ascii="Calibri" w:hAnsi="Calibri" w:cs="Arial"/>
        </w:rPr>
      </w:pPr>
      <w:r w:rsidRPr="009F5FC7">
        <w:rPr>
          <w:rFonts w:ascii="Calibri" w:hAnsi="Calibri" w:cs="Arial"/>
        </w:rPr>
        <w:t xml:space="preserve">40 volontari sani sono stati arruolati nello studio. 36 soggetti </w:t>
      </w:r>
      <w:r w:rsidRPr="009F5FC7">
        <w:t xml:space="preserve">hanno completato la fase clinica e </w:t>
      </w:r>
      <w:r w:rsidRPr="009F5FC7">
        <w:rPr>
          <w:rFonts w:ascii="Calibri" w:hAnsi="Calibri" w:cs="Arial"/>
        </w:rPr>
        <w:t>sono stati inclusi nell’analisi farmacocinetica.</w:t>
      </w:r>
    </w:p>
    <w:p w:rsidR="005A16AD" w:rsidRPr="009F5FC7" w:rsidRDefault="005A16AD" w:rsidP="005A16AD">
      <w:pPr>
        <w:pStyle w:val="Didascalia"/>
        <w:keepNext/>
        <w:spacing w:before="0" w:after="0"/>
        <w:jc w:val="both"/>
        <w:outlineLvl w:val="0"/>
        <w:rPr>
          <w:rFonts w:ascii="Calibri" w:hAnsi="Calibri" w:cs="Arial"/>
          <w:b w:val="0"/>
          <w:i/>
          <w:sz w:val="22"/>
          <w:szCs w:val="22"/>
          <w:lang w:val="it-IT"/>
        </w:rPr>
      </w:pPr>
    </w:p>
    <w:p w:rsidR="005A16AD" w:rsidRPr="009F5FC7" w:rsidRDefault="005A16AD" w:rsidP="005A16AD">
      <w:pPr>
        <w:pStyle w:val="Didascalia"/>
        <w:keepNext/>
        <w:spacing w:before="0" w:after="0"/>
        <w:jc w:val="both"/>
        <w:outlineLvl w:val="0"/>
        <w:rPr>
          <w:rFonts w:ascii="Calibri" w:hAnsi="Calibri" w:cs="Arial"/>
          <w:b w:val="0"/>
          <w:sz w:val="22"/>
          <w:szCs w:val="22"/>
          <w:lang w:val="it-IT"/>
        </w:rPr>
      </w:pPr>
      <w:r w:rsidRPr="009F5FC7">
        <w:rPr>
          <w:rFonts w:ascii="Calibri" w:hAnsi="Calibri" w:cs="Arial"/>
          <w:b w:val="0"/>
          <w:i/>
          <w:sz w:val="22"/>
          <w:szCs w:val="22"/>
          <w:lang w:val="it-IT"/>
        </w:rPr>
        <w:t>Sicurezza</w:t>
      </w:r>
    </w:p>
    <w:p w:rsidR="005A16AD" w:rsidRPr="009F5FC7" w:rsidRDefault="005A16AD" w:rsidP="005A16AD">
      <w:pPr>
        <w:autoSpaceDE w:val="0"/>
        <w:autoSpaceDN w:val="0"/>
        <w:adjustRightInd w:val="0"/>
        <w:spacing w:after="0" w:line="240" w:lineRule="auto"/>
        <w:jc w:val="both"/>
        <w:rPr>
          <w:rFonts w:ascii="Calibri" w:hAnsi="Calibri" w:cs="Arial"/>
          <w:b/>
        </w:rPr>
      </w:pPr>
      <w:r w:rsidRPr="009F5FC7">
        <w:rPr>
          <w:rFonts w:ascii="Calibri" w:hAnsi="Calibri" w:cs="Arial"/>
        </w:rPr>
        <w:t xml:space="preserve">Nel corso dello studio, </w:t>
      </w:r>
      <w:r>
        <w:rPr>
          <w:rFonts w:ascii="Calibri" w:hAnsi="Calibri" w:cs="Arial"/>
        </w:rPr>
        <w:t xml:space="preserve">si sono manifestati </w:t>
      </w:r>
      <w:r w:rsidRPr="009F5FC7">
        <w:t xml:space="preserve">5 eventi avversi lievi o moderati </w:t>
      </w:r>
      <w:r w:rsidRPr="009F5FC7">
        <w:rPr>
          <w:rFonts w:ascii="Calibri" w:hAnsi="Calibri" w:cs="Arial"/>
        </w:rPr>
        <w:t>possibilmente correlati al trattamento</w:t>
      </w:r>
      <w:r w:rsidRPr="009F5FC7">
        <w:t xml:space="preserve">. </w:t>
      </w:r>
      <w:r w:rsidRPr="009F5FC7">
        <w:rPr>
          <w:rFonts w:ascii="Calibri" w:hAnsi="Calibri" w:cs="Arial"/>
        </w:rPr>
        <w:t xml:space="preserve">In particolare, venivano riscontrati  </w:t>
      </w:r>
      <w:r w:rsidRPr="009F5FC7">
        <w:t>febbre, prurito inguinale, gastroenterite e infezione del tratto respiratorio superiore.</w:t>
      </w:r>
      <w:r>
        <w:t xml:space="preserve"> </w:t>
      </w:r>
      <w:r w:rsidRPr="009F5FC7">
        <w:rPr>
          <w:rFonts w:ascii="Calibri" w:hAnsi="Calibri" w:cs="Arial"/>
        </w:rPr>
        <w:t>Non sono stati rilevati eventi avversi gravi.</w:t>
      </w:r>
    </w:p>
    <w:p w:rsidR="005A16AD" w:rsidRPr="009F5FC7" w:rsidRDefault="005A16AD" w:rsidP="005A16AD">
      <w:pPr>
        <w:spacing w:after="0" w:line="240" w:lineRule="auto"/>
        <w:jc w:val="both"/>
      </w:pPr>
      <w:r w:rsidRPr="009F5FC7">
        <w:t xml:space="preserve">Gli eventi avversi sono stati simili tra medicinale test e medicinali di riferimento. </w:t>
      </w:r>
    </w:p>
    <w:p w:rsidR="005A16AD" w:rsidRPr="009F5FC7" w:rsidRDefault="005A16AD" w:rsidP="005A16AD">
      <w:pPr>
        <w:spacing w:after="0" w:line="240" w:lineRule="auto"/>
      </w:pPr>
    </w:p>
    <w:p w:rsidR="005A16AD" w:rsidRPr="009F5FC7" w:rsidRDefault="005A16AD" w:rsidP="005A16AD">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i/>
          <w:sz w:val="22"/>
          <w:szCs w:val="22"/>
          <w:lang w:val="it-IT"/>
        </w:rPr>
        <w:t>Parametri farmacocinetici</w:t>
      </w:r>
      <w:r w:rsidRPr="009F5FC7">
        <w:rPr>
          <w:rFonts w:asciiTheme="minorHAnsi" w:hAnsiTheme="minorHAnsi" w:cs="Arial"/>
          <w:b w:val="0"/>
          <w:sz w:val="22"/>
          <w:szCs w:val="22"/>
          <w:lang w:val="it-IT"/>
        </w:rPr>
        <w:t xml:space="preserve">. </w:t>
      </w:r>
    </w:p>
    <w:p w:rsidR="005A16AD" w:rsidRPr="009F5FC7" w:rsidRDefault="005A16AD" w:rsidP="005A16AD">
      <w:pPr>
        <w:pStyle w:val="Didascalia"/>
        <w:keepNext/>
        <w:spacing w:before="0" w:after="0"/>
        <w:jc w:val="both"/>
        <w:outlineLvl w:val="0"/>
        <w:rPr>
          <w:rFonts w:asciiTheme="minorHAnsi" w:hAnsiTheme="minorHAnsi" w:cs="Arial"/>
          <w:b w:val="0"/>
          <w:sz w:val="22"/>
          <w:szCs w:val="22"/>
          <w:lang w:val="it-IT"/>
        </w:rPr>
      </w:pPr>
      <w:r w:rsidRPr="009F5FC7">
        <w:rPr>
          <w:rFonts w:asciiTheme="minorHAnsi" w:hAnsiTheme="minorHAnsi" w:cs="Arial"/>
          <w:b w:val="0"/>
          <w:sz w:val="22"/>
          <w:szCs w:val="22"/>
          <w:lang w:val="it-IT"/>
        </w:rPr>
        <w:t>La sintesi dei risultati dello studio di bioequivalenza è riportata nella tabella che segue.</w:t>
      </w:r>
    </w:p>
    <w:p w:rsidR="005A16AD" w:rsidRPr="008E5353" w:rsidRDefault="005A16AD" w:rsidP="005A16AD">
      <w:pPr>
        <w:pStyle w:val="Paragrafoelenco"/>
        <w:spacing w:after="0" w:line="240" w:lineRule="auto"/>
        <w:ind w:left="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4A0"/>
      </w:tblPr>
      <w:tblGrid>
        <w:gridCol w:w="1531"/>
        <w:gridCol w:w="1475"/>
        <w:gridCol w:w="3063"/>
      </w:tblGrid>
      <w:tr w:rsidR="005A16AD" w:rsidRPr="00F36FEA" w:rsidTr="004E4650">
        <w:trPr>
          <w:trHeight w:val="247"/>
          <w:jc w:val="center"/>
        </w:trPr>
        <w:tc>
          <w:tcPr>
            <w:tcW w:w="6069" w:type="dxa"/>
            <w:gridSpan w:val="3"/>
            <w:tcBorders>
              <w:top w:val="single" w:sz="4" w:space="0" w:color="auto"/>
              <w:left w:val="single" w:sz="4" w:space="0" w:color="auto"/>
              <w:bottom w:val="single" w:sz="4" w:space="0" w:color="auto"/>
              <w:right w:val="single" w:sz="4" w:space="0" w:color="auto"/>
            </w:tcBorders>
            <w:vAlign w:val="center"/>
            <w:hideMark/>
          </w:tcPr>
          <w:p w:rsidR="005A16AD" w:rsidRPr="00F36FEA" w:rsidRDefault="005A16AD" w:rsidP="004E4650">
            <w:pPr>
              <w:spacing w:after="0" w:line="240" w:lineRule="auto"/>
              <w:jc w:val="center"/>
              <w:rPr>
                <w:rFonts w:cs="Arial"/>
                <w:b/>
                <w:bCs/>
                <w:sz w:val="20"/>
                <w:szCs w:val="20"/>
              </w:rPr>
            </w:pPr>
            <w:r w:rsidRPr="00F36FEA">
              <w:rPr>
                <w:rFonts w:cs="Arial"/>
                <w:b/>
                <w:bCs/>
                <w:sz w:val="20"/>
                <w:szCs w:val="20"/>
              </w:rPr>
              <w:t>SILDENAFIL</w:t>
            </w:r>
          </w:p>
        </w:tc>
      </w:tr>
      <w:tr w:rsidR="005A16AD" w:rsidRPr="00F36FEA" w:rsidTr="004E4650">
        <w:trPr>
          <w:trHeight w:val="237"/>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5A16AD" w:rsidRPr="00F36FEA" w:rsidRDefault="005A16AD" w:rsidP="004E4650">
            <w:pPr>
              <w:spacing w:after="0" w:line="240" w:lineRule="auto"/>
              <w:rPr>
                <w:rFonts w:cs="Arial"/>
                <w:b/>
                <w:sz w:val="20"/>
                <w:szCs w:val="20"/>
              </w:rPr>
            </w:pPr>
            <w:r w:rsidRPr="00F36FEA">
              <w:rPr>
                <w:rFonts w:cs="Arial"/>
                <w:b/>
                <w:sz w:val="20"/>
                <w:szCs w:val="20"/>
              </w:rPr>
              <w:t>Parametro</w:t>
            </w:r>
          </w:p>
        </w:tc>
        <w:tc>
          <w:tcPr>
            <w:tcW w:w="1475" w:type="dxa"/>
            <w:tcBorders>
              <w:top w:val="single" w:sz="4" w:space="0" w:color="auto"/>
              <w:left w:val="single" w:sz="4" w:space="0" w:color="auto"/>
              <w:bottom w:val="single" w:sz="4" w:space="0" w:color="auto"/>
              <w:right w:val="single" w:sz="4" w:space="0" w:color="auto"/>
            </w:tcBorders>
            <w:vAlign w:val="bottom"/>
            <w:hideMark/>
          </w:tcPr>
          <w:p w:rsidR="005A16AD" w:rsidRPr="00F36FEA" w:rsidRDefault="005A16AD" w:rsidP="004E4650">
            <w:pPr>
              <w:spacing w:after="0" w:line="240" w:lineRule="auto"/>
              <w:jc w:val="center"/>
              <w:rPr>
                <w:rFonts w:cs="Arial"/>
                <w:b/>
                <w:sz w:val="20"/>
                <w:szCs w:val="20"/>
              </w:rPr>
            </w:pPr>
            <w:r w:rsidRPr="00F36FEA">
              <w:rPr>
                <w:rFonts w:cs="Arial"/>
                <w:b/>
                <w:sz w:val="20"/>
                <w:szCs w:val="20"/>
              </w:rPr>
              <w:t>T/R Ratio</w:t>
            </w:r>
          </w:p>
        </w:tc>
        <w:tc>
          <w:tcPr>
            <w:tcW w:w="3063" w:type="dxa"/>
            <w:tcBorders>
              <w:top w:val="single" w:sz="4" w:space="0" w:color="auto"/>
              <w:left w:val="single" w:sz="4" w:space="0" w:color="auto"/>
              <w:bottom w:val="single" w:sz="4" w:space="0" w:color="auto"/>
              <w:right w:val="single" w:sz="4" w:space="0" w:color="auto"/>
            </w:tcBorders>
            <w:vAlign w:val="bottom"/>
            <w:hideMark/>
          </w:tcPr>
          <w:p w:rsidR="005A16AD" w:rsidRPr="00F36FEA" w:rsidRDefault="005A16AD" w:rsidP="004E4650">
            <w:pPr>
              <w:spacing w:after="0" w:line="240" w:lineRule="auto"/>
              <w:jc w:val="center"/>
              <w:rPr>
                <w:rFonts w:cs="Arial"/>
                <w:b/>
                <w:sz w:val="20"/>
                <w:szCs w:val="20"/>
              </w:rPr>
            </w:pPr>
            <w:r w:rsidRPr="00F36FEA">
              <w:rPr>
                <w:rFonts w:cs="Arial"/>
                <w:b/>
                <w:sz w:val="20"/>
                <w:szCs w:val="20"/>
              </w:rPr>
              <w:t>90% C.I.</w:t>
            </w:r>
          </w:p>
        </w:tc>
      </w:tr>
      <w:tr w:rsidR="005A16AD" w:rsidRPr="00F36FEA" w:rsidTr="004E4650">
        <w:trPr>
          <w:trHeight w:val="265"/>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5A16AD" w:rsidRPr="00F36FEA" w:rsidRDefault="005A16AD" w:rsidP="004E4650">
            <w:pPr>
              <w:spacing w:after="0" w:line="240" w:lineRule="auto"/>
              <w:rPr>
                <w:b/>
                <w:sz w:val="20"/>
                <w:szCs w:val="20"/>
              </w:rPr>
            </w:pPr>
            <w:r w:rsidRPr="00F36FEA">
              <w:rPr>
                <w:b/>
                <w:sz w:val="20"/>
                <w:szCs w:val="20"/>
              </w:rPr>
              <w:t>AUC</w:t>
            </w:r>
            <w:r w:rsidRPr="00F36FEA">
              <w:rPr>
                <w:b/>
                <w:sz w:val="20"/>
                <w:szCs w:val="20"/>
                <w:vertAlign w:val="subscript"/>
              </w:rPr>
              <w:t>0-t</w:t>
            </w:r>
          </w:p>
        </w:tc>
        <w:tc>
          <w:tcPr>
            <w:tcW w:w="1475" w:type="dxa"/>
            <w:tcBorders>
              <w:top w:val="single" w:sz="4" w:space="0" w:color="auto"/>
              <w:left w:val="single" w:sz="4" w:space="0" w:color="auto"/>
              <w:bottom w:val="single" w:sz="4" w:space="0" w:color="auto"/>
              <w:right w:val="single" w:sz="4" w:space="0" w:color="auto"/>
            </w:tcBorders>
            <w:vAlign w:val="bottom"/>
            <w:hideMark/>
          </w:tcPr>
          <w:p w:rsidR="005A16AD" w:rsidRPr="00F36FEA" w:rsidRDefault="005A16AD" w:rsidP="004E4650">
            <w:pPr>
              <w:spacing w:after="0" w:line="240" w:lineRule="auto"/>
              <w:jc w:val="center"/>
              <w:rPr>
                <w:sz w:val="20"/>
                <w:szCs w:val="20"/>
              </w:rPr>
            </w:pPr>
            <w:r w:rsidRPr="00F36FEA">
              <w:rPr>
                <w:bCs/>
                <w:sz w:val="20"/>
                <w:szCs w:val="20"/>
              </w:rPr>
              <w:t>104.20</w:t>
            </w:r>
          </w:p>
        </w:tc>
        <w:tc>
          <w:tcPr>
            <w:tcW w:w="3063" w:type="dxa"/>
            <w:tcBorders>
              <w:top w:val="single" w:sz="4" w:space="0" w:color="auto"/>
              <w:left w:val="single" w:sz="4" w:space="0" w:color="auto"/>
              <w:bottom w:val="single" w:sz="4" w:space="0" w:color="auto"/>
              <w:right w:val="single" w:sz="4" w:space="0" w:color="auto"/>
            </w:tcBorders>
            <w:vAlign w:val="bottom"/>
            <w:hideMark/>
          </w:tcPr>
          <w:p w:rsidR="005A16AD" w:rsidRPr="00F36FEA" w:rsidRDefault="005A16AD" w:rsidP="004E4650">
            <w:pPr>
              <w:spacing w:after="0" w:line="240" w:lineRule="auto"/>
              <w:jc w:val="center"/>
              <w:rPr>
                <w:sz w:val="20"/>
                <w:szCs w:val="20"/>
              </w:rPr>
            </w:pPr>
            <w:r w:rsidRPr="00F36FEA">
              <w:rPr>
                <w:bCs/>
                <w:sz w:val="20"/>
                <w:szCs w:val="20"/>
              </w:rPr>
              <w:t>98.02- 110.75</w:t>
            </w:r>
          </w:p>
        </w:tc>
      </w:tr>
      <w:tr w:rsidR="005A16AD" w:rsidRPr="00F36FEA" w:rsidTr="004E4650">
        <w:trPr>
          <w:trHeight w:val="305"/>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5A16AD" w:rsidRPr="00F36FEA" w:rsidRDefault="005A16AD" w:rsidP="004E4650">
            <w:pPr>
              <w:spacing w:after="0" w:line="240" w:lineRule="auto"/>
              <w:rPr>
                <w:b/>
                <w:sz w:val="20"/>
                <w:szCs w:val="20"/>
              </w:rPr>
            </w:pPr>
            <w:r w:rsidRPr="00F36FEA">
              <w:rPr>
                <w:b/>
                <w:sz w:val="20"/>
                <w:szCs w:val="20"/>
              </w:rPr>
              <w:t>AUC</w:t>
            </w:r>
            <w:r w:rsidRPr="00F36FEA">
              <w:rPr>
                <w:b/>
                <w:sz w:val="20"/>
                <w:szCs w:val="20"/>
                <w:vertAlign w:val="subscript"/>
              </w:rPr>
              <w:t>0-∞</w:t>
            </w:r>
          </w:p>
        </w:tc>
        <w:tc>
          <w:tcPr>
            <w:tcW w:w="1475" w:type="dxa"/>
            <w:tcBorders>
              <w:top w:val="single" w:sz="4" w:space="0" w:color="auto"/>
              <w:left w:val="single" w:sz="4" w:space="0" w:color="auto"/>
              <w:bottom w:val="single" w:sz="4" w:space="0" w:color="auto"/>
              <w:right w:val="single" w:sz="4" w:space="0" w:color="auto"/>
            </w:tcBorders>
            <w:vAlign w:val="bottom"/>
            <w:hideMark/>
          </w:tcPr>
          <w:p w:rsidR="005A16AD" w:rsidRPr="00F36FEA" w:rsidRDefault="005A16AD" w:rsidP="004E4650">
            <w:pPr>
              <w:spacing w:after="0" w:line="240" w:lineRule="auto"/>
              <w:jc w:val="center"/>
              <w:rPr>
                <w:sz w:val="20"/>
                <w:szCs w:val="20"/>
              </w:rPr>
            </w:pPr>
            <w:r w:rsidRPr="00F36FEA">
              <w:rPr>
                <w:bCs/>
                <w:sz w:val="20"/>
                <w:szCs w:val="20"/>
              </w:rPr>
              <w:t>104.19</w:t>
            </w:r>
          </w:p>
        </w:tc>
        <w:tc>
          <w:tcPr>
            <w:tcW w:w="3063" w:type="dxa"/>
            <w:tcBorders>
              <w:top w:val="single" w:sz="4" w:space="0" w:color="auto"/>
              <w:left w:val="single" w:sz="4" w:space="0" w:color="auto"/>
              <w:bottom w:val="single" w:sz="4" w:space="0" w:color="auto"/>
              <w:right w:val="single" w:sz="4" w:space="0" w:color="auto"/>
            </w:tcBorders>
            <w:vAlign w:val="bottom"/>
            <w:hideMark/>
          </w:tcPr>
          <w:p w:rsidR="005A16AD" w:rsidRPr="00F36FEA" w:rsidRDefault="005A16AD" w:rsidP="004E4650">
            <w:pPr>
              <w:spacing w:after="0" w:line="240" w:lineRule="auto"/>
              <w:jc w:val="center"/>
              <w:rPr>
                <w:sz w:val="20"/>
                <w:szCs w:val="20"/>
              </w:rPr>
            </w:pPr>
            <w:r w:rsidRPr="00F36FEA">
              <w:rPr>
                <w:bCs/>
                <w:sz w:val="20"/>
                <w:szCs w:val="20"/>
              </w:rPr>
              <w:t>98.00- 110.80</w:t>
            </w:r>
          </w:p>
        </w:tc>
      </w:tr>
      <w:tr w:rsidR="005A16AD" w:rsidRPr="00F36FEA" w:rsidTr="004E4650">
        <w:trPr>
          <w:trHeight w:val="305"/>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5A16AD" w:rsidRPr="00F36FEA" w:rsidRDefault="005A16AD" w:rsidP="004E4650">
            <w:pPr>
              <w:spacing w:after="0" w:line="240" w:lineRule="auto"/>
              <w:rPr>
                <w:b/>
                <w:sz w:val="20"/>
                <w:szCs w:val="20"/>
              </w:rPr>
            </w:pPr>
            <w:r w:rsidRPr="00F36FEA">
              <w:rPr>
                <w:b/>
                <w:sz w:val="20"/>
                <w:szCs w:val="20"/>
              </w:rPr>
              <w:t>C</w:t>
            </w:r>
            <w:r w:rsidRPr="00F36FEA">
              <w:rPr>
                <w:b/>
                <w:sz w:val="20"/>
                <w:szCs w:val="20"/>
                <w:vertAlign w:val="subscript"/>
              </w:rPr>
              <w:t>max</w:t>
            </w:r>
          </w:p>
        </w:tc>
        <w:tc>
          <w:tcPr>
            <w:tcW w:w="1475" w:type="dxa"/>
            <w:tcBorders>
              <w:top w:val="single" w:sz="4" w:space="0" w:color="auto"/>
              <w:left w:val="single" w:sz="4" w:space="0" w:color="auto"/>
              <w:bottom w:val="single" w:sz="4" w:space="0" w:color="auto"/>
              <w:right w:val="single" w:sz="4" w:space="0" w:color="auto"/>
            </w:tcBorders>
            <w:vAlign w:val="bottom"/>
            <w:hideMark/>
          </w:tcPr>
          <w:p w:rsidR="005A16AD" w:rsidRPr="00F36FEA" w:rsidRDefault="005A16AD" w:rsidP="004E4650">
            <w:pPr>
              <w:spacing w:after="0" w:line="240" w:lineRule="auto"/>
              <w:jc w:val="center"/>
              <w:rPr>
                <w:sz w:val="20"/>
                <w:szCs w:val="20"/>
              </w:rPr>
            </w:pPr>
            <w:r w:rsidRPr="00F36FEA">
              <w:rPr>
                <w:bCs/>
                <w:sz w:val="20"/>
                <w:szCs w:val="20"/>
              </w:rPr>
              <w:t>94.79</w:t>
            </w:r>
          </w:p>
        </w:tc>
        <w:tc>
          <w:tcPr>
            <w:tcW w:w="3063" w:type="dxa"/>
            <w:tcBorders>
              <w:top w:val="single" w:sz="4" w:space="0" w:color="auto"/>
              <w:left w:val="single" w:sz="4" w:space="0" w:color="auto"/>
              <w:bottom w:val="single" w:sz="4" w:space="0" w:color="auto"/>
              <w:right w:val="single" w:sz="4" w:space="0" w:color="auto"/>
            </w:tcBorders>
            <w:vAlign w:val="bottom"/>
            <w:hideMark/>
          </w:tcPr>
          <w:p w:rsidR="005A16AD" w:rsidRPr="00F36FEA" w:rsidRDefault="005A16AD" w:rsidP="004E4650">
            <w:pPr>
              <w:spacing w:after="0" w:line="240" w:lineRule="auto"/>
              <w:jc w:val="center"/>
              <w:rPr>
                <w:sz w:val="20"/>
                <w:szCs w:val="20"/>
              </w:rPr>
            </w:pPr>
            <w:r w:rsidRPr="00F36FEA">
              <w:rPr>
                <w:bCs/>
                <w:sz w:val="20"/>
                <w:szCs w:val="20"/>
              </w:rPr>
              <w:t>86.00 -104.48</w:t>
            </w:r>
          </w:p>
        </w:tc>
      </w:tr>
      <w:tr w:rsidR="005A16AD" w:rsidRPr="00F36FEA" w:rsidTr="004E4650">
        <w:trPr>
          <w:trHeight w:val="305"/>
          <w:jc w:val="center"/>
        </w:trPr>
        <w:tc>
          <w:tcPr>
            <w:tcW w:w="6069" w:type="dxa"/>
            <w:gridSpan w:val="3"/>
            <w:tcBorders>
              <w:top w:val="single" w:sz="4" w:space="0" w:color="auto"/>
              <w:left w:val="single" w:sz="4" w:space="0" w:color="auto"/>
              <w:bottom w:val="single" w:sz="4" w:space="0" w:color="auto"/>
              <w:right w:val="single" w:sz="4" w:space="0" w:color="auto"/>
            </w:tcBorders>
            <w:vAlign w:val="bottom"/>
            <w:hideMark/>
          </w:tcPr>
          <w:p w:rsidR="005A16AD" w:rsidRPr="00F36FEA" w:rsidRDefault="005A16AD" w:rsidP="004E4650">
            <w:pPr>
              <w:spacing w:after="0" w:line="240" w:lineRule="auto"/>
              <w:jc w:val="center"/>
              <w:rPr>
                <w:bCs/>
                <w:sz w:val="20"/>
                <w:szCs w:val="20"/>
              </w:rPr>
            </w:pPr>
            <w:r w:rsidRPr="00F36FEA">
              <w:rPr>
                <w:b/>
                <w:bCs/>
                <w:sz w:val="20"/>
                <w:szCs w:val="20"/>
              </w:rPr>
              <w:t>PIPERAZINA N-DESMETIL SILDENAFIL</w:t>
            </w:r>
          </w:p>
        </w:tc>
      </w:tr>
      <w:tr w:rsidR="005A16AD" w:rsidRPr="00F36FEA" w:rsidTr="004E4650">
        <w:trPr>
          <w:trHeight w:val="305"/>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5A16AD" w:rsidRPr="00F36FEA" w:rsidRDefault="005A16AD" w:rsidP="004E4650">
            <w:pPr>
              <w:spacing w:after="0" w:line="240" w:lineRule="auto"/>
              <w:rPr>
                <w:b/>
                <w:sz w:val="20"/>
                <w:szCs w:val="20"/>
              </w:rPr>
            </w:pPr>
            <w:r w:rsidRPr="00F36FEA">
              <w:rPr>
                <w:b/>
                <w:sz w:val="20"/>
                <w:szCs w:val="20"/>
              </w:rPr>
              <w:t>AUC</w:t>
            </w:r>
            <w:r w:rsidRPr="00F36FEA">
              <w:rPr>
                <w:b/>
                <w:sz w:val="20"/>
                <w:szCs w:val="20"/>
                <w:vertAlign w:val="subscript"/>
              </w:rPr>
              <w:t>0-t</w:t>
            </w:r>
          </w:p>
        </w:tc>
        <w:tc>
          <w:tcPr>
            <w:tcW w:w="1475" w:type="dxa"/>
            <w:tcBorders>
              <w:top w:val="single" w:sz="4" w:space="0" w:color="auto"/>
              <w:left w:val="single" w:sz="4" w:space="0" w:color="auto"/>
              <w:bottom w:val="single" w:sz="4" w:space="0" w:color="auto"/>
              <w:right w:val="single" w:sz="4" w:space="0" w:color="auto"/>
            </w:tcBorders>
            <w:vAlign w:val="bottom"/>
            <w:hideMark/>
          </w:tcPr>
          <w:p w:rsidR="005A16AD" w:rsidRPr="00F36FEA" w:rsidRDefault="005A16AD" w:rsidP="004E4650">
            <w:pPr>
              <w:spacing w:after="0" w:line="240" w:lineRule="auto"/>
              <w:jc w:val="center"/>
              <w:rPr>
                <w:sz w:val="20"/>
                <w:szCs w:val="20"/>
              </w:rPr>
            </w:pPr>
            <w:r w:rsidRPr="00F36FEA">
              <w:rPr>
                <w:bCs/>
                <w:sz w:val="20"/>
                <w:szCs w:val="20"/>
              </w:rPr>
              <w:t>99.31</w:t>
            </w:r>
          </w:p>
        </w:tc>
        <w:tc>
          <w:tcPr>
            <w:tcW w:w="3063" w:type="dxa"/>
            <w:tcBorders>
              <w:top w:val="single" w:sz="4" w:space="0" w:color="auto"/>
              <w:left w:val="single" w:sz="4" w:space="0" w:color="auto"/>
              <w:bottom w:val="single" w:sz="4" w:space="0" w:color="auto"/>
              <w:right w:val="single" w:sz="4" w:space="0" w:color="auto"/>
            </w:tcBorders>
            <w:vAlign w:val="bottom"/>
            <w:hideMark/>
          </w:tcPr>
          <w:p w:rsidR="005A16AD" w:rsidRPr="00F36FEA" w:rsidRDefault="005A16AD" w:rsidP="004E4650">
            <w:pPr>
              <w:spacing w:after="0" w:line="240" w:lineRule="auto"/>
              <w:jc w:val="center"/>
              <w:rPr>
                <w:sz w:val="20"/>
                <w:szCs w:val="20"/>
              </w:rPr>
            </w:pPr>
            <w:r w:rsidRPr="00F36FEA">
              <w:rPr>
                <w:bCs/>
                <w:sz w:val="20"/>
                <w:szCs w:val="20"/>
              </w:rPr>
              <w:t>92.35- 106.804</w:t>
            </w:r>
          </w:p>
        </w:tc>
      </w:tr>
      <w:tr w:rsidR="005A16AD" w:rsidRPr="00F36FEA" w:rsidTr="004E4650">
        <w:trPr>
          <w:trHeight w:val="305"/>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5A16AD" w:rsidRPr="00F36FEA" w:rsidRDefault="005A16AD" w:rsidP="004E4650">
            <w:pPr>
              <w:spacing w:after="0" w:line="240" w:lineRule="auto"/>
              <w:rPr>
                <w:b/>
                <w:sz w:val="20"/>
                <w:szCs w:val="20"/>
              </w:rPr>
            </w:pPr>
            <w:r w:rsidRPr="00F36FEA">
              <w:rPr>
                <w:b/>
                <w:sz w:val="20"/>
                <w:szCs w:val="20"/>
              </w:rPr>
              <w:t>AUC</w:t>
            </w:r>
            <w:r w:rsidRPr="00F36FEA">
              <w:rPr>
                <w:b/>
                <w:sz w:val="20"/>
                <w:szCs w:val="20"/>
                <w:vertAlign w:val="subscript"/>
              </w:rPr>
              <w:t>0-∞</w:t>
            </w:r>
          </w:p>
        </w:tc>
        <w:tc>
          <w:tcPr>
            <w:tcW w:w="1475" w:type="dxa"/>
            <w:tcBorders>
              <w:top w:val="single" w:sz="4" w:space="0" w:color="auto"/>
              <w:left w:val="single" w:sz="4" w:space="0" w:color="auto"/>
              <w:bottom w:val="single" w:sz="4" w:space="0" w:color="auto"/>
              <w:right w:val="single" w:sz="4" w:space="0" w:color="auto"/>
            </w:tcBorders>
            <w:vAlign w:val="bottom"/>
            <w:hideMark/>
          </w:tcPr>
          <w:p w:rsidR="005A16AD" w:rsidRPr="00F36FEA" w:rsidRDefault="005A16AD" w:rsidP="004E4650">
            <w:pPr>
              <w:spacing w:after="0" w:line="240" w:lineRule="auto"/>
              <w:jc w:val="center"/>
              <w:rPr>
                <w:sz w:val="20"/>
                <w:szCs w:val="20"/>
              </w:rPr>
            </w:pPr>
            <w:r w:rsidRPr="00F36FEA">
              <w:rPr>
                <w:bCs/>
                <w:sz w:val="20"/>
                <w:szCs w:val="20"/>
              </w:rPr>
              <w:t>100.13</w:t>
            </w:r>
          </w:p>
        </w:tc>
        <w:tc>
          <w:tcPr>
            <w:tcW w:w="3063" w:type="dxa"/>
            <w:tcBorders>
              <w:top w:val="single" w:sz="4" w:space="0" w:color="auto"/>
              <w:left w:val="single" w:sz="4" w:space="0" w:color="auto"/>
              <w:bottom w:val="single" w:sz="4" w:space="0" w:color="auto"/>
              <w:right w:val="single" w:sz="4" w:space="0" w:color="auto"/>
            </w:tcBorders>
            <w:vAlign w:val="bottom"/>
            <w:hideMark/>
          </w:tcPr>
          <w:p w:rsidR="005A16AD" w:rsidRPr="00F36FEA" w:rsidRDefault="005A16AD" w:rsidP="004E4650">
            <w:pPr>
              <w:spacing w:after="0" w:line="240" w:lineRule="auto"/>
              <w:jc w:val="center"/>
              <w:rPr>
                <w:sz w:val="20"/>
                <w:szCs w:val="20"/>
              </w:rPr>
            </w:pPr>
            <w:r w:rsidRPr="00F36FEA">
              <w:rPr>
                <w:bCs/>
                <w:sz w:val="20"/>
                <w:szCs w:val="20"/>
              </w:rPr>
              <w:t>93.24- 107.52</w:t>
            </w:r>
          </w:p>
        </w:tc>
      </w:tr>
      <w:tr w:rsidR="005A16AD" w:rsidRPr="00F36FEA" w:rsidTr="004E4650">
        <w:trPr>
          <w:trHeight w:val="305"/>
          <w:jc w:val="center"/>
        </w:trPr>
        <w:tc>
          <w:tcPr>
            <w:tcW w:w="1531" w:type="dxa"/>
            <w:tcBorders>
              <w:top w:val="single" w:sz="4" w:space="0" w:color="auto"/>
              <w:left w:val="single" w:sz="4" w:space="0" w:color="auto"/>
              <w:bottom w:val="single" w:sz="4" w:space="0" w:color="auto"/>
              <w:right w:val="single" w:sz="4" w:space="0" w:color="auto"/>
            </w:tcBorders>
            <w:vAlign w:val="bottom"/>
            <w:hideMark/>
          </w:tcPr>
          <w:p w:rsidR="005A16AD" w:rsidRPr="00F36FEA" w:rsidRDefault="005A16AD" w:rsidP="004E4650">
            <w:pPr>
              <w:spacing w:after="0" w:line="240" w:lineRule="auto"/>
              <w:rPr>
                <w:b/>
                <w:sz w:val="20"/>
                <w:szCs w:val="20"/>
              </w:rPr>
            </w:pPr>
            <w:r w:rsidRPr="00F36FEA">
              <w:rPr>
                <w:b/>
                <w:sz w:val="20"/>
                <w:szCs w:val="20"/>
              </w:rPr>
              <w:t>C</w:t>
            </w:r>
            <w:r w:rsidRPr="00F36FEA">
              <w:rPr>
                <w:b/>
                <w:sz w:val="20"/>
                <w:szCs w:val="20"/>
                <w:vertAlign w:val="subscript"/>
              </w:rPr>
              <w:t>max</w:t>
            </w:r>
          </w:p>
        </w:tc>
        <w:tc>
          <w:tcPr>
            <w:tcW w:w="1475" w:type="dxa"/>
            <w:tcBorders>
              <w:top w:val="single" w:sz="4" w:space="0" w:color="auto"/>
              <w:left w:val="single" w:sz="4" w:space="0" w:color="auto"/>
              <w:bottom w:val="single" w:sz="4" w:space="0" w:color="auto"/>
              <w:right w:val="single" w:sz="4" w:space="0" w:color="auto"/>
            </w:tcBorders>
            <w:vAlign w:val="bottom"/>
            <w:hideMark/>
          </w:tcPr>
          <w:p w:rsidR="005A16AD" w:rsidRPr="00F36FEA" w:rsidRDefault="005A16AD" w:rsidP="004E4650">
            <w:pPr>
              <w:spacing w:after="0" w:line="240" w:lineRule="auto"/>
              <w:jc w:val="center"/>
              <w:rPr>
                <w:sz w:val="20"/>
                <w:szCs w:val="20"/>
              </w:rPr>
            </w:pPr>
            <w:r w:rsidRPr="00F36FEA">
              <w:rPr>
                <w:bCs/>
                <w:sz w:val="20"/>
                <w:szCs w:val="20"/>
              </w:rPr>
              <w:t>91.75</w:t>
            </w:r>
          </w:p>
        </w:tc>
        <w:tc>
          <w:tcPr>
            <w:tcW w:w="3063" w:type="dxa"/>
            <w:tcBorders>
              <w:top w:val="single" w:sz="4" w:space="0" w:color="auto"/>
              <w:left w:val="single" w:sz="4" w:space="0" w:color="auto"/>
              <w:bottom w:val="single" w:sz="4" w:space="0" w:color="auto"/>
              <w:right w:val="single" w:sz="4" w:space="0" w:color="auto"/>
            </w:tcBorders>
            <w:vAlign w:val="bottom"/>
            <w:hideMark/>
          </w:tcPr>
          <w:p w:rsidR="005A16AD" w:rsidRPr="00F36FEA" w:rsidRDefault="005A16AD" w:rsidP="004E4650">
            <w:pPr>
              <w:spacing w:after="0" w:line="240" w:lineRule="auto"/>
              <w:jc w:val="center"/>
              <w:rPr>
                <w:sz w:val="20"/>
                <w:szCs w:val="20"/>
              </w:rPr>
            </w:pPr>
            <w:r w:rsidRPr="00F36FEA">
              <w:rPr>
                <w:bCs/>
                <w:sz w:val="20"/>
                <w:szCs w:val="20"/>
              </w:rPr>
              <w:t>83.65 -100.65</w:t>
            </w:r>
          </w:p>
        </w:tc>
      </w:tr>
    </w:tbl>
    <w:p w:rsidR="005A16AD" w:rsidRDefault="005A16AD" w:rsidP="005A16AD">
      <w:pPr>
        <w:spacing w:after="0" w:line="240" w:lineRule="auto"/>
        <w:rPr>
          <w:rFonts w:cs="Arial"/>
          <w:sz w:val="20"/>
          <w:szCs w:val="20"/>
          <w:highlight w:val="yellow"/>
          <w:lang w:val="en-GB"/>
        </w:rPr>
      </w:pPr>
    </w:p>
    <w:p w:rsidR="005A16AD" w:rsidRPr="009F5FC7" w:rsidRDefault="005A16AD" w:rsidP="005A16AD">
      <w:pPr>
        <w:spacing w:after="0" w:line="240" w:lineRule="auto"/>
        <w:rPr>
          <w:rFonts w:cs="Arial"/>
          <w:sz w:val="20"/>
          <w:szCs w:val="20"/>
          <w:lang w:val="en-GB"/>
        </w:rPr>
      </w:pPr>
    </w:p>
    <w:p w:rsidR="005A16AD" w:rsidRPr="009F5FC7" w:rsidRDefault="005A16AD" w:rsidP="005A16AD">
      <w:pPr>
        <w:spacing w:after="0" w:line="240" w:lineRule="auto"/>
        <w:rPr>
          <w:rFonts w:cs="Arial"/>
        </w:rPr>
      </w:pPr>
      <w:r w:rsidRPr="009F5FC7">
        <w:rPr>
          <w:rFonts w:cs="Arial"/>
          <w:i/>
        </w:rPr>
        <w:t>Conclusioni sulla bioequivalenza</w:t>
      </w:r>
      <w:r w:rsidRPr="009F5FC7">
        <w:rPr>
          <w:rFonts w:cs="Arial"/>
        </w:rPr>
        <w:t>.</w:t>
      </w:r>
    </w:p>
    <w:p w:rsidR="005A16AD" w:rsidRPr="009F5FC7" w:rsidRDefault="005A16AD" w:rsidP="005A16AD">
      <w:pPr>
        <w:spacing w:after="0" w:line="240" w:lineRule="auto"/>
        <w:jc w:val="both"/>
        <w:rPr>
          <w:rFonts w:cs="Arial"/>
        </w:rPr>
      </w:pPr>
      <w:r w:rsidRPr="009F5FC7">
        <w:rPr>
          <w:rFonts w:cs="Arial"/>
        </w:rPr>
        <w:t>I risultati degli studi di bioequivalenza mostrano che gli intervalli di confidenza dei parametri farmacocinetici studiati cadono nel range di accettabilità di 80-125%, in accordo con le linee guida correnti.</w:t>
      </w:r>
    </w:p>
    <w:p w:rsidR="005A16AD" w:rsidRPr="009F5FC7" w:rsidRDefault="005A16AD" w:rsidP="005A16AD">
      <w:pPr>
        <w:spacing w:after="0" w:line="240" w:lineRule="auto"/>
        <w:jc w:val="both"/>
        <w:rPr>
          <w:rFonts w:cs="Arial"/>
        </w:rPr>
      </w:pPr>
    </w:p>
    <w:p w:rsidR="005A16AD" w:rsidRPr="009F5FC7" w:rsidRDefault="005A16AD" w:rsidP="005A16AD">
      <w:pPr>
        <w:spacing w:after="0" w:line="240" w:lineRule="auto"/>
        <w:jc w:val="both"/>
        <w:rPr>
          <w:rFonts w:cs="Arial"/>
          <w:b/>
        </w:rPr>
      </w:pPr>
      <w:r w:rsidRPr="009F5FC7">
        <w:rPr>
          <w:rFonts w:cs="Arial"/>
          <w:b/>
        </w:rPr>
        <w:t>Efficacia e sicurezza clinica</w:t>
      </w:r>
    </w:p>
    <w:p w:rsidR="005A16AD" w:rsidRDefault="005A16AD" w:rsidP="005A16AD">
      <w:pPr>
        <w:spacing w:after="0" w:line="240" w:lineRule="auto"/>
        <w:jc w:val="both"/>
        <w:rPr>
          <w:rFonts w:cs="Arial"/>
        </w:rPr>
      </w:pPr>
      <w:r w:rsidRPr="009F5FC7">
        <w:rPr>
          <w:rFonts w:cs="Arial"/>
        </w:rPr>
        <w:t xml:space="preserve">Non sono stati presentati nuovi dati di efficacia e sicurezza clinica: il profilo di sicurezza e l’efficacia del principio attivo di </w:t>
      </w:r>
      <w:r>
        <w:rPr>
          <w:rFonts w:cs="Arial"/>
        </w:rPr>
        <w:t>Sildenafil Brunifarma Research</w:t>
      </w:r>
      <w:r w:rsidRPr="009F5FC7">
        <w:rPr>
          <w:rFonts w:cs="Arial"/>
        </w:rPr>
        <w:t xml:space="preserve"> è ben conosciuto.</w:t>
      </w:r>
      <w:r>
        <w:rPr>
          <w:rFonts w:cs="Arial"/>
        </w:rPr>
        <w:t xml:space="preserve"> </w:t>
      </w:r>
    </w:p>
    <w:p w:rsidR="000A6924" w:rsidRDefault="000A6924" w:rsidP="005A16AD">
      <w:pPr>
        <w:spacing w:after="0" w:line="240" w:lineRule="auto"/>
        <w:jc w:val="both"/>
        <w:rPr>
          <w:rFonts w:cs="Arial"/>
        </w:rPr>
      </w:pPr>
    </w:p>
    <w:p w:rsidR="005A16AD" w:rsidRDefault="005A16AD" w:rsidP="005A16AD">
      <w:pPr>
        <w:pStyle w:val="Paragrafoelenco"/>
        <w:spacing w:after="0" w:line="240" w:lineRule="auto"/>
        <w:ind w:left="0"/>
        <w:jc w:val="both"/>
        <w:rPr>
          <w:b/>
        </w:rPr>
      </w:pPr>
      <w:r>
        <w:rPr>
          <w:b/>
        </w:rPr>
        <w:t>Piano di Valutazione del Rischio (</w:t>
      </w:r>
      <w:r>
        <w:rPr>
          <w:b/>
          <w:i/>
        </w:rPr>
        <w:t>Risk Management Plan</w:t>
      </w:r>
      <w:r>
        <w:rPr>
          <w:b/>
        </w:rPr>
        <w:t xml:space="preserve"> - RMP)</w:t>
      </w:r>
    </w:p>
    <w:p w:rsidR="005A16AD" w:rsidRDefault="005A16AD" w:rsidP="005A16AD">
      <w:pPr>
        <w:pStyle w:val="Paragrafoelenco"/>
        <w:spacing w:after="0" w:line="240" w:lineRule="auto"/>
        <w:ind w:left="0"/>
        <w:jc w:val="both"/>
      </w:pPr>
      <w:r>
        <w:t>E’ stato presentato un RMP in accordo a quanto previsto dalla Direttiva 2001/83/EU s.m.i. che descrive le attività di farmacovigilanza e gli interventi definiti al fine di identificare, caratterizzare, prevenire o minimizzare i rischi collegati all’uso di Sildenafil Brunifarma Research.</w:t>
      </w:r>
    </w:p>
    <w:p w:rsidR="005F1C4E" w:rsidRDefault="005F1C4E" w:rsidP="005F1C4E">
      <w:pPr>
        <w:pStyle w:val="Paragrafoelenco"/>
        <w:spacing w:after="0" w:line="240" w:lineRule="auto"/>
        <w:ind w:left="0"/>
        <w:jc w:val="both"/>
      </w:pPr>
      <w:r>
        <w:t>Il riassunto delle problematiche di sicurezza è riportato nella tabella seguente.</w:t>
      </w:r>
    </w:p>
    <w:p w:rsidR="005F1C4E" w:rsidRDefault="005F1C4E" w:rsidP="005F1C4E">
      <w:pPr>
        <w:pStyle w:val="Paragrafoelenco"/>
        <w:spacing w:after="0" w:line="240" w:lineRule="auto"/>
        <w:ind w:left="0"/>
        <w:jc w:val="both"/>
      </w:pPr>
    </w:p>
    <w:tbl>
      <w:tblPr>
        <w:tblW w:w="4497"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tblPr>
      <w:tblGrid>
        <w:gridCol w:w="3157"/>
        <w:gridCol w:w="5706"/>
      </w:tblGrid>
      <w:tr w:rsidR="005F1C4E" w:rsidRPr="001810E1" w:rsidTr="002B3178">
        <w:trPr>
          <w:jc w:val="center"/>
        </w:trPr>
        <w:tc>
          <w:tcPr>
            <w:tcW w:w="1781" w:type="pct"/>
            <w:shd w:val="clear" w:color="auto" w:fill="auto"/>
          </w:tcPr>
          <w:p w:rsidR="005F1C4E" w:rsidRPr="00474E7B" w:rsidRDefault="005F1C4E" w:rsidP="002B3178">
            <w:pPr>
              <w:pStyle w:val="TabletextrowsAgency"/>
              <w:spacing w:line="240" w:lineRule="auto"/>
              <w:rPr>
                <w:rFonts w:asciiTheme="minorHAnsi" w:hAnsiTheme="minorHAnsi"/>
                <w:sz w:val="20"/>
                <w:szCs w:val="20"/>
                <w:lang w:eastAsia="en-GB"/>
              </w:rPr>
            </w:pPr>
            <w:r w:rsidRPr="00474E7B">
              <w:rPr>
                <w:rFonts w:asciiTheme="minorHAnsi" w:hAnsiTheme="minorHAnsi"/>
                <w:sz w:val="20"/>
                <w:szCs w:val="20"/>
                <w:lang w:eastAsia="en-GB"/>
              </w:rPr>
              <w:t>Rischi importanti identificati</w:t>
            </w:r>
          </w:p>
        </w:tc>
        <w:tc>
          <w:tcPr>
            <w:tcW w:w="3219" w:type="pct"/>
            <w:shd w:val="clear" w:color="auto" w:fill="auto"/>
          </w:tcPr>
          <w:p w:rsidR="005F1C4E" w:rsidRPr="00474E7B" w:rsidRDefault="005F1C4E" w:rsidP="002B3178">
            <w:pPr>
              <w:pStyle w:val="TabletextrowsAgency"/>
              <w:spacing w:line="240" w:lineRule="auto"/>
              <w:rPr>
                <w:rFonts w:asciiTheme="minorHAnsi" w:hAnsiTheme="minorHAnsi"/>
                <w:sz w:val="20"/>
                <w:szCs w:val="20"/>
                <w:lang w:val="it-IT" w:eastAsia="en-GB"/>
              </w:rPr>
            </w:pPr>
            <w:r>
              <w:rPr>
                <w:rFonts w:asciiTheme="minorHAnsi" w:hAnsiTheme="minorHAnsi"/>
                <w:sz w:val="20"/>
                <w:szCs w:val="20"/>
                <w:lang w:val="it-IT" w:eastAsia="en-GB"/>
              </w:rPr>
              <w:t>I</w:t>
            </w:r>
            <w:r w:rsidRPr="00474E7B">
              <w:rPr>
                <w:rFonts w:asciiTheme="minorHAnsi" w:hAnsiTheme="minorHAnsi"/>
                <w:sz w:val="20"/>
                <w:szCs w:val="20"/>
                <w:lang w:val="it-IT" w:eastAsia="en-GB"/>
              </w:rPr>
              <w:t>persensibilità</w:t>
            </w:r>
          </w:p>
          <w:p w:rsidR="005F1C4E" w:rsidRPr="00474E7B" w:rsidRDefault="005F1C4E" w:rsidP="002B3178">
            <w:pPr>
              <w:pStyle w:val="TabletextrowsAgency"/>
              <w:spacing w:line="240" w:lineRule="auto"/>
              <w:rPr>
                <w:rFonts w:asciiTheme="minorHAnsi" w:hAnsiTheme="minorHAnsi"/>
                <w:sz w:val="20"/>
                <w:szCs w:val="20"/>
                <w:lang w:val="it-IT" w:eastAsia="en-GB"/>
              </w:rPr>
            </w:pPr>
            <w:r w:rsidRPr="00474E7B">
              <w:rPr>
                <w:rFonts w:asciiTheme="minorHAnsi" w:hAnsiTheme="minorHAnsi"/>
                <w:sz w:val="20"/>
                <w:szCs w:val="20"/>
                <w:lang w:val="it-IT" w:eastAsia="en-GB"/>
              </w:rPr>
              <w:t>Interazioni con nitrati (potenziamento deg</w:t>
            </w:r>
            <w:r>
              <w:rPr>
                <w:rFonts w:asciiTheme="minorHAnsi" w:hAnsiTheme="minorHAnsi"/>
                <w:sz w:val="20"/>
                <w:szCs w:val="20"/>
                <w:lang w:val="it-IT" w:eastAsia="en-GB"/>
              </w:rPr>
              <w:t>l</w:t>
            </w:r>
            <w:r w:rsidRPr="00474E7B">
              <w:rPr>
                <w:rFonts w:asciiTheme="minorHAnsi" w:hAnsiTheme="minorHAnsi"/>
                <w:sz w:val="20"/>
                <w:szCs w:val="20"/>
                <w:lang w:val="it-IT" w:eastAsia="en-GB"/>
              </w:rPr>
              <w:t>i effetti ipotensivi)</w:t>
            </w:r>
          </w:p>
          <w:p w:rsidR="005F1C4E" w:rsidRPr="00474E7B" w:rsidRDefault="005F1C4E" w:rsidP="002B3178">
            <w:pPr>
              <w:pStyle w:val="TabletextrowsAgency"/>
              <w:spacing w:line="240" w:lineRule="auto"/>
              <w:rPr>
                <w:rFonts w:asciiTheme="minorHAnsi" w:hAnsiTheme="minorHAnsi"/>
                <w:sz w:val="20"/>
                <w:szCs w:val="20"/>
                <w:lang w:val="it-IT" w:eastAsia="en-GB"/>
              </w:rPr>
            </w:pPr>
            <w:r w:rsidRPr="00474E7B">
              <w:rPr>
                <w:rFonts w:asciiTheme="minorHAnsi" w:hAnsiTheme="minorHAnsi"/>
                <w:sz w:val="20"/>
                <w:szCs w:val="20"/>
                <w:lang w:val="it-IT" w:eastAsia="en-GB"/>
              </w:rPr>
              <w:t>Ipotensione per interazioni con medicinali alfa-bloccanti e con medicinali inibitori del citocromo P450 isoenzima CYP3A4, compreso il succo di pompelmo</w:t>
            </w:r>
          </w:p>
        </w:tc>
      </w:tr>
      <w:tr w:rsidR="005F1C4E" w:rsidRPr="001810E1" w:rsidTr="002B3178">
        <w:trPr>
          <w:jc w:val="center"/>
        </w:trPr>
        <w:tc>
          <w:tcPr>
            <w:tcW w:w="1781" w:type="pct"/>
            <w:tcBorders>
              <w:top w:val="single" w:sz="6" w:space="0" w:color="auto"/>
              <w:left w:val="single" w:sz="4" w:space="0" w:color="auto"/>
              <w:bottom w:val="single" w:sz="6" w:space="0" w:color="auto"/>
              <w:right w:val="single" w:sz="6" w:space="0" w:color="auto"/>
            </w:tcBorders>
            <w:shd w:val="clear" w:color="auto" w:fill="auto"/>
          </w:tcPr>
          <w:p w:rsidR="005F1C4E" w:rsidRPr="00474E7B" w:rsidRDefault="005F1C4E" w:rsidP="002B3178">
            <w:pPr>
              <w:pStyle w:val="TabletextrowsAgency"/>
              <w:spacing w:line="240" w:lineRule="auto"/>
              <w:rPr>
                <w:rFonts w:asciiTheme="minorHAnsi" w:hAnsiTheme="minorHAnsi"/>
                <w:sz w:val="20"/>
                <w:szCs w:val="20"/>
                <w:lang w:eastAsia="en-GB"/>
              </w:rPr>
            </w:pPr>
            <w:r w:rsidRPr="00474E7B">
              <w:rPr>
                <w:rFonts w:asciiTheme="minorHAnsi" w:hAnsiTheme="minorHAnsi"/>
                <w:sz w:val="20"/>
                <w:szCs w:val="20"/>
                <w:lang w:eastAsia="en-GB"/>
              </w:rPr>
              <w:t xml:space="preserve">Rischi </w:t>
            </w:r>
            <w:r>
              <w:rPr>
                <w:rFonts w:asciiTheme="minorHAnsi" w:hAnsiTheme="minorHAnsi"/>
                <w:sz w:val="20"/>
                <w:szCs w:val="20"/>
                <w:lang w:eastAsia="en-GB"/>
              </w:rPr>
              <w:t xml:space="preserve">importanti </w:t>
            </w:r>
            <w:r w:rsidRPr="00474E7B">
              <w:rPr>
                <w:rFonts w:asciiTheme="minorHAnsi" w:hAnsiTheme="minorHAnsi"/>
                <w:sz w:val="20"/>
                <w:szCs w:val="20"/>
                <w:lang w:eastAsia="en-GB"/>
              </w:rPr>
              <w:t>potenzial</w:t>
            </w:r>
            <w:r>
              <w:rPr>
                <w:rFonts w:asciiTheme="minorHAnsi" w:hAnsiTheme="minorHAnsi"/>
                <w:sz w:val="20"/>
                <w:szCs w:val="20"/>
                <w:lang w:eastAsia="en-GB"/>
              </w:rPr>
              <w:t>i</w:t>
            </w:r>
          </w:p>
        </w:tc>
        <w:tc>
          <w:tcPr>
            <w:tcW w:w="3219" w:type="pct"/>
            <w:tcBorders>
              <w:top w:val="single" w:sz="6" w:space="0" w:color="auto"/>
              <w:left w:val="single" w:sz="6" w:space="0" w:color="auto"/>
              <w:bottom w:val="single" w:sz="6" w:space="0" w:color="auto"/>
              <w:right w:val="single" w:sz="4" w:space="0" w:color="auto"/>
            </w:tcBorders>
            <w:shd w:val="clear" w:color="auto" w:fill="auto"/>
          </w:tcPr>
          <w:p w:rsidR="005F1C4E" w:rsidRPr="00474E7B" w:rsidRDefault="005F1C4E" w:rsidP="002B3178">
            <w:pPr>
              <w:autoSpaceDE w:val="0"/>
              <w:autoSpaceDN w:val="0"/>
              <w:adjustRightInd w:val="0"/>
              <w:spacing w:after="0" w:line="240" w:lineRule="auto"/>
              <w:rPr>
                <w:rFonts w:eastAsia="TimesNewRoman" w:cs="TimesNewRoman"/>
                <w:sz w:val="20"/>
                <w:szCs w:val="20"/>
              </w:rPr>
            </w:pPr>
            <w:r>
              <w:rPr>
                <w:color w:val="000000"/>
                <w:sz w:val="20"/>
                <w:szCs w:val="20"/>
                <w:shd w:val="clear" w:color="auto" w:fill="FFFFFF"/>
              </w:rPr>
              <w:t>N</w:t>
            </w:r>
            <w:r w:rsidRPr="00474E7B">
              <w:rPr>
                <w:color w:val="000000"/>
                <w:sz w:val="20"/>
                <w:szCs w:val="20"/>
                <w:shd w:val="clear" w:color="auto" w:fill="FFFFFF"/>
              </w:rPr>
              <w:t>europatia ottica ischemica non arteritica anteriore</w:t>
            </w:r>
            <w:r w:rsidRPr="00474E7B">
              <w:rPr>
                <w:rFonts w:eastAsia="TimesNewRoman" w:cs="TimesNewRoman"/>
                <w:sz w:val="20"/>
                <w:szCs w:val="20"/>
              </w:rPr>
              <w:t xml:space="preserve"> (NAION)</w:t>
            </w:r>
          </w:p>
          <w:p w:rsidR="005F1C4E" w:rsidRPr="00474E7B" w:rsidRDefault="005F1C4E" w:rsidP="002B3178">
            <w:pPr>
              <w:autoSpaceDE w:val="0"/>
              <w:autoSpaceDN w:val="0"/>
              <w:adjustRightInd w:val="0"/>
              <w:spacing w:after="0" w:line="240" w:lineRule="auto"/>
              <w:rPr>
                <w:rFonts w:eastAsia="TimesNewRoman" w:cs="TimesNewRoman"/>
                <w:sz w:val="20"/>
                <w:szCs w:val="20"/>
              </w:rPr>
            </w:pPr>
            <w:r w:rsidRPr="00474E7B">
              <w:rPr>
                <w:rFonts w:eastAsia="TimesNewRoman" w:cs="TimesNewRoman"/>
                <w:sz w:val="20"/>
                <w:szCs w:val="20"/>
              </w:rPr>
              <w:t>Improvvisa perdita dell’udito</w:t>
            </w:r>
          </w:p>
          <w:p w:rsidR="005F1C4E" w:rsidRPr="00474E7B" w:rsidRDefault="005F1C4E" w:rsidP="002B3178">
            <w:pPr>
              <w:pStyle w:val="TabletextrowsAgency"/>
              <w:spacing w:line="240" w:lineRule="auto"/>
              <w:rPr>
                <w:rFonts w:asciiTheme="minorHAnsi" w:hAnsiTheme="minorHAnsi"/>
                <w:sz w:val="20"/>
                <w:szCs w:val="20"/>
                <w:lang w:val="it-IT" w:eastAsia="en-GB"/>
              </w:rPr>
            </w:pPr>
            <w:r w:rsidRPr="00474E7B">
              <w:rPr>
                <w:rFonts w:asciiTheme="minorHAnsi" w:eastAsia="TimesNewRoman" w:hAnsiTheme="minorHAnsi" w:cs="TimesNewRoman"/>
                <w:sz w:val="20"/>
                <w:szCs w:val="20"/>
                <w:lang w:val="it-IT"/>
              </w:rPr>
              <w:t>Emorragia oculare</w:t>
            </w:r>
          </w:p>
        </w:tc>
      </w:tr>
      <w:tr w:rsidR="005F1C4E" w:rsidRPr="00474E7B" w:rsidTr="002B3178">
        <w:trPr>
          <w:jc w:val="center"/>
        </w:trPr>
        <w:tc>
          <w:tcPr>
            <w:tcW w:w="1781" w:type="pct"/>
            <w:tcBorders>
              <w:top w:val="single" w:sz="6" w:space="0" w:color="auto"/>
              <w:left w:val="single" w:sz="4" w:space="0" w:color="auto"/>
              <w:bottom w:val="single" w:sz="4" w:space="0" w:color="auto"/>
              <w:right w:val="single" w:sz="6" w:space="0" w:color="auto"/>
            </w:tcBorders>
            <w:shd w:val="clear" w:color="auto" w:fill="auto"/>
          </w:tcPr>
          <w:p w:rsidR="005F1C4E" w:rsidRPr="00474E7B" w:rsidRDefault="005F1C4E" w:rsidP="002B3178">
            <w:pPr>
              <w:pStyle w:val="TabletextrowsAgency"/>
              <w:spacing w:line="240" w:lineRule="auto"/>
              <w:rPr>
                <w:rFonts w:asciiTheme="minorHAnsi" w:hAnsiTheme="minorHAnsi"/>
                <w:sz w:val="20"/>
                <w:szCs w:val="20"/>
                <w:lang w:eastAsia="en-GB"/>
              </w:rPr>
            </w:pPr>
            <w:r w:rsidRPr="00474E7B">
              <w:rPr>
                <w:rFonts w:asciiTheme="minorHAnsi" w:hAnsiTheme="minorHAnsi"/>
                <w:sz w:val="20"/>
                <w:szCs w:val="20"/>
                <w:lang w:eastAsia="en-GB"/>
              </w:rPr>
              <w:t>Informazioni mancanti</w:t>
            </w:r>
          </w:p>
        </w:tc>
        <w:tc>
          <w:tcPr>
            <w:tcW w:w="3219" w:type="pct"/>
            <w:tcBorders>
              <w:top w:val="single" w:sz="6" w:space="0" w:color="auto"/>
              <w:left w:val="single" w:sz="6" w:space="0" w:color="auto"/>
              <w:bottom w:val="single" w:sz="4" w:space="0" w:color="auto"/>
              <w:right w:val="single" w:sz="4" w:space="0" w:color="auto"/>
            </w:tcBorders>
            <w:shd w:val="clear" w:color="auto" w:fill="auto"/>
          </w:tcPr>
          <w:p w:rsidR="005F1C4E" w:rsidRPr="00474E7B" w:rsidRDefault="005F1C4E" w:rsidP="002B3178">
            <w:pPr>
              <w:pStyle w:val="TabletextrowsAgency"/>
              <w:spacing w:line="240" w:lineRule="auto"/>
              <w:rPr>
                <w:rFonts w:asciiTheme="minorHAnsi" w:eastAsia="TimesNewRoman" w:hAnsiTheme="minorHAnsi" w:cs="TimesNewRoman"/>
                <w:sz w:val="20"/>
                <w:szCs w:val="20"/>
                <w:lang w:val="it-IT"/>
              </w:rPr>
            </w:pPr>
            <w:r w:rsidRPr="00474E7B">
              <w:rPr>
                <w:rFonts w:asciiTheme="minorHAnsi" w:eastAsia="TimesNewRoman" w:hAnsiTheme="minorHAnsi" w:cs="TimesNewRoman"/>
                <w:sz w:val="20"/>
                <w:szCs w:val="20"/>
                <w:lang w:val="it-IT"/>
              </w:rPr>
              <w:t>Uso in pazienti con grave insufficienza epatica</w:t>
            </w:r>
          </w:p>
          <w:p w:rsidR="005F1C4E" w:rsidRPr="00474E7B" w:rsidRDefault="005F1C4E" w:rsidP="002B3178">
            <w:pPr>
              <w:pStyle w:val="TabletextrowsAgency"/>
              <w:spacing w:line="240" w:lineRule="auto"/>
              <w:rPr>
                <w:rFonts w:asciiTheme="minorHAnsi" w:hAnsiTheme="minorHAnsi"/>
                <w:bCs/>
                <w:sz w:val="20"/>
                <w:szCs w:val="20"/>
                <w:lang w:val="it-IT" w:eastAsia="en-GB"/>
              </w:rPr>
            </w:pPr>
            <w:r w:rsidRPr="00474E7B">
              <w:rPr>
                <w:rFonts w:asciiTheme="minorHAnsi" w:hAnsiTheme="minorHAnsi"/>
                <w:bCs/>
                <w:sz w:val="20"/>
                <w:szCs w:val="20"/>
                <w:lang w:val="it-IT" w:eastAsia="en-GB"/>
              </w:rPr>
              <w:t>Uso in pazienti predisposti al sanguinamento o con ulcera peptica attiva</w:t>
            </w:r>
          </w:p>
          <w:p w:rsidR="005F1C4E" w:rsidRPr="00EE6F36" w:rsidRDefault="005F1C4E" w:rsidP="002B3178">
            <w:pPr>
              <w:pStyle w:val="TabletextrowsAgency"/>
              <w:spacing w:line="240" w:lineRule="auto"/>
              <w:rPr>
                <w:rFonts w:asciiTheme="minorHAnsi" w:hAnsiTheme="minorHAnsi"/>
                <w:sz w:val="20"/>
                <w:szCs w:val="20"/>
                <w:lang w:val="it-IT" w:eastAsia="en-GB"/>
              </w:rPr>
            </w:pPr>
            <w:r w:rsidRPr="00EE6F36">
              <w:rPr>
                <w:rFonts w:asciiTheme="minorHAnsi" w:hAnsiTheme="minorHAnsi"/>
                <w:sz w:val="20"/>
                <w:szCs w:val="20"/>
                <w:lang w:val="it-IT" w:eastAsia="en-GB"/>
              </w:rPr>
              <w:t>Uno in pazienti ipotesi</w:t>
            </w:r>
          </w:p>
          <w:p w:rsidR="005F1C4E" w:rsidRPr="00EE6F36" w:rsidRDefault="005F1C4E" w:rsidP="002B3178">
            <w:pPr>
              <w:pStyle w:val="TabletextrowsAgency"/>
              <w:spacing w:line="240" w:lineRule="auto"/>
              <w:rPr>
                <w:rFonts w:asciiTheme="minorHAnsi" w:hAnsiTheme="minorHAnsi"/>
                <w:sz w:val="20"/>
                <w:szCs w:val="20"/>
                <w:lang w:val="it-IT" w:eastAsia="en-GB"/>
              </w:rPr>
            </w:pPr>
            <w:r w:rsidRPr="00EE6F36">
              <w:rPr>
                <w:rFonts w:asciiTheme="minorHAnsi" w:hAnsiTheme="minorHAnsi"/>
                <w:sz w:val="20"/>
                <w:szCs w:val="20"/>
                <w:lang w:val="it-IT" w:eastAsia="en-GB"/>
              </w:rPr>
              <w:t>Uso in pazienti con recente storia di ictus o infarto miocardico</w:t>
            </w:r>
          </w:p>
          <w:p w:rsidR="005F1C4E" w:rsidRPr="00474E7B" w:rsidRDefault="005F1C4E" w:rsidP="002B3178">
            <w:pPr>
              <w:pStyle w:val="TabletextrowsAgency"/>
              <w:spacing w:line="240" w:lineRule="auto"/>
              <w:rPr>
                <w:rFonts w:asciiTheme="minorHAnsi" w:hAnsiTheme="minorHAnsi"/>
                <w:sz w:val="20"/>
                <w:szCs w:val="20"/>
                <w:lang w:val="it-IT" w:eastAsia="en-GB"/>
              </w:rPr>
            </w:pPr>
            <w:r w:rsidRPr="00474E7B">
              <w:rPr>
                <w:rFonts w:asciiTheme="minorHAnsi" w:hAnsiTheme="minorHAnsi"/>
                <w:sz w:val="20"/>
                <w:szCs w:val="20"/>
                <w:lang w:val="it-IT" w:eastAsia="en-GB"/>
              </w:rPr>
              <w:t>Uso in pazienti con patologia retinica degenerativa ereditaria (ad esempio retinite pigmentosa)</w:t>
            </w:r>
          </w:p>
        </w:tc>
      </w:tr>
    </w:tbl>
    <w:p w:rsidR="005F1C4E" w:rsidRPr="00474E7B" w:rsidRDefault="005F1C4E" w:rsidP="005F1C4E">
      <w:pPr>
        <w:pStyle w:val="Paragrafoelenco"/>
        <w:spacing w:after="0" w:line="240" w:lineRule="auto"/>
        <w:ind w:left="0"/>
        <w:jc w:val="both"/>
      </w:pPr>
    </w:p>
    <w:p w:rsidR="005A16AD" w:rsidRDefault="005A16AD" w:rsidP="005A16AD">
      <w:pPr>
        <w:pStyle w:val="Paragrafoelenco"/>
        <w:spacing w:after="0" w:line="240" w:lineRule="auto"/>
        <w:ind w:left="0"/>
        <w:jc w:val="both"/>
      </w:pPr>
      <w:r>
        <w:t>Azioni routinarie di farmacovigilanza e di minimizzazione del rischio sono proposte per tutte le problematiche di sicurezza.</w:t>
      </w:r>
    </w:p>
    <w:p w:rsidR="005A16AD" w:rsidRDefault="005A16AD" w:rsidP="005A16AD">
      <w:pPr>
        <w:pStyle w:val="Paragrafoelenco"/>
        <w:spacing w:after="0" w:line="240" w:lineRule="auto"/>
        <w:ind w:left="0"/>
        <w:jc w:val="both"/>
      </w:pPr>
      <w:r>
        <w:t>Oltre le misure previste nel Riassunto delle caratteristiche del prodotto non sono previste attività addizionali di minimizzazione del rischio</w:t>
      </w:r>
    </w:p>
    <w:p w:rsidR="005A16AD" w:rsidRDefault="005A16AD" w:rsidP="005A16AD">
      <w:pPr>
        <w:pStyle w:val="Paragrafoelenco"/>
        <w:spacing w:after="0" w:line="240" w:lineRule="auto"/>
        <w:ind w:left="0"/>
        <w:jc w:val="both"/>
      </w:pPr>
    </w:p>
    <w:p w:rsidR="005A16AD" w:rsidRDefault="005A16AD" w:rsidP="005A16AD">
      <w:pPr>
        <w:pStyle w:val="Paragrafoelenco"/>
        <w:spacing w:after="0" w:line="240" w:lineRule="auto"/>
        <w:ind w:left="0"/>
        <w:jc w:val="both"/>
        <w:rPr>
          <w:b/>
        </w:rPr>
      </w:pPr>
      <w:r>
        <w:rPr>
          <w:b/>
        </w:rPr>
        <w:t>Conclusioni</w:t>
      </w:r>
    </w:p>
    <w:p w:rsidR="005A16AD" w:rsidRDefault="005A16AD" w:rsidP="005A16AD">
      <w:pPr>
        <w:pStyle w:val="Paragrafoelenco"/>
        <w:spacing w:after="0" w:line="240" w:lineRule="auto"/>
        <w:ind w:left="0"/>
        <w:jc w:val="both"/>
      </w:pPr>
      <w:r>
        <w:t>Per la richiesta di AIC di Sildenafil Brunifarma Research sono state presentate sufficienti informazioni cliniche.</w:t>
      </w:r>
    </w:p>
    <w:p w:rsidR="005A16AD" w:rsidRDefault="005A16AD" w:rsidP="005A16AD">
      <w:pPr>
        <w:pStyle w:val="Paragrafoelenco"/>
        <w:spacing w:after="0" w:line="240" w:lineRule="auto"/>
        <w:ind w:left="0"/>
        <w:jc w:val="both"/>
      </w:pPr>
      <w:r>
        <w:t>Il rapporto beneficio/rischio di Sildenafil Brunifarma Research è considerato favorevole dal punto di vista clinico.</w:t>
      </w:r>
    </w:p>
    <w:p w:rsidR="005A16AD" w:rsidRDefault="005A16AD" w:rsidP="005A16AD">
      <w:pPr>
        <w:pStyle w:val="Paragrafoelenco"/>
        <w:spacing w:after="0" w:line="240" w:lineRule="auto"/>
        <w:ind w:left="0"/>
        <w:jc w:val="both"/>
      </w:pPr>
    </w:p>
    <w:p w:rsidR="005A16AD" w:rsidRDefault="005A16AD" w:rsidP="005A16AD">
      <w:pPr>
        <w:pStyle w:val="Paragrafoelenco"/>
        <w:spacing w:after="0" w:line="240" w:lineRule="auto"/>
        <w:ind w:left="0"/>
        <w:jc w:val="both"/>
      </w:pPr>
    </w:p>
    <w:p w:rsidR="005A16AD" w:rsidRDefault="005A16AD" w:rsidP="005A16AD">
      <w:pPr>
        <w:pStyle w:val="Paragrafoelenco"/>
        <w:numPr>
          <w:ilvl w:val="0"/>
          <w:numId w:val="2"/>
        </w:numPr>
        <w:spacing w:after="0" w:line="240" w:lineRule="auto"/>
        <w:jc w:val="both"/>
        <w:rPr>
          <w:b/>
        </w:rPr>
      </w:pPr>
      <w:r>
        <w:rPr>
          <w:b/>
        </w:rPr>
        <w:t>CONSULTAZIONE SUL FOGLIO ILLUSTRATIVO</w:t>
      </w:r>
    </w:p>
    <w:p w:rsidR="005A16AD" w:rsidRDefault="005A16AD" w:rsidP="005A16AD">
      <w:pPr>
        <w:spacing w:after="0" w:line="240" w:lineRule="auto"/>
        <w:jc w:val="both"/>
      </w:pPr>
      <w:r>
        <w:t>Il foglio illustrativo è stato sottoposto al test di leggibilità in accordo ai requisiti dell’art. 59(3) e 61(1) della direttiva 2001/83/EU s.m.i. i risultati del test hanno dimostrato che il foglio illustrativo corrisponde ai criteri imposti dalla linea guida sulla leggibilità di etichetta e foglio illustrativo dei medicinali per uso umano.</w:t>
      </w:r>
    </w:p>
    <w:p w:rsidR="005A16AD" w:rsidRDefault="005A16AD" w:rsidP="005A16AD">
      <w:pPr>
        <w:pStyle w:val="Paragrafoelenco"/>
        <w:spacing w:after="0" w:line="240" w:lineRule="auto"/>
        <w:ind w:left="0"/>
        <w:jc w:val="both"/>
      </w:pPr>
    </w:p>
    <w:p w:rsidR="005A16AD" w:rsidRDefault="005A16AD" w:rsidP="005A16AD">
      <w:pPr>
        <w:pStyle w:val="Paragrafoelenco"/>
        <w:spacing w:after="0" w:line="240" w:lineRule="auto"/>
        <w:ind w:left="0"/>
        <w:jc w:val="both"/>
      </w:pPr>
    </w:p>
    <w:p w:rsidR="005A16AD" w:rsidRPr="009F5FC7" w:rsidRDefault="005A16AD" w:rsidP="005A16AD">
      <w:pPr>
        <w:pStyle w:val="Paragrafoelenco"/>
        <w:numPr>
          <w:ilvl w:val="0"/>
          <w:numId w:val="2"/>
        </w:numPr>
        <w:spacing w:after="0" w:line="240" w:lineRule="auto"/>
        <w:jc w:val="both"/>
        <w:rPr>
          <w:b/>
        </w:rPr>
      </w:pPr>
      <w:r w:rsidRPr="009F5FC7">
        <w:rPr>
          <w:b/>
        </w:rPr>
        <w:t>CONCLUSIONI, VALUTAZIONE DEL RAPPORTO BENEFICIO/RISCHIO E RACCOMANDAZIONI</w:t>
      </w:r>
    </w:p>
    <w:p w:rsidR="005A16AD" w:rsidRDefault="005A16AD" w:rsidP="005A16AD">
      <w:pPr>
        <w:spacing w:after="0" w:line="240" w:lineRule="auto"/>
        <w:jc w:val="both"/>
      </w:pPr>
      <w:r>
        <w:t>La qualità di Sildenafil Brunifarma Research è accettabile e non sono state rilevate criticità da un punto di vista non clinico e clinico.</w:t>
      </w:r>
    </w:p>
    <w:p w:rsidR="005A16AD" w:rsidRDefault="005A16AD" w:rsidP="005A16AD">
      <w:pPr>
        <w:spacing w:after="0" w:line="240" w:lineRule="auto"/>
        <w:jc w:val="both"/>
      </w:pPr>
      <w:r>
        <w:t>Lo studio di bioequivalenza e le sue conclusioni confermano che Sildenafil Brunifarma Research e il medicinale di riferimento Viagra sono bioequivalenti.</w:t>
      </w:r>
    </w:p>
    <w:p w:rsidR="005A16AD" w:rsidRDefault="005A16AD" w:rsidP="005A16AD">
      <w:pPr>
        <w:spacing w:after="0" w:line="240" w:lineRule="auto"/>
        <w:jc w:val="both"/>
      </w:pPr>
      <w:r>
        <w:t>Il rapporto beneficio/rischio è considerato positivo.</w:t>
      </w:r>
    </w:p>
    <w:p w:rsidR="005A16AD" w:rsidRDefault="005A16AD" w:rsidP="00F21FA1">
      <w:pPr>
        <w:spacing w:after="0" w:line="240" w:lineRule="auto"/>
        <w:jc w:val="both"/>
      </w:pPr>
      <w:r>
        <w:t xml:space="preserve">Il riassunto delle caratteristiche del prodotto, il foglio illustrativo e le etichette sono in linea con le correnti linee guida. Questi documenti possono essere consultati sul sito istituzionale di AIFA </w:t>
      </w:r>
      <w:r>
        <w:rPr>
          <w:rFonts w:eastAsia="Calibri" w:cs="Calibri"/>
          <w:lang w:eastAsia="it-IT"/>
        </w:rPr>
        <w:t>(</w:t>
      </w:r>
      <w:hyperlink r:id="rId10" w:history="1">
        <w:r>
          <w:rPr>
            <w:rStyle w:val="Collegamentoipertestuale"/>
            <w:rFonts w:eastAsia="Calibri" w:cs="Calibri"/>
            <w:lang w:eastAsia="it-IT"/>
          </w:rPr>
          <w:t>https://farmaci.agenziafarmaco.gov.it/bancadatifarmaci</w:t>
        </w:r>
      </w:hyperlink>
      <w:r>
        <w:rPr>
          <w:rFonts w:eastAsia="Calibri" w:cs="Calibri"/>
          <w:lang w:eastAsia="it-IT"/>
        </w:rPr>
        <w:t>).</w:t>
      </w:r>
      <w:r w:rsidR="00F21FA1">
        <w:t xml:space="preserve"> </w:t>
      </w:r>
    </w:p>
    <w:p w:rsidR="005A16AD" w:rsidRDefault="005A16AD"/>
    <w:sectPr w:rsidR="005A16AD"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DejaVuSans">
    <w:altName w:val="MS Mincho"/>
    <w:panose1 w:val="00000000000000000000"/>
    <w:charset w:val="80"/>
    <w:family w:val="auto"/>
    <w:notTrueType/>
    <w:pitch w:val="default"/>
    <w:sig w:usb0="00000003" w:usb1="08070000" w:usb2="00000010" w:usb3="00000000" w:csb0="00020001" w:csb1="00000000"/>
  </w:font>
  <w:font w:name="Symbol">
    <w:panose1 w:val="05050102010706020507"/>
    <w:charset w:val="02"/>
    <w:family w:val="roman"/>
    <w:pitch w:val="variable"/>
    <w:sig w:usb0="00000000" w:usb1="10000000" w:usb2="00000000" w:usb3="00000000" w:csb0="80000000"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011A1"/>
    <w:multiLevelType w:val="hybridMultilevel"/>
    <w:tmpl w:val="1730E342"/>
    <w:lvl w:ilvl="0" w:tplc="C516861A">
      <w:start w:val="1"/>
      <w:numFmt w:val="upperRoman"/>
      <w:lvlText w:val="%1."/>
      <w:lvlJc w:val="left"/>
      <w:pPr>
        <w:ind w:left="1080" w:hanging="72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
    <w:nsid w:val="4A891CF4"/>
    <w:multiLevelType w:val="hybridMultilevel"/>
    <w:tmpl w:val="8F2AE9FA"/>
    <w:lvl w:ilvl="0" w:tplc="FC389974">
      <w:start w:val="1"/>
      <w:numFmt w:val="upperRoman"/>
      <w:lvlText w:val="%1."/>
      <w:lvlJc w:val="left"/>
      <w:pPr>
        <w:ind w:left="1800" w:hanging="72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compat/>
  <w:rsids>
    <w:rsidRoot w:val="004241AC"/>
    <w:rsid w:val="00013020"/>
    <w:rsid w:val="00062636"/>
    <w:rsid w:val="000A6924"/>
    <w:rsid w:val="00105592"/>
    <w:rsid w:val="00111E9E"/>
    <w:rsid w:val="001E6A6E"/>
    <w:rsid w:val="0021136B"/>
    <w:rsid w:val="002C1F10"/>
    <w:rsid w:val="002E0892"/>
    <w:rsid w:val="002F2543"/>
    <w:rsid w:val="00300C06"/>
    <w:rsid w:val="0041649F"/>
    <w:rsid w:val="004241AC"/>
    <w:rsid w:val="004B20A8"/>
    <w:rsid w:val="004D1CD8"/>
    <w:rsid w:val="00556C97"/>
    <w:rsid w:val="005A16AD"/>
    <w:rsid w:val="005F1C4E"/>
    <w:rsid w:val="005F6B90"/>
    <w:rsid w:val="0061722B"/>
    <w:rsid w:val="00621AE2"/>
    <w:rsid w:val="00645DFB"/>
    <w:rsid w:val="00656912"/>
    <w:rsid w:val="006B3E12"/>
    <w:rsid w:val="006B466E"/>
    <w:rsid w:val="00750AD5"/>
    <w:rsid w:val="007B7EAC"/>
    <w:rsid w:val="007F0ECF"/>
    <w:rsid w:val="00807D18"/>
    <w:rsid w:val="0085775D"/>
    <w:rsid w:val="0086389E"/>
    <w:rsid w:val="008819D4"/>
    <w:rsid w:val="008E54A0"/>
    <w:rsid w:val="0094532B"/>
    <w:rsid w:val="009A260F"/>
    <w:rsid w:val="009B03DB"/>
    <w:rsid w:val="009B0CF4"/>
    <w:rsid w:val="009C1E15"/>
    <w:rsid w:val="009F3867"/>
    <w:rsid w:val="00A40FF3"/>
    <w:rsid w:val="00A846D4"/>
    <w:rsid w:val="00A966D1"/>
    <w:rsid w:val="00BC74C2"/>
    <w:rsid w:val="00C55238"/>
    <w:rsid w:val="00C5670C"/>
    <w:rsid w:val="00C639B7"/>
    <w:rsid w:val="00C95F6B"/>
    <w:rsid w:val="00CC7AFF"/>
    <w:rsid w:val="00D20170"/>
    <w:rsid w:val="00DA3037"/>
    <w:rsid w:val="00E43089"/>
    <w:rsid w:val="00E83F8D"/>
    <w:rsid w:val="00EF062E"/>
    <w:rsid w:val="00F10205"/>
    <w:rsid w:val="00F21FA1"/>
    <w:rsid w:val="00F66767"/>
    <w:rsid w:val="00FA2702"/>
    <w:rsid w:val="00FE1EB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94532B"/>
    <w:rPr>
      <w:color w:val="0000FF" w:themeColor="hyperlink"/>
      <w:u w:val="single"/>
    </w:rPr>
  </w:style>
  <w:style w:type="character" w:styleId="Collegamentovisitato">
    <w:name w:val="FollowedHyperlink"/>
    <w:basedOn w:val="Carpredefinitoparagrafo"/>
    <w:uiPriority w:val="99"/>
    <w:semiHidden/>
    <w:unhideWhenUsed/>
    <w:rsid w:val="0094532B"/>
    <w:rPr>
      <w:color w:val="800080" w:themeColor="followedHyperlink"/>
      <w:u w:val="single"/>
    </w:rPr>
  </w:style>
  <w:style w:type="paragraph" w:styleId="Didascalia">
    <w:name w:val="caption"/>
    <w:basedOn w:val="Normale"/>
    <w:next w:val="Normale"/>
    <w:semiHidden/>
    <w:unhideWhenUsed/>
    <w:qFormat/>
    <w:rsid w:val="005A16AD"/>
    <w:pPr>
      <w:spacing w:before="120" w:after="120" w:line="240" w:lineRule="auto"/>
    </w:pPr>
    <w:rPr>
      <w:rFonts w:ascii="Times New Roman" w:eastAsia="Times New Roman" w:hAnsi="Times New Roman" w:cs="Times New Roman"/>
      <w:b/>
      <w:sz w:val="24"/>
      <w:szCs w:val="20"/>
      <w:lang w:val="en-US"/>
    </w:rPr>
  </w:style>
  <w:style w:type="paragraph" w:styleId="Paragrafoelenco">
    <w:name w:val="List Paragraph"/>
    <w:basedOn w:val="Normale"/>
    <w:uiPriority w:val="34"/>
    <w:qFormat/>
    <w:rsid w:val="005A16AD"/>
    <w:pPr>
      <w:ind w:left="720"/>
      <w:contextualSpacing/>
    </w:pPr>
  </w:style>
  <w:style w:type="character" w:customStyle="1" w:styleId="s1">
    <w:name w:val="s1"/>
    <w:basedOn w:val="Carpredefinitoparagrafo"/>
    <w:rsid w:val="005A16AD"/>
    <w:rPr>
      <w:rFonts w:ascii="Arial" w:hAnsi="Arial" w:cs="Arial" w:hint="default"/>
    </w:rPr>
  </w:style>
  <w:style w:type="paragraph" w:customStyle="1" w:styleId="TabletextrowsAgency">
    <w:name w:val="Table text rows (Agency)"/>
    <w:basedOn w:val="Normale"/>
    <w:semiHidden/>
    <w:rsid w:val="005F1C4E"/>
    <w:pPr>
      <w:spacing w:after="0" w:line="280" w:lineRule="exact"/>
    </w:pPr>
    <w:rPr>
      <w:rFonts w:ascii="Verdana" w:eastAsia="Times New Roman" w:hAnsi="Verdana" w:cs="Verdana"/>
      <w:sz w:val="18"/>
      <w:szCs w:val="18"/>
      <w:lang w:val="en-GB" w:eastAsia="zh-CN"/>
    </w:rPr>
  </w:style>
</w:styles>
</file>

<file path=word/webSettings.xml><?xml version="1.0" encoding="utf-8"?>
<w:webSettings xmlns:r="http://schemas.openxmlformats.org/officeDocument/2006/relationships" xmlns:w="http://schemas.openxmlformats.org/wordprocessingml/2006/main">
  <w:divs>
    <w:div w:id="1426682866">
      <w:bodyDiv w:val="1"/>
      <w:marLeft w:val="0"/>
      <w:marRight w:val="0"/>
      <w:marTop w:val="0"/>
      <w:marBottom w:val="0"/>
      <w:divBdr>
        <w:top w:val="none" w:sz="0" w:space="0" w:color="auto"/>
        <w:left w:val="none" w:sz="0" w:space="0" w:color="auto"/>
        <w:bottom w:val="none" w:sz="0" w:space="0" w:color="auto"/>
        <w:right w:val="none" w:sz="0" w:space="0" w:color="auto"/>
      </w:divBdr>
    </w:div>
    <w:div w:id="2111969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ma.europa.eu/ema/index.jsp?curl=pages/medicines/landing/epar_search.jsp&amp;mid" TargetMode="External"/><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hyperlink" Target="https://farmaci.agenziafarmaco.gov.it/bancadatifarmaci"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3152</Words>
  <Characters>17969</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dellutri</cp:lastModifiedBy>
  <cp:revision>28</cp:revision>
  <dcterms:created xsi:type="dcterms:W3CDTF">2015-06-08T12:56:00Z</dcterms:created>
  <dcterms:modified xsi:type="dcterms:W3CDTF">2015-07-13T14:44:00Z</dcterms:modified>
</cp:coreProperties>
</file>