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4241AC" w:rsidRPr="009F1B70" w:rsidRDefault="00927F53" w:rsidP="004241AC">
      <w:pPr>
        <w:spacing w:after="0" w:line="240" w:lineRule="auto"/>
        <w:jc w:val="center"/>
        <w:rPr>
          <w:b/>
          <w:sz w:val="28"/>
        </w:rPr>
      </w:pPr>
      <w:r>
        <w:rPr>
          <w:b/>
          <w:sz w:val="28"/>
        </w:rPr>
        <w:t>R</w:t>
      </w:r>
      <w:r w:rsidR="004241AC" w:rsidRPr="009F1B70">
        <w:rPr>
          <w:b/>
          <w:sz w:val="28"/>
        </w:rPr>
        <w:t>elazione</w:t>
      </w:r>
      <w:r>
        <w:rPr>
          <w:b/>
          <w:sz w:val="28"/>
        </w:rPr>
        <w:t xml:space="preserve"> Pubblica</w:t>
      </w:r>
      <w:r w:rsidR="004241AC" w:rsidRPr="009F1B70">
        <w:rPr>
          <w:b/>
          <w:sz w:val="28"/>
        </w:rPr>
        <w:t xml:space="preserve"> di Valutazione</w:t>
      </w:r>
    </w:p>
    <w:p w:rsidR="004241AC" w:rsidRDefault="004241AC" w:rsidP="004241AC">
      <w:pPr>
        <w:autoSpaceDE w:val="0"/>
        <w:autoSpaceDN w:val="0"/>
        <w:adjustRightInd w:val="0"/>
        <w:spacing w:after="0" w:line="240" w:lineRule="auto"/>
        <w:jc w:val="center"/>
        <w:rPr>
          <w:b/>
          <w:highlight w:val="yellow"/>
        </w:rPr>
      </w:pPr>
      <w:bookmarkStart w:id="0" w:name="Text15"/>
    </w:p>
    <w:p w:rsidR="00AA69FA" w:rsidRPr="003B3BD7" w:rsidRDefault="00AA69FA" w:rsidP="004241AC">
      <w:pPr>
        <w:autoSpaceDE w:val="0"/>
        <w:autoSpaceDN w:val="0"/>
        <w:adjustRightInd w:val="0"/>
        <w:spacing w:after="0" w:line="240" w:lineRule="auto"/>
        <w:jc w:val="center"/>
        <w:rPr>
          <w:b/>
          <w:highlight w:val="yellow"/>
        </w:rPr>
      </w:pPr>
    </w:p>
    <w:p w:rsidR="004241AC" w:rsidRPr="00AF3380" w:rsidRDefault="0054084F" w:rsidP="004241AC">
      <w:pPr>
        <w:autoSpaceDE w:val="0"/>
        <w:autoSpaceDN w:val="0"/>
        <w:adjustRightInd w:val="0"/>
        <w:spacing w:after="0" w:line="240" w:lineRule="auto"/>
        <w:jc w:val="center"/>
        <w:rPr>
          <w:b/>
          <w:sz w:val="32"/>
        </w:rPr>
      </w:pPr>
      <w:r w:rsidRPr="00AF3380">
        <w:rPr>
          <w:b/>
          <w:sz w:val="32"/>
        </w:rPr>
        <w:t>SOMUN</w:t>
      </w:r>
    </w:p>
    <w:p w:rsidR="004241AC" w:rsidRPr="003B3BD7" w:rsidRDefault="00284133" w:rsidP="004241AC">
      <w:pPr>
        <w:widowControl w:val="0"/>
        <w:spacing w:after="0" w:line="240" w:lineRule="auto"/>
        <w:jc w:val="center"/>
        <w:rPr>
          <w:snapToGrid w:val="0"/>
        </w:rPr>
      </w:pPr>
      <w:r>
        <w:rPr>
          <w:snapToGrid w:val="0"/>
        </w:rPr>
        <w:t xml:space="preserve"> </w:t>
      </w:r>
      <w:r w:rsidR="0054084F">
        <w:rPr>
          <w:snapToGrid w:val="0"/>
        </w:rPr>
        <w:t>(Paracetamolo</w:t>
      </w:r>
      <w:r w:rsidR="004241AC" w:rsidRPr="003B3BD7">
        <w:rPr>
          <w:snapToGrid w:val="0"/>
        </w:rPr>
        <w:t>)</w:t>
      </w:r>
    </w:p>
    <w:p w:rsidR="004241AC" w:rsidRPr="003B3BD7" w:rsidRDefault="004241AC" w:rsidP="004241AC">
      <w:pPr>
        <w:autoSpaceDE w:val="0"/>
        <w:autoSpaceDN w:val="0"/>
        <w:adjustRightInd w:val="0"/>
        <w:spacing w:after="0" w:line="240" w:lineRule="auto"/>
        <w:jc w:val="center"/>
        <w:rPr>
          <w:b/>
        </w:rPr>
      </w:pPr>
    </w:p>
    <w:p w:rsidR="004241AC" w:rsidRPr="003B3BD7" w:rsidRDefault="0054084F" w:rsidP="004241AC">
      <w:pPr>
        <w:autoSpaceDE w:val="0"/>
        <w:autoSpaceDN w:val="0"/>
        <w:adjustRightInd w:val="0"/>
        <w:spacing w:after="0" w:line="240" w:lineRule="auto"/>
        <w:jc w:val="center"/>
        <w:rPr>
          <w:b/>
        </w:rPr>
      </w:pPr>
      <w:proofErr w:type="spellStart"/>
      <w:r>
        <w:rPr>
          <w:b/>
        </w:rPr>
        <w:t>E-Pharma</w:t>
      </w:r>
      <w:proofErr w:type="spellEnd"/>
      <w:r>
        <w:rPr>
          <w:b/>
        </w:rPr>
        <w:t xml:space="preserve"> Trento</w:t>
      </w:r>
    </w:p>
    <w:p w:rsidR="003B3BD7" w:rsidRDefault="003B3BD7" w:rsidP="004241AC">
      <w:pPr>
        <w:autoSpaceDE w:val="0"/>
        <w:autoSpaceDN w:val="0"/>
        <w:adjustRightInd w:val="0"/>
        <w:spacing w:after="0" w:line="240" w:lineRule="auto"/>
        <w:jc w:val="center"/>
        <w:rPr>
          <w:b/>
        </w:rPr>
      </w:pPr>
    </w:p>
    <w:p w:rsidR="00927F53" w:rsidRDefault="00927F53" w:rsidP="004241AC">
      <w:pPr>
        <w:autoSpaceDE w:val="0"/>
        <w:autoSpaceDN w:val="0"/>
        <w:adjustRightInd w:val="0"/>
        <w:spacing w:after="0" w:line="240" w:lineRule="auto"/>
        <w:jc w:val="center"/>
        <w:rPr>
          <w:b/>
        </w:rPr>
      </w:pPr>
    </w:p>
    <w:p w:rsidR="004241AC" w:rsidRPr="00062636" w:rsidRDefault="004241AC" w:rsidP="004241AC">
      <w:pPr>
        <w:spacing w:after="0" w:line="240" w:lineRule="auto"/>
        <w:jc w:val="center"/>
        <w:rPr>
          <w:b/>
        </w:rPr>
      </w:pPr>
      <w:r w:rsidRPr="00062636">
        <w:rPr>
          <w:b/>
        </w:rPr>
        <w:t xml:space="preserve">Numero di AIC: </w:t>
      </w:r>
      <w:r w:rsidR="0054084F" w:rsidRPr="0054084F">
        <w:rPr>
          <w:rFonts w:cs="Helvetica"/>
          <w:b/>
        </w:rPr>
        <w:t>042889</w:t>
      </w:r>
    </w:p>
    <w:p w:rsidR="004241AC" w:rsidRDefault="004241AC" w:rsidP="004B1E51">
      <w:pPr>
        <w:spacing w:after="0" w:line="240" w:lineRule="auto"/>
        <w:jc w:val="center"/>
        <w:rPr>
          <w:b/>
        </w:rPr>
      </w:pPr>
      <w:bookmarkStart w:id="1" w:name="_GoBack"/>
      <w:bookmarkEnd w:id="0"/>
      <w:bookmarkEnd w:id="1"/>
    </w:p>
    <w:p w:rsidR="00AF3380" w:rsidRDefault="00AF3380" w:rsidP="004B1E51">
      <w:pPr>
        <w:spacing w:after="0" w:line="240" w:lineRule="auto"/>
        <w:jc w:val="center"/>
        <w:rPr>
          <w:b/>
        </w:rPr>
      </w:pPr>
    </w:p>
    <w:p w:rsidR="00AF3380" w:rsidRPr="00062636" w:rsidRDefault="00AF3380" w:rsidP="004B1E51">
      <w:pPr>
        <w:spacing w:after="0" w:line="240" w:lineRule="auto"/>
        <w:jc w:val="center"/>
        <w:rPr>
          <w:b/>
        </w:rPr>
      </w:pPr>
    </w:p>
    <w:p w:rsidR="004241AC" w:rsidRDefault="00AF3380" w:rsidP="00AF3380">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 xml:space="preserve">RIASSUNTO DELLA RELAZIONE PUBBLICA </w:t>
      </w:r>
      <w:proofErr w:type="spellStart"/>
      <w:r w:rsidRPr="0033523E">
        <w:rPr>
          <w:rFonts w:eastAsia="Calibri" w:cs="Calibri"/>
          <w:b/>
          <w:color w:val="000000"/>
          <w:lang w:eastAsia="it-IT"/>
        </w:rPr>
        <w:t>DI</w:t>
      </w:r>
      <w:proofErr w:type="spellEnd"/>
      <w:r w:rsidRPr="0033523E">
        <w:rPr>
          <w:rFonts w:eastAsia="Calibri" w:cs="Calibri"/>
          <w:b/>
          <w:color w:val="000000"/>
          <w:lang w:eastAsia="it-IT"/>
        </w:rPr>
        <w:t xml:space="preserve"> VALUTAZIONE</w:t>
      </w:r>
    </w:p>
    <w:p w:rsidR="00AF3380" w:rsidRDefault="00AF3380" w:rsidP="00AF3380">
      <w:pPr>
        <w:autoSpaceDE w:val="0"/>
        <w:autoSpaceDN w:val="0"/>
        <w:adjustRightInd w:val="0"/>
        <w:spacing w:after="0" w:line="240" w:lineRule="auto"/>
        <w:jc w:val="center"/>
        <w:rPr>
          <w:rFonts w:eastAsia="Calibri" w:cs="Calibri"/>
          <w:color w:val="000000"/>
          <w:lang w:eastAsia="it-IT"/>
        </w:rPr>
      </w:pPr>
    </w:p>
    <w:p w:rsidR="004241AC" w:rsidRPr="009F1B70" w:rsidRDefault="004241AC" w:rsidP="004B1E51">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(PAR) per </w:t>
      </w:r>
      <w:proofErr w:type="spellStart"/>
      <w:r w:rsidR="0054084F">
        <w:rPr>
          <w:rFonts w:eastAsia="Calibri" w:cs="Calibri"/>
          <w:color w:val="000000"/>
          <w:lang w:eastAsia="it-IT"/>
        </w:rPr>
        <w:t>Somun</w:t>
      </w:r>
      <w:proofErr w:type="spellEnd"/>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proofErr w:type="spellStart"/>
      <w:r w:rsidR="0054084F">
        <w:rPr>
          <w:rFonts w:eastAsia="Calibri" w:cs="Calibri"/>
          <w:color w:val="000000"/>
          <w:lang w:eastAsia="it-IT"/>
        </w:rPr>
        <w:t>Somun</w:t>
      </w:r>
      <w:proofErr w:type="spellEnd"/>
      <w:r w:rsidR="00062636" w:rsidRPr="009F1B70">
        <w:rPr>
          <w:rFonts w:eastAsia="Calibri" w:cs="Calibri"/>
          <w:color w:val="000000"/>
          <w:lang w:eastAsia="it-IT"/>
        </w:rPr>
        <w:t xml:space="preserve"> </w:t>
      </w:r>
      <w:r w:rsidRPr="009F1B70">
        <w:rPr>
          <w:rFonts w:eastAsia="Calibri" w:cs="Calibri"/>
          <w:color w:val="000000"/>
          <w:lang w:eastAsia="it-IT"/>
        </w:rPr>
        <w:t xml:space="preserve">è stato valutato </w:t>
      </w:r>
      <w:r w:rsidR="007552D9">
        <w:rPr>
          <w:rFonts w:eastAsia="Calibri" w:cs="Calibri"/>
          <w:lang w:eastAsia="it-IT"/>
        </w:rPr>
        <w:t xml:space="preserve">dalla </w:t>
      </w:r>
      <w:r w:rsidRPr="009F1B70">
        <w:rPr>
          <w:rFonts w:eastAsia="Calibri" w:cs="Calibri"/>
          <w:color w:val="000000"/>
          <w:lang w:eastAsia="it-IT"/>
        </w:rPr>
        <w:t xml:space="preserve">Commissione Tecnico-Scientifica (CTS) </w:t>
      </w:r>
      <w:r w:rsidR="00D52F0A">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proofErr w:type="spellStart"/>
      <w:r w:rsidR="0054084F">
        <w:rPr>
          <w:rFonts w:eastAsia="Calibri" w:cs="Calibri"/>
          <w:color w:val="000000"/>
          <w:lang w:eastAsia="it-IT"/>
        </w:rPr>
        <w:t>Somun</w:t>
      </w:r>
      <w:proofErr w:type="spellEnd"/>
      <w:r w:rsidRPr="009F1B70">
        <w:rPr>
          <w:rFonts w:eastAsia="Calibri" w:cs="Calibri"/>
          <w:bCs/>
          <w:color w:val="000000"/>
          <w:lang w:eastAsia="it-IT"/>
        </w:rPr>
        <w:t>.</w:t>
      </w:r>
    </w:p>
    <w:p w:rsidR="004241AC" w:rsidRPr="00284133" w:rsidRDefault="004241AC" w:rsidP="00284133">
      <w:pPr>
        <w:autoSpaceDE w:val="0"/>
        <w:autoSpaceDN w:val="0"/>
        <w:adjustRightInd w:val="0"/>
        <w:spacing w:after="0" w:line="240" w:lineRule="auto"/>
        <w:jc w:val="both"/>
        <w:rPr>
          <w:rFonts w:eastAsia="Calibri" w:cs="Calibri"/>
          <w:color w:val="000000"/>
          <w:lang w:eastAsia="it-IT"/>
        </w:rPr>
      </w:pPr>
      <w:r w:rsidRPr="003B3BD7">
        <w:rPr>
          <w:rFonts w:eastAsia="Calibri" w:cs="Calibri"/>
          <w:color w:val="000000"/>
          <w:lang w:eastAsia="it-IT"/>
        </w:rPr>
        <w:t>Per informazioni pratiche sull'utilizzo di</w:t>
      </w:r>
      <w:r w:rsidRPr="003B3BD7">
        <w:rPr>
          <w:rFonts w:eastAsia="Calibri" w:cs="Calibri"/>
          <w:bCs/>
          <w:color w:val="000000"/>
          <w:lang w:eastAsia="it-IT"/>
        </w:rPr>
        <w:t xml:space="preserve"> </w:t>
      </w:r>
      <w:proofErr w:type="spellStart"/>
      <w:r w:rsidR="0054084F">
        <w:rPr>
          <w:rFonts w:eastAsia="Calibri" w:cs="Calibri"/>
          <w:color w:val="000000"/>
          <w:lang w:eastAsia="it-IT"/>
        </w:rPr>
        <w:t>Somun</w:t>
      </w:r>
      <w:proofErr w:type="spellEnd"/>
      <w:r w:rsidR="00062636" w:rsidRPr="003B3BD7">
        <w:rPr>
          <w:rFonts w:eastAsia="Calibri" w:cs="Calibri"/>
          <w:color w:val="000000"/>
          <w:lang w:eastAsia="it-IT"/>
        </w:rPr>
        <w:t xml:space="preserve"> </w:t>
      </w:r>
      <w:r w:rsidRPr="003B3BD7">
        <w:rPr>
          <w:rFonts w:eastAsia="Calibri" w:cs="Calibri"/>
          <w:color w:val="000000"/>
          <w:lang w:eastAsia="it-IT"/>
        </w:rPr>
        <w:t xml:space="preserve">i pazienti devono consultare il foglio illustrativo o contattare </w:t>
      </w:r>
      <w:r w:rsidRPr="00284133">
        <w:rPr>
          <w:rFonts w:eastAsia="Calibri" w:cs="Calibri"/>
          <w:color w:val="000000"/>
          <w:lang w:eastAsia="it-IT"/>
        </w:rPr>
        <w:t>il loro medico</w:t>
      </w:r>
      <w:r w:rsidR="003B3BD7" w:rsidRPr="00284133">
        <w:rPr>
          <w:rFonts w:eastAsia="Calibri" w:cs="Calibri"/>
          <w:color w:val="000000"/>
          <w:lang w:eastAsia="it-IT"/>
        </w:rPr>
        <w:t xml:space="preserve"> il farmacista</w:t>
      </w:r>
      <w:r w:rsidRPr="00284133">
        <w:rPr>
          <w:rFonts w:eastAsia="Calibri" w:cs="Calibri"/>
          <w:color w:val="000000"/>
          <w:lang w:eastAsia="it-IT"/>
        </w:rPr>
        <w:t xml:space="preserve">. </w:t>
      </w:r>
    </w:p>
    <w:p w:rsidR="004241AC" w:rsidRPr="00284133" w:rsidRDefault="004241AC" w:rsidP="00284133">
      <w:pPr>
        <w:autoSpaceDE w:val="0"/>
        <w:autoSpaceDN w:val="0"/>
        <w:adjustRightInd w:val="0"/>
        <w:spacing w:after="0" w:line="240" w:lineRule="auto"/>
        <w:jc w:val="both"/>
        <w:rPr>
          <w:rFonts w:eastAsia="Calibri" w:cs="Calibri"/>
          <w:color w:val="000000"/>
          <w:lang w:eastAsia="it-IT"/>
        </w:rPr>
      </w:pPr>
    </w:p>
    <w:p w:rsidR="004241AC" w:rsidRPr="00FF0EC7" w:rsidRDefault="004241AC" w:rsidP="00284133">
      <w:pPr>
        <w:autoSpaceDE w:val="0"/>
        <w:autoSpaceDN w:val="0"/>
        <w:adjustRightInd w:val="0"/>
        <w:spacing w:after="0" w:line="240" w:lineRule="auto"/>
        <w:jc w:val="both"/>
        <w:rPr>
          <w:rFonts w:eastAsia="Calibri" w:cs="Calibri"/>
          <w:color w:val="000000"/>
          <w:lang w:eastAsia="it-IT"/>
        </w:rPr>
      </w:pPr>
    </w:p>
    <w:p w:rsidR="004241AC" w:rsidRPr="00FF0EC7" w:rsidRDefault="004241AC" w:rsidP="00284133">
      <w:pPr>
        <w:autoSpaceDE w:val="0"/>
        <w:autoSpaceDN w:val="0"/>
        <w:adjustRightInd w:val="0"/>
        <w:spacing w:after="0" w:line="240" w:lineRule="auto"/>
        <w:jc w:val="both"/>
        <w:rPr>
          <w:rFonts w:eastAsia="Calibri" w:cs="Calibri"/>
          <w:color w:val="000000"/>
          <w:lang w:eastAsia="it-IT"/>
        </w:rPr>
      </w:pPr>
      <w:r w:rsidRPr="00FF0EC7">
        <w:rPr>
          <w:rFonts w:eastAsia="Calibri" w:cs="Calibri"/>
          <w:b/>
          <w:bCs/>
          <w:color w:val="000000"/>
          <w:lang w:eastAsia="it-IT"/>
        </w:rPr>
        <w:t xml:space="preserve">1) CHE COS’È </w:t>
      </w:r>
      <w:proofErr w:type="spellStart"/>
      <w:r w:rsidR="0054084F" w:rsidRPr="00FF0EC7">
        <w:rPr>
          <w:rFonts w:eastAsia="Calibri" w:cs="Calibri"/>
          <w:b/>
          <w:bCs/>
          <w:color w:val="000000"/>
          <w:lang w:eastAsia="it-IT"/>
        </w:rPr>
        <w:t>Somun</w:t>
      </w:r>
      <w:proofErr w:type="spellEnd"/>
      <w:r w:rsidR="00E83F8D" w:rsidRPr="00FF0EC7">
        <w:rPr>
          <w:rFonts w:eastAsia="Calibri" w:cs="Calibri"/>
          <w:b/>
          <w:bCs/>
          <w:color w:val="000000"/>
          <w:lang w:eastAsia="it-IT"/>
        </w:rPr>
        <w:t xml:space="preserve"> </w:t>
      </w:r>
      <w:r w:rsidRPr="00FF0EC7">
        <w:rPr>
          <w:rFonts w:eastAsia="Calibri" w:cs="Calibri"/>
          <w:b/>
          <w:bCs/>
          <w:color w:val="000000"/>
          <w:lang w:eastAsia="it-IT"/>
        </w:rPr>
        <w:t xml:space="preserve">e a cosa serve? </w:t>
      </w:r>
    </w:p>
    <w:p w:rsidR="000E0632" w:rsidRPr="00FF0EC7" w:rsidRDefault="0054084F" w:rsidP="00284133">
      <w:pPr>
        <w:widowControl w:val="0"/>
        <w:spacing w:after="0" w:line="240" w:lineRule="auto"/>
        <w:jc w:val="both"/>
        <w:rPr>
          <w:rFonts w:eastAsia="Calibri" w:cs="Calibri"/>
          <w:color w:val="000000"/>
          <w:lang w:eastAsia="it-IT"/>
        </w:rPr>
      </w:pPr>
      <w:proofErr w:type="spellStart"/>
      <w:r w:rsidRPr="00FF0EC7">
        <w:rPr>
          <w:rFonts w:eastAsia="Calibri" w:cs="Calibri"/>
          <w:bCs/>
          <w:color w:val="000000"/>
          <w:lang w:eastAsia="it-IT"/>
        </w:rPr>
        <w:t>Somun</w:t>
      </w:r>
      <w:proofErr w:type="spellEnd"/>
      <w:r w:rsidR="00E83F8D" w:rsidRPr="00FF0EC7">
        <w:rPr>
          <w:rFonts w:eastAsia="Calibri" w:cs="Calibri"/>
          <w:bCs/>
          <w:color w:val="000000"/>
          <w:lang w:eastAsia="it-IT"/>
        </w:rPr>
        <w:t xml:space="preserve"> </w:t>
      </w:r>
      <w:r w:rsidR="004241AC" w:rsidRPr="00FF0EC7">
        <w:rPr>
          <w:rFonts w:eastAsia="Calibri" w:cs="Calibri"/>
          <w:color w:val="000000"/>
          <w:lang w:eastAsia="it-IT"/>
        </w:rPr>
        <w:t xml:space="preserve">è un medicinale contenente </w:t>
      </w:r>
      <w:r w:rsidR="00062636" w:rsidRPr="00FF0EC7">
        <w:rPr>
          <w:rFonts w:eastAsia="Calibri" w:cs="Calibri"/>
          <w:color w:val="000000"/>
          <w:lang w:eastAsia="it-IT"/>
        </w:rPr>
        <w:t>i</w:t>
      </w:r>
      <w:r w:rsidR="003B3BD7" w:rsidRPr="00FF0EC7">
        <w:rPr>
          <w:rFonts w:eastAsia="Calibri" w:cs="Calibri"/>
          <w:color w:val="000000"/>
          <w:lang w:eastAsia="it-IT"/>
        </w:rPr>
        <w:t>l</w:t>
      </w:r>
      <w:r w:rsidR="004241AC" w:rsidRPr="00FF0EC7">
        <w:rPr>
          <w:rFonts w:eastAsia="Calibri" w:cs="Calibri"/>
          <w:color w:val="000000"/>
          <w:lang w:eastAsia="it-IT"/>
        </w:rPr>
        <w:t xml:space="preserve"> principi</w:t>
      </w:r>
      <w:r w:rsidR="003B3BD7" w:rsidRPr="00FF0EC7">
        <w:rPr>
          <w:rFonts w:eastAsia="Calibri" w:cs="Calibri"/>
          <w:color w:val="000000"/>
          <w:lang w:eastAsia="it-IT"/>
        </w:rPr>
        <w:t>o</w:t>
      </w:r>
      <w:r w:rsidR="004241AC" w:rsidRPr="00FF0EC7">
        <w:rPr>
          <w:rFonts w:eastAsia="Calibri" w:cs="Calibri"/>
          <w:color w:val="000000"/>
          <w:lang w:eastAsia="it-IT"/>
        </w:rPr>
        <w:t xml:space="preserve"> attiv</w:t>
      </w:r>
      <w:r w:rsidR="003B3BD7" w:rsidRPr="00FF0EC7">
        <w:rPr>
          <w:rFonts w:eastAsia="Calibri" w:cs="Calibri"/>
          <w:color w:val="000000"/>
          <w:lang w:eastAsia="it-IT"/>
        </w:rPr>
        <w:t>o</w:t>
      </w:r>
      <w:r w:rsidR="004241AC" w:rsidRPr="00FF0EC7">
        <w:rPr>
          <w:rFonts w:eastAsia="Calibri" w:cs="Calibri"/>
          <w:color w:val="000000"/>
          <w:lang w:eastAsia="it-IT"/>
        </w:rPr>
        <w:t xml:space="preserve"> </w:t>
      </w:r>
      <w:r w:rsidRPr="00FF0EC7">
        <w:rPr>
          <w:rFonts w:ascii="Calibri" w:hAnsi="Calibri"/>
          <w:lang w:eastAsia="it-IT"/>
        </w:rPr>
        <w:t>paracetamolo</w:t>
      </w:r>
      <w:r w:rsidR="003B3BD7" w:rsidRPr="00FF0EC7">
        <w:rPr>
          <w:rFonts w:ascii="Calibri" w:hAnsi="Calibri"/>
          <w:lang w:eastAsia="it-IT"/>
        </w:rPr>
        <w:t xml:space="preserve"> </w:t>
      </w:r>
      <w:r w:rsidR="000E0632" w:rsidRPr="00FF0EC7">
        <w:rPr>
          <w:rFonts w:eastAsia="Calibri" w:cs="Calibri"/>
          <w:color w:val="000000"/>
          <w:lang w:eastAsia="it-IT"/>
        </w:rPr>
        <w:t xml:space="preserve">ed </w:t>
      </w:r>
      <w:r w:rsidR="004241AC" w:rsidRPr="00FF0EC7">
        <w:rPr>
          <w:rFonts w:eastAsia="Calibri" w:cs="Calibri"/>
          <w:color w:val="000000"/>
          <w:lang w:eastAsia="it-IT"/>
        </w:rPr>
        <w:t xml:space="preserve">è disponibile </w:t>
      </w:r>
      <w:r w:rsidR="003B3BD7" w:rsidRPr="00FF0EC7">
        <w:rPr>
          <w:rFonts w:eastAsia="Calibri" w:cs="Calibri"/>
          <w:color w:val="000000"/>
          <w:lang w:eastAsia="it-IT"/>
        </w:rPr>
        <w:t xml:space="preserve">come </w:t>
      </w:r>
      <w:r w:rsidR="00284133" w:rsidRPr="00FF0EC7">
        <w:rPr>
          <w:rFonts w:eastAsia="Calibri" w:cs="Calibri"/>
          <w:color w:val="000000"/>
          <w:lang w:eastAsia="it-IT"/>
        </w:rPr>
        <w:t xml:space="preserve">granulato </w:t>
      </w:r>
      <w:proofErr w:type="spellStart"/>
      <w:r w:rsidR="00FF0EC7" w:rsidRPr="00FF0EC7">
        <w:rPr>
          <w:rFonts w:eastAsia="Calibri" w:cs="Calibri"/>
          <w:color w:val="000000"/>
          <w:lang w:eastAsia="it-IT"/>
        </w:rPr>
        <w:t>orodispersibile</w:t>
      </w:r>
      <w:proofErr w:type="spellEnd"/>
      <w:r w:rsidR="003B3BD7" w:rsidRPr="00FF0EC7">
        <w:rPr>
          <w:rFonts w:eastAsia="Calibri" w:cs="Calibri"/>
          <w:color w:val="000000"/>
          <w:lang w:eastAsia="it-IT"/>
        </w:rPr>
        <w:t xml:space="preserve"> in </w:t>
      </w:r>
      <w:r w:rsidR="00284133" w:rsidRPr="00FF0EC7">
        <w:rPr>
          <w:rFonts w:eastAsia="Calibri" w:cs="Calibri"/>
          <w:color w:val="000000"/>
          <w:lang w:eastAsia="it-IT"/>
        </w:rPr>
        <w:t>bustine</w:t>
      </w:r>
      <w:r w:rsidR="003B3BD7" w:rsidRPr="00FF0EC7">
        <w:rPr>
          <w:rFonts w:eastAsia="Calibri" w:cs="Calibri"/>
          <w:color w:val="000000"/>
          <w:lang w:eastAsia="it-IT"/>
        </w:rPr>
        <w:t xml:space="preserve"> da </w:t>
      </w:r>
      <w:r w:rsidRPr="00FF0EC7">
        <w:rPr>
          <w:rFonts w:eastAsia="Calibri" w:cs="Calibri"/>
          <w:color w:val="000000"/>
          <w:lang w:eastAsia="it-IT"/>
        </w:rPr>
        <w:t>50</w:t>
      </w:r>
      <w:r w:rsidR="00284133" w:rsidRPr="00FF0EC7">
        <w:rPr>
          <w:rFonts w:eastAsia="Calibri" w:cs="Calibri"/>
          <w:color w:val="000000"/>
          <w:lang w:eastAsia="it-IT"/>
        </w:rPr>
        <w:t xml:space="preserve">0 mg </w:t>
      </w:r>
      <w:r w:rsidR="003B3BD7" w:rsidRPr="00FF0EC7">
        <w:rPr>
          <w:rFonts w:eastAsia="Calibri" w:cs="Calibri"/>
          <w:color w:val="000000"/>
          <w:lang w:eastAsia="it-IT"/>
        </w:rPr>
        <w:t>di principio attivo</w:t>
      </w:r>
      <w:r w:rsidR="000E0632" w:rsidRPr="00FF0EC7">
        <w:rPr>
          <w:rFonts w:eastAsia="Calibri" w:cs="Calibri"/>
          <w:color w:val="000000"/>
          <w:lang w:eastAsia="it-IT"/>
        </w:rPr>
        <w:t>.</w:t>
      </w:r>
    </w:p>
    <w:p w:rsidR="004B1E51" w:rsidRPr="00FF0EC7" w:rsidRDefault="0054084F" w:rsidP="00284133">
      <w:pPr>
        <w:widowControl w:val="0"/>
        <w:spacing w:after="0" w:line="240" w:lineRule="auto"/>
        <w:jc w:val="both"/>
      </w:pPr>
      <w:proofErr w:type="spellStart"/>
      <w:r w:rsidRPr="00FF0EC7">
        <w:rPr>
          <w:rFonts w:eastAsia="Calibri" w:cs="Calibri"/>
          <w:color w:val="000000"/>
          <w:lang w:eastAsia="it-IT"/>
        </w:rPr>
        <w:t>Somun</w:t>
      </w:r>
      <w:proofErr w:type="spellEnd"/>
      <w:r w:rsidR="004B1E51" w:rsidRPr="00FF0EC7">
        <w:rPr>
          <w:rFonts w:eastAsia="Calibri" w:cs="Calibri"/>
          <w:color w:val="000000"/>
          <w:lang w:eastAsia="it-IT"/>
        </w:rPr>
        <w:t xml:space="preserve"> è un “medicinale generico”, cioè è analogo ad un “medicinale di riferimento”, già autorizzato in Italia, </w:t>
      </w:r>
      <w:proofErr w:type="spellStart"/>
      <w:r w:rsidRPr="00FF0EC7">
        <w:rPr>
          <w:rFonts w:eastAsia="Calibri" w:cs="Calibri"/>
          <w:color w:val="000000"/>
          <w:lang w:eastAsia="it-IT"/>
        </w:rPr>
        <w:t>Panadol</w:t>
      </w:r>
      <w:proofErr w:type="spellEnd"/>
      <w:r w:rsidR="004B1E51" w:rsidRPr="00FF0EC7">
        <w:rPr>
          <w:rFonts w:eastAsia="Calibri" w:cs="Calibri"/>
          <w:color w:val="000000"/>
          <w:lang w:eastAsia="it-IT"/>
        </w:rPr>
        <w:t>.</w:t>
      </w:r>
    </w:p>
    <w:p w:rsidR="00284133" w:rsidRPr="00FF0EC7" w:rsidRDefault="0054084F" w:rsidP="00284133">
      <w:pPr>
        <w:spacing w:after="0" w:line="240" w:lineRule="auto"/>
        <w:jc w:val="both"/>
        <w:rPr>
          <w:rFonts w:ascii="Calibri" w:eastAsia="Calibri" w:hAnsi="Calibri" w:cs="Times New Roman"/>
          <w:highlight w:val="yellow"/>
        </w:rPr>
      </w:pPr>
      <w:proofErr w:type="spellStart"/>
      <w:r w:rsidRPr="00FF0EC7">
        <w:rPr>
          <w:rFonts w:eastAsia="Calibri" w:cs="Calibri"/>
          <w:color w:val="000000"/>
          <w:lang w:eastAsia="it-IT"/>
        </w:rPr>
        <w:t>Somun</w:t>
      </w:r>
      <w:proofErr w:type="spellEnd"/>
      <w:r w:rsidR="003B3BD7" w:rsidRPr="00FF0EC7">
        <w:rPr>
          <w:rFonts w:eastAsia="Calibri" w:cs="Calibri"/>
          <w:color w:val="000000"/>
          <w:lang w:eastAsia="it-IT"/>
        </w:rPr>
        <w:t xml:space="preserve"> è utilizzato </w:t>
      </w:r>
      <w:r w:rsidR="00284133" w:rsidRPr="00FF0EC7">
        <w:rPr>
          <w:rFonts w:ascii="Calibri" w:eastAsia="Calibri" w:hAnsi="Calibri" w:cs="Times New Roman"/>
        </w:rPr>
        <w:t xml:space="preserve">per il </w:t>
      </w:r>
      <w:r w:rsidRPr="00FF0EC7">
        <w:t>trattamento sintomatico di stati dolorosi acuti (mal di testa, nevralgie, mal di denti, dolori mestruali) e di stati febbrili</w:t>
      </w:r>
      <w:r w:rsidR="00284133" w:rsidRPr="00FF0EC7">
        <w:rPr>
          <w:rFonts w:ascii="Calibri" w:eastAsia="Calibri" w:hAnsi="Calibri" w:cs="Times New Roman"/>
        </w:rPr>
        <w:t>.</w:t>
      </w:r>
    </w:p>
    <w:p w:rsidR="00E83F8D" w:rsidRPr="00FF0EC7" w:rsidRDefault="00E83F8D" w:rsidP="00284133">
      <w:pPr>
        <w:autoSpaceDE w:val="0"/>
        <w:autoSpaceDN w:val="0"/>
        <w:adjustRightInd w:val="0"/>
        <w:spacing w:after="0" w:line="240" w:lineRule="auto"/>
        <w:jc w:val="both"/>
        <w:rPr>
          <w:rFonts w:eastAsia="Calibri" w:cs="Calibri"/>
          <w:b/>
          <w:bCs/>
          <w:color w:val="000000"/>
          <w:lang w:eastAsia="it-IT"/>
        </w:rPr>
      </w:pPr>
    </w:p>
    <w:p w:rsidR="0054084F" w:rsidRPr="00FF0EC7" w:rsidRDefault="0054084F" w:rsidP="00284133">
      <w:pPr>
        <w:autoSpaceDE w:val="0"/>
        <w:autoSpaceDN w:val="0"/>
        <w:adjustRightInd w:val="0"/>
        <w:spacing w:after="0" w:line="240" w:lineRule="auto"/>
        <w:jc w:val="both"/>
        <w:rPr>
          <w:rFonts w:eastAsia="Calibri" w:cs="Calibri"/>
          <w:b/>
          <w:bCs/>
          <w:color w:val="000000"/>
          <w:lang w:eastAsia="it-IT"/>
        </w:rPr>
      </w:pPr>
    </w:p>
    <w:p w:rsidR="004241AC" w:rsidRPr="00FF0EC7" w:rsidRDefault="004241AC" w:rsidP="00284133">
      <w:pPr>
        <w:autoSpaceDE w:val="0"/>
        <w:autoSpaceDN w:val="0"/>
        <w:adjustRightInd w:val="0"/>
        <w:spacing w:after="0" w:line="240" w:lineRule="auto"/>
        <w:jc w:val="both"/>
        <w:rPr>
          <w:rFonts w:eastAsia="Calibri" w:cs="Calibri"/>
          <w:color w:val="000000"/>
          <w:lang w:eastAsia="it-IT"/>
        </w:rPr>
      </w:pPr>
      <w:r w:rsidRPr="00FF0EC7">
        <w:rPr>
          <w:rFonts w:eastAsia="Calibri" w:cs="Calibri"/>
          <w:b/>
          <w:bCs/>
          <w:color w:val="000000"/>
          <w:lang w:eastAsia="it-IT"/>
        </w:rPr>
        <w:t xml:space="preserve">2) COME E’ PRESCRITTO/USATO </w:t>
      </w:r>
      <w:proofErr w:type="spellStart"/>
      <w:r w:rsidR="0054084F" w:rsidRPr="00FF0EC7">
        <w:rPr>
          <w:rFonts w:eastAsia="Calibri" w:cs="Calibri"/>
          <w:b/>
          <w:bCs/>
          <w:color w:val="000000"/>
          <w:lang w:eastAsia="it-IT"/>
        </w:rPr>
        <w:t>Somun</w:t>
      </w:r>
      <w:proofErr w:type="spellEnd"/>
      <w:r w:rsidRPr="00FF0EC7">
        <w:rPr>
          <w:rFonts w:eastAsia="Calibri" w:cs="Calibri"/>
          <w:b/>
          <w:bCs/>
          <w:color w:val="000000"/>
          <w:lang w:eastAsia="it-IT"/>
        </w:rPr>
        <w:t>?</w:t>
      </w:r>
    </w:p>
    <w:p w:rsidR="003B3BD7" w:rsidRPr="00FF0EC7" w:rsidRDefault="0054084F" w:rsidP="00284133">
      <w:pPr>
        <w:autoSpaceDE w:val="0"/>
        <w:autoSpaceDN w:val="0"/>
        <w:adjustRightInd w:val="0"/>
        <w:spacing w:after="0" w:line="240" w:lineRule="auto"/>
        <w:jc w:val="both"/>
        <w:rPr>
          <w:rFonts w:eastAsia="Calibri" w:cs="Calibri"/>
          <w:color w:val="000000"/>
          <w:lang w:eastAsia="it-IT"/>
        </w:rPr>
      </w:pPr>
      <w:proofErr w:type="spellStart"/>
      <w:r w:rsidRPr="00FF0EC7">
        <w:rPr>
          <w:rFonts w:eastAsia="Calibri" w:cs="Calibri"/>
          <w:color w:val="000000"/>
          <w:lang w:eastAsia="it-IT"/>
        </w:rPr>
        <w:t>Somun</w:t>
      </w:r>
      <w:proofErr w:type="spellEnd"/>
      <w:r w:rsidR="00284133" w:rsidRPr="00FF0EC7">
        <w:rPr>
          <w:rFonts w:eastAsia="Calibri" w:cs="Calibri"/>
          <w:color w:val="000000"/>
          <w:lang w:eastAsia="it-IT"/>
        </w:rPr>
        <w:t xml:space="preserve"> è un medicinale di automedicazione</w:t>
      </w:r>
      <w:r w:rsidR="00066E81" w:rsidRPr="00FF0EC7">
        <w:rPr>
          <w:rFonts w:eastAsia="Calibri" w:cs="Calibri"/>
          <w:color w:val="000000"/>
          <w:lang w:eastAsia="it-IT"/>
        </w:rPr>
        <w:t xml:space="preserve"> (OTC)</w:t>
      </w:r>
      <w:r w:rsidR="00284133" w:rsidRPr="00FF0EC7">
        <w:rPr>
          <w:rFonts w:eastAsia="Calibri" w:cs="Calibri"/>
          <w:color w:val="000000"/>
          <w:lang w:eastAsia="it-IT"/>
        </w:rPr>
        <w:t xml:space="preserve"> e non necessita di prescrizione del medico.</w:t>
      </w:r>
    </w:p>
    <w:p w:rsidR="00592263" w:rsidRDefault="00592263" w:rsidP="00592263">
      <w:pPr>
        <w:autoSpaceDE w:val="0"/>
        <w:autoSpaceDN w:val="0"/>
        <w:adjustRightInd w:val="0"/>
        <w:spacing w:after="0" w:line="240" w:lineRule="auto"/>
        <w:jc w:val="both"/>
        <w:rPr>
          <w:noProof/>
          <w:szCs w:val="24"/>
        </w:rPr>
      </w:pPr>
      <w:r w:rsidRPr="00FF0EC7">
        <w:rPr>
          <w:noProof/>
        </w:rPr>
        <w:t xml:space="preserve">La dose raccomandata per gli adulti </w:t>
      </w:r>
      <w:r w:rsidRPr="00FF0EC7">
        <w:rPr>
          <w:rFonts w:eastAsia="Calibri" w:cs="Calibri"/>
          <w:color w:val="000000"/>
          <w:lang w:eastAsia="it-IT"/>
        </w:rPr>
        <w:t>è di 1 bustina fino a 6 volte al giorno (la dose massima giornaliera è di 3</w:t>
      </w:r>
      <w:r>
        <w:rPr>
          <w:rFonts w:eastAsia="Calibri" w:cs="Calibri"/>
          <w:color w:val="000000"/>
          <w:lang w:eastAsia="it-IT"/>
        </w:rPr>
        <w:t xml:space="preserve"> g)</w:t>
      </w:r>
      <w:r w:rsidRPr="00CD50CC">
        <w:rPr>
          <w:rFonts w:eastAsia="Calibri" w:cs="Calibri"/>
          <w:color w:val="000000"/>
          <w:lang w:eastAsia="it-IT"/>
        </w:rPr>
        <w:t xml:space="preserve">; </w:t>
      </w:r>
      <w:r w:rsidRPr="00CD50CC">
        <w:rPr>
          <w:noProof/>
          <w:szCs w:val="24"/>
        </w:rPr>
        <w:t>il trat</w:t>
      </w:r>
      <w:r w:rsidR="00FF0EC7">
        <w:rPr>
          <w:noProof/>
          <w:szCs w:val="24"/>
        </w:rPr>
        <w:t>t</w:t>
      </w:r>
      <w:r w:rsidRPr="00CD50CC">
        <w:rPr>
          <w:noProof/>
          <w:szCs w:val="24"/>
        </w:rPr>
        <w:t>amento non deve superarare i 3 giorni consecutivi senza il parere del medico.</w:t>
      </w:r>
    </w:p>
    <w:p w:rsidR="00592263" w:rsidRDefault="00592263" w:rsidP="00592263">
      <w:pPr>
        <w:spacing w:after="0" w:line="240" w:lineRule="auto"/>
        <w:jc w:val="both"/>
        <w:rPr>
          <w:rFonts w:ascii="Calibri" w:hAnsi="Calibri"/>
          <w:lang w:eastAsia="it-IT"/>
        </w:rPr>
      </w:pPr>
      <w:r>
        <w:rPr>
          <w:rFonts w:ascii="Calibri" w:hAnsi="Calibri"/>
          <w:lang w:eastAsia="it-IT"/>
        </w:rPr>
        <w:t>Le dosi per i bambini sono ridotte in relazione al loro peso corporeo.</w:t>
      </w:r>
    </w:p>
    <w:p w:rsidR="00592263" w:rsidRPr="00CD50CC" w:rsidRDefault="00592263" w:rsidP="00592263">
      <w:pPr>
        <w:tabs>
          <w:tab w:val="left" w:pos="284"/>
        </w:tabs>
        <w:spacing w:after="0" w:line="240" w:lineRule="auto"/>
        <w:jc w:val="both"/>
      </w:pPr>
      <w:r w:rsidRPr="00CD50CC">
        <w:t>Nei pazienti anziani o con problemi ai reni è necessaria una dose ridotta; i pazienti con gravi patologie dei reni non devono assumere il medicinale.</w:t>
      </w:r>
    </w:p>
    <w:p w:rsidR="00592263" w:rsidRPr="009151B8" w:rsidRDefault="00592263" w:rsidP="00592263">
      <w:pPr>
        <w:jc w:val="both"/>
      </w:pPr>
      <w:r>
        <w:t>I</w:t>
      </w:r>
      <w:r w:rsidRPr="00E33A7D">
        <w:t xml:space="preserve">l granulato </w:t>
      </w:r>
      <w:r>
        <w:t xml:space="preserve">deve essere messi </w:t>
      </w:r>
      <w:r w:rsidRPr="00E33A7D">
        <w:t>direttamente sulla lingua e degluti</w:t>
      </w:r>
      <w:r>
        <w:t>t</w:t>
      </w:r>
      <w:r w:rsidRPr="00E33A7D">
        <w:t>o senza acqua.</w:t>
      </w:r>
    </w:p>
    <w:p w:rsidR="004241AC" w:rsidRDefault="004241AC" w:rsidP="0054084F">
      <w:pPr>
        <w:autoSpaceDE w:val="0"/>
        <w:autoSpaceDN w:val="0"/>
        <w:adjustRightInd w:val="0"/>
        <w:spacing w:after="0" w:line="240" w:lineRule="auto"/>
        <w:jc w:val="both"/>
        <w:rPr>
          <w:rFonts w:eastAsia="Calibri" w:cs="Verdana"/>
          <w:color w:val="000000"/>
          <w:lang w:eastAsia="it-IT"/>
        </w:rPr>
      </w:pPr>
    </w:p>
    <w:p w:rsidR="00AA69FA" w:rsidRDefault="00AA69FA" w:rsidP="0054084F">
      <w:pPr>
        <w:autoSpaceDE w:val="0"/>
        <w:autoSpaceDN w:val="0"/>
        <w:adjustRightInd w:val="0"/>
        <w:spacing w:after="0" w:line="240" w:lineRule="auto"/>
        <w:jc w:val="both"/>
        <w:rPr>
          <w:rFonts w:eastAsia="Calibri" w:cs="Verdana"/>
          <w:color w:val="000000"/>
          <w:lang w:eastAsia="it-IT"/>
        </w:rPr>
      </w:pPr>
    </w:p>
    <w:p w:rsidR="004241AC" w:rsidRDefault="004241AC" w:rsidP="0054084F">
      <w:pPr>
        <w:autoSpaceDE w:val="0"/>
        <w:autoSpaceDN w:val="0"/>
        <w:adjustRightInd w:val="0"/>
        <w:spacing w:after="0" w:line="240" w:lineRule="auto"/>
        <w:jc w:val="both"/>
        <w:rPr>
          <w:rFonts w:eastAsia="Calibri" w:cs="Calibri"/>
          <w:b/>
          <w:bCs/>
          <w:lang w:eastAsia="it-IT"/>
        </w:rPr>
      </w:pPr>
      <w:r w:rsidRPr="0054084F">
        <w:rPr>
          <w:rFonts w:eastAsia="Calibri" w:cs="Calibri"/>
          <w:b/>
          <w:bCs/>
          <w:lang w:eastAsia="it-IT"/>
        </w:rPr>
        <w:lastRenderedPageBreak/>
        <w:t xml:space="preserve">3) COME FUNZIONA </w:t>
      </w:r>
      <w:proofErr w:type="spellStart"/>
      <w:r w:rsidR="0054084F" w:rsidRPr="0054084F">
        <w:rPr>
          <w:rFonts w:eastAsia="Calibri" w:cs="Calibri"/>
          <w:b/>
          <w:bCs/>
          <w:lang w:eastAsia="it-IT"/>
        </w:rPr>
        <w:t>Somun</w:t>
      </w:r>
      <w:proofErr w:type="spellEnd"/>
      <w:r w:rsidRPr="0054084F">
        <w:rPr>
          <w:rFonts w:eastAsia="Calibri" w:cs="Calibri"/>
          <w:b/>
          <w:bCs/>
          <w:lang w:eastAsia="it-IT"/>
        </w:rPr>
        <w:t xml:space="preserve">? </w:t>
      </w:r>
    </w:p>
    <w:p w:rsidR="0054084F" w:rsidRPr="0054084F" w:rsidRDefault="0054084F" w:rsidP="00313659">
      <w:pPr>
        <w:autoSpaceDE w:val="0"/>
        <w:autoSpaceDN w:val="0"/>
        <w:adjustRightInd w:val="0"/>
        <w:spacing w:after="0" w:line="240" w:lineRule="auto"/>
        <w:jc w:val="both"/>
      </w:pPr>
      <w:proofErr w:type="spellStart"/>
      <w:r w:rsidRPr="0054084F">
        <w:rPr>
          <w:rFonts w:eastAsia="Calibri" w:cs="Calibri"/>
          <w:bCs/>
          <w:color w:val="000000"/>
          <w:lang w:eastAsia="it-IT"/>
        </w:rPr>
        <w:t>Somun</w:t>
      </w:r>
      <w:proofErr w:type="spellEnd"/>
      <w:r w:rsidR="00313659">
        <w:rPr>
          <w:rFonts w:eastAsia="Calibri" w:cs="Calibri"/>
          <w:bCs/>
          <w:color w:val="000000"/>
          <w:lang w:eastAsia="it-IT"/>
        </w:rPr>
        <w:t xml:space="preserve">, </w:t>
      </w:r>
      <w:r w:rsidR="00313659" w:rsidRPr="0054084F">
        <w:rPr>
          <w:rFonts w:eastAsia="Calibri" w:cs="Calibri"/>
          <w:bCs/>
          <w:color w:val="000000"/>
          <w:lang w:eastAsia="it-IT"/>
        </w:rPr>
        <w:t xml:space="preserve">il cui codice ATC è </w:t>
      </w:r>
      <w:r w:rsidR="00313659" w:rsidRPr="0054084F">
        <w:t>N02BE01</w:t>
      </w:r>
      <w:r w:rsidR="00313659">
        <w:t>,</w:t>
      </w:r>
      <w:r w:rsidR="00E43089" w:rsidRPr="0054084F">
        <w:rPr>
          <w:rFonts w:eastAsia="DejaVuSans" w:cs="DejaVuSans"/>
        </w:rPr>
        <w:t xml:space="preserve"> </w:t>
      </w:r>
      <w:r w:rsidR="004241AC" w:rsidRPr="0054084F">
        <w:rPr>
          <w:rFonts w:eastAsia="Calibri" w:cs="Calibri"/>
          <w:color w:val="000000"/>
          <w:lang w:eastAsia="it-IT"/>
        </w:rPr>
        <w:t>contiene i</w:t>
      </w:r>
      <w:r w:rsidR="00785B6C" w:rsidRPr="0054084F">
        <w:rPr>
          <w:rFonts w:eastAsia="Calibri" w:cs="Calibri"/>
          <w:color w:val="000000"/>
          <w:lang w:eastAsia="it-IT"/>
        </w:rPr>
        <w:t>l</w:t>
      </w:r>
      <w:r w:rsidR="004241AC" w:rsidRPr="0054084F">
        <w:rPr>
          <w:rFonts w:eastAsia="Calibri" w:cs="Calibri"/>
          <w:color w:val="000000"/>
          <w:lang w:eastAsia="it-IT"/>
        </w:rPr>
        <w:t xml:space="preserve"> principi</w:t>
      </w:r>
      <w:r w:rsidR="00785B6C" w:rsidRPr="0054084F">
        <w:rPr>
          <w:rFonts w:eastAsia="Calibri" w:cs="Calibri"/>
          <w:color w:val="000000"/>
          <w:lang w:eastAsia="it-IT"/>
        </w:rPr>
        <w:t>o</w:t>
      </w:r>
      <w:r w:rsidR="004241AC" w:rsidRPr="0054084F">
        <w:rPr>
          <w:rFonts w:eastAsia="Calibri" w:cs="Calibri"/>
          <w:color w:val="000000"/>
          <w:lang w:eastAsia="it-IT"/>
        </w:rPr>
        <w:t xml:space="preserve"> attiv</w:t>
      </w:r>
      <w:r w:rsidR="00785B6C" w:rsidRPr="0054084F">
        <w:rPr>
          <w:rFonts w:eastAsia="Calibri" w:cs="Calibri"/>
          <w:color w:val="000000"/>
          <w:lang w:eastAsia="it-IT"/>
        </w:rPr>
        <w:t>o</w:t>
      </w:r>
      <w:r w:rsidR="004241AC" w:rsidRPr="0054084F">
        <w:rPr>
          <w:rFonts w:eastAsia="Calibri" w:cs="Calibri"/>
          <w:color w:val="000000"/>
          <w:lang w:eastAsia="it-IT"/>
        </w:rPr>
        <w:t xml:space="preserve"> </w:t>
      </w:r>
      <w:r w:rsidRPr="0054084F">
        <w:rPr>
          <w:snapToGrid w:val="0"/>
        </w:rPr>
        <w:t>paracetamolo</w:t>
      </w:r>
      <w:r w:rsidR="00313659">
        <w:rPr>
          <w:rFonts w:eastAsia="Calibri" w:cs="Calibri"/>
          <w:color w:val="000000"/>
          <w:lang w:eastAsia="it-IT"/>
        </w:rPr>
        <w:t xml:space="preserve"> che </w:t>
      </w:r>
      <w:r w:rsidRPr="0054084F">
        <w:t xml:space="preserve">possiede azione analgesica ed antipiretica: l’attività analgesica sembra legata alla capacità del paracetamolo di inibire la sintesi delle prostaglandine a livello del </w:t>
      </w:r>
      <w:r>
        <w:t xml:space="preserve">sistema nervoso centrale: le prostaglandine sono </w:t>
      </w:r>
      <w:r>
        <w:rPr>
          <w:rFonts w:eastAsia="DejaVuSans" w:cs="DejaVuSans"/>
        </w:rPr>
        <w:t>sostanze prodotte dall’organismo e che sono responsabili dei sintomi dell’infiammazio</w:t>
      </w:r>
      <w:r w:rsidR="00313659">
        <w:rPr>
          <w:rFonts w:eastAsia="DejaVuSans" w:cs="DejaVuSans"/>
        </w:rPr>
        <w:t xml:space="preserve">ne e del dolore che ne consegue; </w:t>
      </w:r>
      <w:r w:rsidRPr="0054084F">
        <w:t xml:space="preserve">l’azione antipiretica si esplica sui centri ipotalamici termoregolatori, azione che si manifesta soltanto in caso di alterazioni febbrili, mediante aumento della dispersione di calore attraverso </w:t>
      </w:r>
      <w:r>
        <w:t xml:space="preserve">la </w:t>
      </w:r>
      <w:r w:rsidRPr="0054084F">
        <w:t>vasodilatazione.</w:t>
      </w:r>
    </w:p>
    <w:p w:rsidR="00BB0DBA" w:rsidRPr="0054084F" w:rsidRDefault="00BB0DBA" w:rsidP="0054084F">
      <w:pPr>
        <w:tabs>
          <w:tab w:val="left" w:pos="0"/>
        </w:tabs>
        <w:overflowPunct w:val="0"/>
        <w:autoSpaceDE w:val="0"/>
        <w:autoSpaceDN w:val="0"/>
        <w:adjustRightInd w:val="0"/>
        <w:spacing w:after="0" w:line="240" w:lineRule="auto"/>
        <w:jc w:val="both"/>
        <w:textAlignment w:val="baseline"/>
        <w:rPr>
          <w:iCs/>
        </w:rPr>
      </w:pPr>
    </w:p>
    <w:p w:rsidR="00BB0DBA" w:rsidRPr="0054084F" w:rsidRDefault="00BB0DBA" w:rsidP="0054084F">
      <w:pPr>
        <w:tabs>
          <w:tab w:val="left" w:pos="0"/>
        </w:tabs>
        <w:overflowPunct w:val="0"/>
        <w:autoSpaceDE w:val="0"/>
        <w:autoSpaceDN w:val="0"/>
        <w:adjustRightInd w:val="0"/>
        <w:spacing w:after="0" w:line="240" w:lineRule="auto"/>
        <w:jc w:val="both"/>
        <w:textAlignment w:val="baseline"/>
        <w:rPr>
          <w:iCs/>
        </w:rPr>
      </w:pPr>
    </w:p>
    <w:p w:rsidR="004241AC" w:rsidRPr="0054084F" w:rsidRDefault="004241AC" w:rsidP="0054084F">
      <w:pPr>
        <w:autoSpaceDE w:val="0"/>
        <w:autoSpaceDN w:val="0"/>
        <w:adjustRightInd w:val="0"/>
        <w:spacing w:after="0" w:line="240" w:lineRule="auto"/>
        <w:jc w:val="both"/>
        <w:rPr>
          <w:rFonts w:eastAsia="Calibri" w:cs="Calibri"/>
          <w:lang w:eastAsia="it-IT"/>
        </w:rPr>
      </w:pPr>
      <w:r w:rsidRPr="0054084F">
        <w:rPr>
          <w:rFonts w:eastAsia="Calibri" w:cs="Calibri"/>
          <w:b/>
          <w:bCs/>
          <w:lang w:eastAsia="it-IT"/>
        </w:rPr>
        <w:t xml:space="preserve">4) COME È STATO STUDIATO </w:t>
      </w:r>
      <w:proofErr w:type="spellStart"/>
      <w:r w:rsidR="0054084F" w:rsidRPr="0054084F">
        <w:rPr>
          <w:rFonts w:eastAsia="Calibri" w:cs="Calibri"/>
          <w:b/>
          <w:bCs/>
          <w:color w:val="000000"/>
          <w:lang w:eastAsia="it-IT"/>
        </w:rPr>
        <w:t>Somun</w:t>
      </w:r>
      <w:proofErr w:type="spellEnd"/>
      <w:r w:rsidRPr="0054084F">
        <w:rPr>
          <w:rFonts w:eastAsia="Calibri" w:cs="Calibri"/>
          <w:b/>
          <w:bCs/>
          <w:lang w:eastAsia="it-IT"/>
        </w:rPr>
        <w:t xml:space="preserve">? </w:t>
      </w:r>
    </w:p>
    <w:p w:rsidR="00FF0EC7" w:rsidRPr="00FC69FD" w:rsidRDefault="00FF0EC7" w:rsidP="00FF0EC7">
      <w:pPr>
        <w:spacing w:after="0" w:line="240" w:lineRule="auto"/>
        <w:jc w:val="both"/>
        <w:rPr>
          <w:rFonts w:cs="Arial"/>
        </w:rPr>
      </w:pPr>
      <w:r w:rsidRPr="00FC69FD">
        <w:rPr>
          <w:rFonts w:cs="Arial"/>
        </w:rPr>
        <w:t xml:space="preserve">Poiché </w:t>
      </w:r>
      <w:proofErr w:type="spellStart"/>
      <w:r>
        <w:rPr>
          <w:rFonts w:cs="Arial"/>
        </w:rPr>
        <w:t>Somun</w:t>
      </w:r>
      <w:proofErr w:type="spellEnd"/>
      <w:r w:rsidRPr="00FC69FD">
        <w:rPr>
          <w:rFonts w:cs="Arial"/>
        </w:rPr>
        <w:t xml:space="preserve"> è un medicinale generico, è stato sufficiente effettuare prove cliniche per determinare</w:t>
      </w:r>
      <w:r w:rsidRPr="00FC69FD">
        <w:rPr>
          <w:rFonts w:cs="Arial"/>
          <w:b/>
        </w:rPr>
        <w:t xml:space="preserve"> </w:t>
      </w:r>
      <w:r w:rsidRPr="00FC69FD">
        <w:rPr>
          <w:rFonts w:cs="Arial"/>
        </w:rPr>
        <w:t xml:space="preserve">la bioequivalenza rispetto al medicinale di riferimento </w:t>
      </w:r>
      <w:proofErr w:type="spellStart"/>
      <w:r>
        <w:rPr>
          <w:rFonts w:cs="Arial"/>
        </w:rPr>
        <w:t>Panadol</w:t>
      </w:r>
      <w:proofErr w:type="spellEnd"/>
      <w:r w:rsidRPr="00FC69FD">
        <w:rPr>
          <w:rFonts w:cs="Arial"/>
        </w:rPr>
        <w:t xml:space="preserve">. Due medicinali sono </w:t>
      </w:r>
      <w:proofErr w:type="spellStart"/>
      <w:r w:rsidRPr="00FC69FD">
        <w:rPr>
          <w:rFonts w:cs="Arial"/>
        </w:rPr>
        <w:t>bioequivalenti</w:t>
      </w:r>
      <w:proofErr w:type="spellEnd"/>
      <w:r w:rsidRPr="00FC69FD">
        <w:rPr>
          <w:rFonts w:cs="Arial"/>
        </w:rPr>
        <w:t xml:space="preserve"> quando producono gli stessi livelli di principio attivo nell’organismo. </w:t>
      </w:r>
    </w:p>
    <w:p w:rsidR="00BB0DBA" w:rsidRPr="0054084F" w:rsidRDefault="00BB0DBA" w:rsidP="0054084F">
      <w:pPr>
        <w:autoSpaceDE w:val="0"/>
        <w:autoSpaceDN w:val="0"/>
        <w:adjustRightInd w:val="0"/>
        <w:spacing w:after="0" w:line="240" w:lineRule="auto"/>
        <w:jc w:val="both"/>
        <w:rPr>
          <w:rFonts w:eastAsia="Calibri" w:cs="Calibri"/>
          <w:b/>
          <w:bCs/>
          <w:lang w:eastAsia="it-IT"/>
        </w:rPr>
      </w:pPr>
    </w:p>
    <w:p w:rsidR="00BB0DBA" w:rsidRPr="0054084F" w:rsidRDefault="00BB0DBA" w:rsidP="0054084F">
      <w:pPr>
        <w:autoSpaceDE w:val="0"/>
        <w:autoSpaceDN w:val="0"/>
        <w:adjustRightInd w:val="0"/>
        <w:spacing w:after="0" w:line="240" w:lineRule="auto"/>
        <w:jc w:val="both"/>
        <w:rPr>
          <w:rFonts w:eastAsia="Calibri" w:cs="Calibri"/>
          <w:b/>
          <w:bCs/>
          <w:lang w:eastAsia="it-IT"/>
        </w:rPr>
      </w:pPr>
    </w:p>
    <w:p w:rsidR="004B1E51" w:rsidRPr="0054084F" w:rsidRDefault="004B1E51" w:rsidP="0054084F">
      <w:pPr>
        <w:autoSpaceDE w:val="0"/>
        <w:autoSpaceDN w:val="0"/>
        <w:adjustRightInd w:val="0"/>
        <w:spacing w:after="0" w:line="240" w:lineRule="auto"/>
        <w:jc w:val="both"/>
        <w:rPr>
          <w:rFonts w:eastAsia="Calibri" w:cs="Calibri"/>
          <w:lang w:eastAsia="it-IT"/>
        </w:rPr>
      </w:pPr>
      <w:r w:rsidRPr="0054084F">
        <w:rPr>
          <w:rFonts w:eastAsia="Calibri" w:cs="Calibri"/>
          <w:b/>
          <w:bCs/>
          <w:lang w:eastAsia="it-IT"/>
        </w:rPr>
        <w:t xml:space="preserve">5) QUAL È IL RAPPORTO BENEFICIO/RISCHIO di </w:t>
      </w:r>
      <w:proofErr w:type="spellStart"/>
      <w:r w:rsidR="0054084F" w:rsidRPr="0054084F">
        <w:rPr>
          <w:rFonts w:eastAsia="Calibri" w:cs="Calibri"/>
          <w:b/>
          <w:bCs/>
          <w:color w:val="000000"/>
          <w:lang w:eastAsia="it-IT"/>
        </w:rPr>
        <w:t>Somun</w:t>
      </w:r>
      <w:proofErr w:type="spellEnd"/>
      <w:r w:rsidRPr="0054084F">
        <w:rPr>
          <w:rFonts w:eastAsia="Calibri" w:cs="Calibri"/>
          <w:b/>
          <w:lang w:eastAsia="it-IT"/>
        </w:rPr>
        <w:t>?</w:t>
      </w:r>
      <w:r w:rsidRPr="0054084F">
        <w:rPr>
          <w:rFonts w:eastAsia="Calibri" w:cs="Calibri"/>
          <w:lang w:eastAsia="it-IT"/>
        </w:rPr>
        <w:t xml:space="preserve"> </w:t>
      </w:r>
    </w:p>
    <w:p w:rsidR="004B1E51" w:rsidRPr="002A3F14" w:rsidRDefault="0054084F" w:rsidP="0054084F">
      <w:pPr>
        <w:autoSpaceDE w:val="0"/>
        <w:autoSpaceDN w:val="0"/>
        <w:adjustRightInd w:val="0"/>
        <w:spacing w:after="0" w:line="240" w:lineRule="auto"/>
        <w:jc w:val="both"/>
        <w:rPr>
          <w:rFonts w:eastAsia="Calibri" w:cs="Calibri"/>
          <w:lang w:eastAsia="it-IT"/>
        </w:rPr>
      </w:pPr>
      <w:proofErr w:type="spellStart"/>
      <w:r w:rsidRPr="0054084F">
        <w:rPr>
          <w:rFonts w:eastAsia="Calibri" w:cs="Calibri"/>
          <w:bCs/>
          <w:color w:val="000000"/>
          <w:lang w:eastAsia="it-IT"/>
        </w:rPr>
        <w:t>Somun</w:t>
      </w:r>
      <w:proofErr w:type="spellEnd"/>
      <w:r w:rsidR="004B1E51" w:rsidRPr="0054084F">
        <w:rPr>
          <w:rFonts w:eastAsia="Calibri" w:cs="Calibri"/>
          <w:bCs/>
          <w:color w:val="000000"/>
          <w:lang w:eastAsia="it-IT"/>
        </w:rPr>
        <w:t xml:space="preserve"> </w:t>
      </w:r>
      <w:r w:rsidR="004B1E51" w:rsidRPr="0054084F">
        <w:rPr>
          <w:rFonts w:eastAsia="Calibri" w:cs="Calibri"/>
          <w:lang w:eastAsia="it-IT"/>
        </w:rPr>
        <w:t>è un medicinale generico</w:t>
      </w:r>
      <w:r w:rsidR="00BB0DBA" w:rsidRPr="0054084F">
        <w:rPr>
          <w:rFonts w:eastAsia="Calibri" w:cs="Calibri"/>
          <w:lang w:eastAsia="it-IT"/>
        </w:rPr>
        <w:t xml:space="preserve"> ed è </w:t>
      </w:r>
      <w:proofErr w:type="spellStart"/>
      <w:r w:rsidR="00BB0DBA" w:rsidRPr="0054084F">
        <w:rPr>
          <w:rFonts w:eastAsia="Calibri" w:cs="Calibri"/>
          <w:lang w:eastAsia="it-IT"/>
        </w:rPr>
        <w:t>bioequivalente</w:t>
      </w:r>
      <w:proofErr w:type="spellEnd"/>
      <w:r w:rsidR="00BB0DBA" w:rsidRPr="0054084F">
        <w:rPr>
          <w:rFonts w:eastAsia="Calibri" w:cs="Calibri"/>
          <w:lang w:eastAsia="it-IT"/>
        </w:rPr>
        <w:t xml:space="preserve"> al medicinale di riferimento;</w:t>
      </w:r>
      <w:r w:rsidR="004B1E51" w:rsidRPr="0054084F">
        <w:rPr>
          <w:rFonts w:eastAsia="Calibri" w:cs="Calibri"/>
          <w:lang w:eastAsia="it-IT"/>
        </w:rPr>
        <w:t xml:space="preserve"> pertanto, i</w:t>
      </w:r>
      <w:r w:rsidR="004B1E51" w:rsidRPr="004B1E51">
        <w:rPr>
          <w:rFonts w:eastAsia="Calibri" w:cs="Calibri"/>
          <w:lang w:eastAsia="it-IT"/>
        </w:rPr>
        <w:t xml:space="preserve"> suoi benefici e rischi sono sovrapponibili a quelli del medicinale di riferimento.</w:t>
      </w:r>
      <w:r w:rsidR="004B1E51" w:rsidRPr="002A3F14">
        <w:rPr>
          <w:rFonts w:eastAsia="Calibri" w:cs="Calibri"/>
          <w:lang w:eastAsia="it-IT"/>
        </w:rPr>
        <w:t xml:space="preserve"> </w:t>
      </w:r>
    </w:p>
    <w:p w:rsidR="004241AC" w:rsidRPr="00CB3303" w:rsidRDefault="004241AC" w:rsidP="00CB3303">
      <w:pPr>
        <w:autoSpaceDE w:val="0"/>
        <w:autoSpaceDN w:val="0"/>
        <w:adjustRightInd w:val="0"/>
        <w:spacing w:after="0" w:line="240" w:lineRule="auto"/>
        <w:jc w:val="both"/>
        <w:rPr>
          <w:rFonts w:eastAsia="Calibri" w:cs="Calibri"/>
          <w:lang w:eastAsia="it-IT"/>
        </w:rPr>
      </w:pPr>
    </w:p>
    <w:p w:rsidR="009A4251" w:rsidRPr="00CB3303" w:rsidRDefault="009A4251" w:rsidP="00CB3303">
      <w:pPr>
        <w:autoSpaceDE w:val="0"/>
        <w:autoSpaceDN w:val="0"/>
        <w:adjustRightInd w:val="0"/>
        <w:spacing w:after="0" w:line="240" w:lineRule="auto"/>
        <w:jc w:val="both"/>
        <w:rPr>
          <w:rFonts w:eastAsia="Calibri" w:cs="Calibri"/>
          <w:lang w:eastAsia="it-IT"/>
        </w:rPr>
      </w:pPr>
    </w:p>
    <w:p w:rsidR="004241AC" w:rsidRPr="00CB3303" w:rsidRDefault="004241AC" w:rsidP="00CB3303">
      <w:pPr>
        <w:autoSpaceDE w:val="0"/>
        <w:autoSpaceDN w:val="0"/>
        <w:adjustRightInd w:val="0"/>
        <w:spacing w:after="0" w:line="240" w:lineRule="auto"/>
        <w:jc w:val="both"/>
        <w:rPr>
          <w:rFonts w:eastAsia="Calibri" w:cs="Calibri"/>
          <w:lang w:eastAsia="it-IT"/>
        </w:rPr>
      </w:pPr>
      <w:r w:rsidRPr="00CB3303">
        <w:rPr>
          <w:rFonts w:eastAsia="Calibri" w:cs="Calibri"/>
          <w:b/>
          <w:bCs/>
          <w:lang w:eastAsia="it-IT"/>
        </w:rPr>
        <w:t xml:space="preserve">6) PERCHE’ </w:t>
      </w:r>
      <w:proofErr w:type="spellStart"/>
      <w:r w:rsidR="0054084F">
        <w:rPr>
          <w:rFonts w:eastAsia="Calibri" w:cs="Calibri"/>
          <w:b/>
          <w:bCs/>
          <w:color w:val="000000"/>
          <w:lang w:eastAsia="it-IT"/>
        </w:rPr>
        <w:t>Somun</w:t>
      </w:r>
      <w:proofErr w:type="spellEnd"/>
      <w:r w:rsidR="009B03DB" w:rsidRPr="00CB3303">
        <w:rPr>
          <w:rFonts w:eastAsia="Calibri" w:cs="Calibri"/>
          <w:b/>
          <w:bCs/>
          <w:color w:val="000000"/>
          <w:lang w:eastAsia="it-IT"/>
        </w:rPr>
        <w:t xml:space="preserve"> </w:t>
      </w:r>
      <w:r w:rsidRPr="00CB3303">
        <w:rPr>
          <w:rFonts w:eastAsia="Calibri" w:cs="Calibri"/>
          <w:b/>
          <w:bCs/>
          <w:lang w:eastAsia="it-IT"/>
        </w:rPr>
        <w:t xml:space="preserve">E’ STATO APPROVATO? </w:t>
      </w:r>
    </w:p>
    <w:p w:rsidR="004B1E51" w:rsidRDefault="0017631B" w:rsidP="004B1E51">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w:t>
      </w:r>
      <w:r w:rsidR="004B1E51" w:rsidRPr="002A3F14">
        <w:rPr>
          <w:rFonts w:eastAsia="Calibri" w:cs="Calibri"/>
          <w:lang w:eastAsia="it-IT"/>
        </w:rPr>
        <w:t>Commissione Tecnico Scientifica (CTS)</w:t>
      </w:r>
      <w:r w:rsidR="0054084F">
        <w:rPr>
          <w:rFonts w:eastAsia="Calibri" w:cs="Calibri"/>
          <w:lang w:eastAsia="it-IT"/>
        </w:rPr>
        <w:t>,</w:t>
      </w:r>
      <w:r w:rsidR="004B1E51" w:rsidRPr="002A3F14">
        <w:rPr>
          <w:rFonts w:eastAsia="Calibri" w:cs="Calibri"/>
          <w:lang w:eastAsia="it-IT"/>
        </w:rPr>
        <w:t xml:space="preserve"> nella </w:t>
      </w:r>
      <w:r w:rsidR="004B1E51" w:rsidRPr="00CA3A1E">
        <w:rPr>
          <w:rFonts w:eastAsia="Calibri" w:cs="Calibri"/>
          <w:lang w:eastAsia="it-IT"/>
        </w:rPr>
        <w:t xml:space="preserve">seduta </w:t>
      </w:r>
      <w:r w:rsidR="004B1E51">
        <w:rPr>
          <w:rFonts w:eastAsia="Calibri" w:cs="Calibri"/>
          <w:lang w:eastAsia="it-IT"/>
        </w:rPr>
        <w:t xml:space="preserve">del </w:t>
      </w:r>
      <w:r w:rsidR="0054084F">
        <w:rPr>
          <w:rFonts w:eastAsia="Calibri" w:cs="Calibri"/>
          <w:lang w:eastAsia="it-IT"/>
        </w:rPr>
        <w:t xml:space="preserve">10-11 novembre 2014, </w:t>
      </w:r>
      <w:r w:rsidR="004B1E51">
        <w:rPr>
          <w:rFonts w:eastAsia="Calibri" w:cs="Calibri"/>
          <w:lang w:eastAsia="it-IT"/>
        </w:rPr>
        <w:t>ha concluso che, conformemente ai requisiti della normativa vigente, come nel cas</w:t>
      </w:r>
      <w:r w:rsidR="007552D9">
        <w:rPr>
          <w:rFonts w:eastAsia="Calibri" w:cs="Calibri"/>
          <w:lang w:eastAsia="it-IT"/>
        </w:rPr>
        <w:t>o del medicinale di riferimento</w:t>
      </w:r>
      <w:r w:rsidR="004B1E51">
        <w:rPr>
          <w:rFonts w:eastAsia="Calibri" w:cs="Calibri"/>
          <w:lang w:eastAsia="it-IT"/>
        </w:rPr>
        <w:t xml:space="preserve"> </w:t>
      </w:r>
      <w:proofErr w:type="spellStart"/>
      <w:r w:rsidR="0054084F">
        <w:rPr>
          <w:rFonts w:eastAsia="Calibri" w:cs="Calibri"/>
          <w:lang w:eastAsia="it-IT"/>
        </w:rPr>
        <w:t>Panadol</w:t>
      </w:r>
      <w:proofErr w:type="spellEnd"/>
      <w:r w:rsidR="004B1E51">
        <w:rPr>
          <w:rFonts w:eastAsia="Calibri" w:cs="Calibri"/>
          <w:lang w:eastAsia="it-IT"/>
        </w:rPr>
        <w:t xml:space="preserve">, i benefici di </w:t>
      </w:r>
      <w:proofErr w:type="spellStart"/>
      <w:r w:rsidR="0054084F">
        <w:rPr>
          <w:rFonts w:eastAsia="Calibri" w:cs="Calibri"/>
          <w:lang w:eastAsia="it-IT"/>
        </w:rPr>
        <w:t>Somun</w:t>
      </w:r>
      <w:proofErr w:type="spellEnd"/>
      <w:r w:rsidR="004B1E51">
        <w:rPr>
          <w:rFonts w:eastAsia="Calibri" w:cs="Calibri"/>
          <w:lang w:eastAsia="it-IT"/>
        </w:rPr>
        <w:t xml:space="preserve"> </w:t>
      </w:r>
      <w:r w:rsidR="004064E4">
        <w:rPr>
          <w:rFonts w:eastAsia="Calibri" w:cs="Calibri"/>
          <w:lang w:eastAsia="it-IT"/>
        </w:rPr>
        <w:t>sono</w:t>
      </w:r>
      <w:r w:rsidR="004B1E51">
        <w:rPr>
          <w:rFonts w:eastAsia="Calibri" w:cs="Calibri"/>
          <w:lang w:eastAsia="it-IT"/>
        </w:rPr>
        <w:t xml:space="preserve"> superiori ai rischi individuati. </w:t>
      </w:r>
      <w:r w:rsidR="007552D9">
        <w:rPr>
          <w:rFonts w:eastAsia="Calibri" w:cs="Calibri"/>
          <w:lang w:eastAsia="it-IT"/>
        </w:rPr>
        <w:t>L</w:t>
      </w:r>
      <w:r w:rsidR="0054084F">
        <w:rPr>
          <w:rFonts w:eastAsia="Calibri" w:cs="Calibri"/>
          <w:lang w:eastAsia="it-IT"/>
        </w:rPr>
        <w:t>a</w:t>
      </w:r>
      <w:r w:rsidR="007552D9">
        <w:rPr>
          <w:rFonts w:eastAsia="Calibri" w:cs="Calibri"/>
          <w:lang w:eastAsia="it-IT"/>
        </w:rPr>
        <w:t xml:space="preserve"> </w:t>
      </w:r>
      <w:r w:rsidR="0054084F">
        <w:rPr>
          <w:rFonts w:eastAsia="Calibri" w:cs="Calibri"/>
          <w:lang w:eastAsia="it-IT"/>
        </w:rPr>
        <w:t xml:space="preserve">CTS </w:t>
      </w:r>
      <w:r w:rsidR="007552D9">
        <w:rPr>
          <w:rFonts w:eastAsia="Calibri" w:cs="Calibri"/>
          <w:lang w:eastAsia="it-IT"/>
        </w:rPr>
        <w:t>ha</w:t>
      </w:r>
      <w:r w:rsidR="004B1E51">
        <w:rPr>
          <w:rFonts w:eastAsia="Calibri" w:cs="Calibri"/>
          <w:lang w:eastAsia="it-IT"/>
        </w:rPr>
        <w:t>, inoltre,</w:t>
      </w:r>
      <w:r w:rsidR="004B1E51" w:rsidRPr="002A3F14">
        <w:rPr>
          <w:rFonts w:eastAsia="Calibri" w:cs="Calibri"/>
          <w:lang w:eastAsia="it-IT"/>
        </w:rPr>
        <w:t xml:space="preserve"> </w:t>
      </w:r>
      <w:r w:rsidR="004B1E51">
        <w:rPr>
          <w:rFonts w:eastAsia="Calibri" w:cs="Calibri"/>
          <w:lang w:eastAsia="it-IT"/>
        </w:rPr>
        <w:t>definito</w:t>
      </w:r>
      <w:r w:rsidR="004B1E51" w:rsidRPr="002A3F14">
        <w:rPr>
          <w:rFonts w:eastAsia="Calibri" w:cs="Calibri"/>
          <w:lang w:eastAsia="it-IT"/>
        </w:rPr>
        <w:t xml:space="preserve"> le modalità d</w:t>
      </w:r>
      <w:r w:rsidR="007552D9">
        <w:rPr>
          <w:rFonts w:eastAsia="Calibri" w:cs="Calibri"/>
          <w:lang w:eastAsia="it-IT"/>
        </w:rPr>
        <w:t xml:space="preserve">i prescrizione di cui al punto </w:t>
      </w:r>
      <w:r w:rsidR="004B1E51" w:rsidRPr="002A3F14">
        <w:rPr>
          <w:rFonts w:eastAsia="Calibri" w:cs="Calibri"/>
          <w:lang w:eastAsia="it-IT"/>
        </w:rPr>
        <w:t xml:space="preserve">2) </w:t>
      </w:r>
      <w:r w:rsidR="004B1E51">
        <w:rPr>
          <w:rFonts w:eastAsia="Calibri" w:cs="Calibri"/>
          <w:lang w:eastAsia="it-IT"/>
        </w:rPr>
        <w:t>di questo Riassunto</w:t>
      </w:r>
      <w:r w:rsidR="004B1E51" w:rsidRPr="002A3F14">
        <w:rPr>
          <w:rFonts w:eastAsia="Calibri" w:cs="Calibri"/>
          <w:lang w:eastAsia="it-IT"/>
        </w:rPr>
        <w:t xml:space="preserve"> e la classe di rimborsabilità del medicinale</w:t>
      </w:r>
      <w:r w:rsidR="004B1E51">
        <w:rPr>
          <w:rFonts w:eastAsia="Calibri" w:cs="Calibri"/>
          <w:lang w:eastAsia="it-IT"/>
        </w:rPr>
        <w:t xml:space="preserve"> </w:t>
      </w:r>
      <w:r w:rsidR="004B1E51" w:rsidRPr="002A3F14">
        <w:rPr>
          <w:rFonts w:eastAsia="Calibri" w:cs="Calibri"/>
          <w:lang w:eastAsia="it-IT"/>
        </w:rPr>
        <w:t>(</w:t>
      </w:r>
      <w:proofErr w:type="spellStart"/>
      <w:r w:rsidR="007552D9">
        <w:rPr>
          <w:rFonts w:eastAsia="Calibri" w:cs="Calibri"/>
          <w:lang w:eastAsia="it-IT"/>
        </w:rPr>
        <w:t>C</w:t>
      </w:r>
      <w:r>
        <w:rPr>
          <w:rFonts w:eastAsia="Calibri" w:cs="Calibri"/>
          <w:lang w:eastAsia="it-IT"/>
        </w:rPr>
        <w:t>bis</w:t>
      </w:r>
      <w:proofErr w:type="spellEnd"/>
      <w:r w:rsidR="006C6F14">
        <w:rPr>
          <w:rFonts w:eastAsia="Calibri" w:cs="Calibri"/>
          <w:lang w:eastAsia="it-IT"/>
        </w:rPr>
        <w:t>)</w:t>
      </w:r>
      <w:r w:rsidR="004B1E51" w:rsidRPr="002A3F14">
        <w:rPr>
          <w:rFonts w:eastAsia="Calibri" w:cs="Calibri"/>
          <w:lang w:eastAsia="it-IT"/>
        </w:rPr>
        <w:t xml:space="preserve">. </w:t>
      </w:r>
    </w:p>
    <w:p w:rsidR="004241AC"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proofErr w:type="spellStart"/>
      <w:r w:rsidR="0054084F">
        <w:rPr>
          <w:rFonts w:eastAsia="Calibri" w:cs="Calibri"/>
          <w:b/>
          <w:bCs/>
          <w:color w:val="000000"/>
          <w:lang w:eastAsia="it-IT"/>
        </w:rPr>
        <w:t>Somun</w:t>
      </w:r>
      <w:proofErr w:type="spellEnd"/>
      <w:r w:rsidRPr="002A3F14">
        <w:rPr>
          <w:rFonts w:eastAsia="Calibri" w:cs="Calibri"/>
          <w:b/>
          <w:bCs/>
          <w:color w:val="000000"/>
          <w:lang w:eastAsia="it-IT"/>
        </w:rPr>
        <w:t>?</w:t>
      </w:r>
    </w:p>
    <w:p w:rsidR="004241AC" w:rsidRPr="002A3F14" w:rsidRDefault="00174C87"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proofErr w:type="spellStart"/>
      <w:r w:rsidR="0054084F">
        <w:rPr>
          <w:rFonts w:eastAsia="Calibri" w:cs="Calibri"/>
          <w:lang w:eastAsia="it-IT"/>
        </w:rPr>
        <w:t>Somun</w:t>
      </w:r>
      <w:proofErr w:type="spellEnd"/>
      <w:r w:rsidR="004241AC" w:rsidRPr="002A3F14">
        <w:rPr>
          <w:rFonts w:eastAsia="Calibri" w:cs="Calibri"/>
          <w:lang w:eastAsia="it-IT"/>
        </w:rPr>
        <w:t>.</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proofErr w:type="spellStart"/>
      <w:r w:rsidR="0054084F">
        <w:rPr>
          <w:rFonts w:eastAsia="Calibri" w:cs="Calibri"/>
          <w:b/>
          <w:bCs/>
          <w:color w:val="000000"/>
          <w:lang w:eastAsia="it-IT"/>
        </w:rPr>
        <w:t>Somun</w:t>
      </w:r>
      <w:proofErr w:type="spellEnd"/>
    </w:p>
    <w:p w:rsidR="0054084F" w:rsidRDefault="0054084F" w:rsidP="004241AC">
      <w:pPr>
        <w:autoSpaceDE w:val="0"/>
        <w:autoSpaceDN w:val="0"/>
        <w:adjustRightInd w:val="0"/>
        <w:spacing w:after="0" w:line="240" w:lineRule="auto"/>
        <w:jc w:val="both"/>
        <w:rPr>
          <w:rFonts w:eastAsia="Calibri" w:cs="Calibri"/>
          <w:bCs/>
          <w:color w:val="000000"/>
          <w:lang w:eastAsia="it-IT"/>
        </w:rPr>
      </w:pPr>
      <w:r w:rsidRPr="000B7E92">
        <w:rPr>
          <w:rFonts w:eastAsia="Calibri" w:cs="Calibri"/>
          <w:bCs/>
          <w:iCs/>
          <w:lang w:eastAsia="it-IT"/>
        </w:rPr>
        <w:t xml:space="preserve">Il </w:t>
      </w:r>
      <w:r w:rsidR="000B7E92" w:rsidRPr="000B7E92">
        <w:rPr>
          <w:rFonts w:eastAsia="Calibri" w:cs="Calibri"/>
          <w:bCs/>
          <w:iCs/>
          <w:lang w:eastAsia="it-IT"/>
        </w:rPr>
        <w:t>18 giugno 2015</w:t>
      </w:r>
      <w:r w:rsidRPr="000B7E92">
        <w:rPr>
          <w:rFonts w:eastAsia="Calibri" w:cs="Calibri"/>
          <w:bCs/>
          <w:iCs/>
          <w:lang w:eastAsia="it-IT"/>
        </w:rPr>
        <w:t xml:space="preserve"> l</w:t>
      </w:r>
      <w:r w:rsidR="004241AC" w:rsidRPr="000B7E92">
        <w:rPr>
          <w:rFonts w:eastAsia="Calibri" w:cs="Calibri"/>
          <w:bCs/>
          <w:iCs/>
          <w:lang w:eastAsia="it-IT"/>
        </w:rPr>
        <w:t xml:space="preserve">’AIFA ha rilasciato l’autorizzazione all’immissione in commercio di </w:t>
      </w:r>
      <w:proofErr w:type="spellStart"/>
      <w:r w:rsidRPr="000B7E92">
        <w:rPr>
          <w:rFonts w:eastAsia="Calibri" w:cs="Calibri"/>
          <w:bCs/>
          <w:color w:val="000000"/>
          <w:lang w:eastAsia="it-IT"/>
        </w:rPr>
        <w:t>Somun</w:t>
      </w:r>
      <w:proofErr w:type="spellEnd"/>
      <w:r w:rsidRPr="000B7E92">
        <w:rPr>
          <w:rFonts w:eastAsia="Calibri" w:cs="Calibri"/>
          <w:bCs/>
          <w:color w:val="000000"/>
          <w:lang w:eastAsia="it-IT"/>
        </w:rPr>
        <w:t>.</w:t>
      </w:r>
    </w:p>
    <w:p w:rsidR="00AF3380" w:rsidRDefault="00AF3380" w:rsidP="004241AC">
      <w:pPr>
        <w:autoSpaceDE w:val="0"/>
        <w:autoSpaceDN w:val="0"/>
        <w:adjustRightInd w:val="0"/>
        <w:spacing w:after="0" w:line="240" w:lineRule="auto"/>
        <w:jc w:val="both"/>
        <w:rPr>
          <w:rFonts w:eastAsia="Calibri" w:cs="Calibri"/>
          <w:lang w:eastAsia="it-IT"/>
        </w:rPr>
      </w:pPr>
    </w:p>
    <w:p w:rsidR="00AF3380" w:rsidRDefault="00AF3380" w:rsidP="00AF3380">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proofErr w:type="spellStart"/>
      <w:r w:rsidR="0054084F">
        <w:rPr>
          <w:rFonts w:eastAsia="Calibri" w:cs="Calibri"/>
          <w:bCs/>
          <w:color w:val="000000"/>
          <w:lang w:eastAsia="it-IT"/>
        </w:rPr>
        <w:t>Somun</w:t>
      </w:r>
      <w:proofErr w:type="spellEnd"/>
      <w:r>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BB0DBA">
        <w:rPr>
          <w:rFonts w:eastAsia="Calibri" w:cs="Calibri"/>
          <w:lang w:eastAsia="it-IT"/>
        </w:rPr>
        <w:t>(</w:t>
      </w:r>
      <w:hyperlink r:id="rId6" w:history="1">
        <w:r w:rsidR="00BB0DBA" w:rsidRPr="00942845">
          <w:rPr>
            <w:rStyle w:val="Collegamentoipertestuale"/>
            <w:rFonts w:eastAsia="Calibri" w:cs="Calibri"/>
            <w:lang w:eastAsia="it-IT"/>
          </w:rPr>
          <w:t>https://farmaci.agenziafarmaco.gov.it/bancadatifarmaci</w:t>
        </w:r>
      </w:hyperlink>
      <w:r w:rsidR="00BB0DBA">
        <w:rPr>
          <w:rFonts w:eastAsia="Calibri" w:cs="Calibri"/>
          <w:lang w:eastAsia="it-IT"/>
        </w:rPr>
        <w:t xml:space="preserve">) </w:t>
      </w:r>
      <w:r w:rsidRPr="002A3F14">
        <w:rPr>
          <w:rFonts w:eastAsia="Calibri" w:cs="Calibri"/>
          <w:lang w:eastAsia="it-IT"/>
        </w:rPr>
        <w:t>o contattare il medico</w:t>
      </w:r>
      <w:r w:rsidR="007A4597">
        <w:rPr>
          <w:rFonts w:eastAsia="Calibri" w:cs="Calibri"/>
          <w:lang w:eastAsia="it-IT"/>
        </w:rPr>
        <w:t xml:space="preserve"> o il farmacista</w:t>
      </w:r>
      <w:r w:rsidRPr="002A3F14">
        <w:rPr>
          <w:rFonts w:eastAsia="Calibri" w:cs="Calibri"/>
          <w:lang w:eastAsia="it-IT"/>
        </w:rPr>
        <w:t xml:space="preserve">. </w:t>
      </w: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p>
    <w:p w:rsidR="004241AC" w:rsidRPr="002A3F14"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data </w:t>
      </w:r>
      <w:r w:rsidR="00E36801">
        <w:rPr>
          <w:rFonts w:eastAsia="Calibri" w:cs="Calibri"/>
          <w:lang w:eastAsia="it-IT"/>
        </w:rPr>
        <w:t>09.07.2015</w:t>
      </w:r>
      <w:r w:rsidRPr="002A3F14">
        <w:rPr>
          <w:rFonts w:eastAsia="Calibri" w:cs="Calibri"/>
          <w:lang w:eastAsia="it-IT"/>
        </w:rPr>
        <w:t xml:space="preserve">. </w:t>
      </w:r>
    </w:p>
    <w:p w:rsidR="004241AC" w:rsidRDefault="004241AC" w:rsidP="004241AC">
      <w:pPr>
        <w:spacing w:after="0" w:line="240" w:lineRule="auto"/>
        <w:jc w:val="both"/>
      </w:pPr>
    </w:p>
    <w:p w:rsidR="004241AC" w:rsidRPr="002A3F14" w:rsidRDefault="004241AC" w:rsidP="004241AC">
      <w:pPr>
        <w:spacing w:after="0" w:line="240" w:lineRule="auto"/>
        <w:jc w:val="both"/>
      </w:pPr>
    </w:p>
    <w:p w:rsidR="009A260F" w:rsidRDefault="009A260F"/>
    <w:p w:rsidR="00AF3380" w:rsidRDefault="00AF3380"/>
    <w:p w:rsidR="00AF3380" w:rsidRDefault="00AF3380"/>
    <w:p w:rsidR="00AF3380" w:rsidRDefault="00AF3380"/>
    <w:p w:rsidR="00AF3380" w:rsidRDefault="00AF3380"/>
    <w:p w:rsidR="00AF3380" w:rsidRDefault="00AF3380" w:rsidP="00AF3380">
      <w:pPr>
        <w:spacing w:after="0" w:line="240" w:lineRule="auto"/>
        <w:jc w:val="center"/>
        <w:rPr>
          <w:b/>
          <w:sz w:val="28"/>
        </w:rPr>
      </w:pPr>
      <w:r>
        <w:rPr>
          <w:b/>
          <w:sz w:val="28"/>
        </w:rPr>
        <w:t xml:space="preserve">RELAZIONE PUBBLICA </w:t>
      </w:r>
      <w:proofErr w:type="spellStart"/>
      <w:r>
        <w:rPr>
          <w:b/>
          <w:sz w:val="28"/>
        </w:rPr>
        <w:t>DI</w:t>
      </w:r>
      <w:proofErr w:type="spellEnd"/>
      <w:r>
        <w:rPr>
          <w:b/>
          <w:sz w:val="28"/>
        </w:rPr>
        <w:t xml:space="preserve"> VALUTAZIONE</w:t>
      </w:r>
    </w:p>
    <w:p w:rsidR="00AF3380" w:rsidRDefault="00AF3380" w:rsidP="00AF3380">
      <w:pPr>
        <w:spacing w:after="0" w:line="240" w:lineRule="auto"/>
        <w:jc w:val="center"/>
        <w:rPr>
          <w:b/>
        </w:rPr>
      </w:pPr>
    </w:p>
    <w:p w:rsidR="00AF3380" w:rsidRDefault="00AF3380" w:rsidP="00AF3380">
      <w:pPr>
        <w:spacing w:after="0" w:line="240" w:lineRule="auto"/>
        <w:jc w:val="center"/>
        <w:rPr>
          <w:b/>
        </w:rPr>
      </w:pPr>
    </w:p>
    <w:p w:rsidR="00AF3380" w:rsidRDefault="00AF3380" w:rsidP="00AF3380">
      <w:pPr>
        <w:spacing w:after="0" w:line="240" w:lineRule="auto"/>
        <w:jc w:val="center"/>
        <w:rPr>
          <w:b/>
        </w:rPr>
      </w:pPr>
    </w:p>
    <w:p w:rsidR="00AF3380" w:rsidRDefault="00AF3380" w:rsidP="00AF3380">
      <w:pPr>
        <w:spacing w:after="0" w:line="240" w:lineRule="auto"/>
        <w:jc w:val="center"/>
        <w:rPr>
          <w:b/>
        </w:rPr>
      </w:pPr>
    </w:p>
    <w:p w:rsidR="00AF3380" w:rsidRPr="0033523E" w:rsidRDefault="00AF3380" w:rsidP="00AF3380">
      <w:pPr>
        <w:spacing w:after="0" w:line="240" w:lineRule="auto"/>
        <w:jc w:val="center"/>
        <w:rPr>
          <w:b/>
        </w:rPr>
      </w:pPr>
      <w:r w:rsidRPr="0033523E">
        <w:rPr>
          <w:b/>
        </w:rPr>
        <w:t>INDICE</w:t>
      </w:r>
    </w:p>
    <w:p w:rsidR="00AF3380" w:rsidRDefault="00AF3380" w:rsidP="00AF3380">
      <w:pPr>
        <w:spacing w:after="0" w:line="240" w:lineRule="auto"/>
        <w:jc w:val="both"/>
      </w:pPr>
    </w:p>
    <w:p w:rsidR="00AF3380" w:rsidRDefault="00AF3380" w:rsidP="00AF3380">
      <w:pPr>
        <w:spacing w:after="0" w:line="240" w:lineRule="auto"/>
        <w:jc w:val="both"/>
      </w:pPr>
    </w:p>
    <w:p w:rsidR="00AF3380" w:rsidRDefault="00AF3380" w:rsidP="00AF3380">
      <w:pPr>
        <w:spacing w:after="0" w:line="240" w:lineRule="auto"/>
        <w:jc w:val="both"/>
      </w:pPr>
    </w:p>
    <w:p w:rsidR="00AF3380" w:rsidRPr="008206E7" w:rsidRDefault="00AF3380" w:rsidP="00AF3380">
      <w:pPr>
        <w:pStyle w:val="Paragrafoelenco"/>
        <w:numPr>
          <w:ilvl w:val="0"/>
          <w:numId w:val="4"/>
        </w:numPr>
        <w:spacing w:after="0" w:line="240" w:lineRule="auto"/>
        <w:rPr>
          <w:b/>
        </w:rPr>
      </w:pPr>
      <w:r w:rsidRPr="008206E7">
        <w:rPr>
          <w:b/>
        </w:rPr>
        <w:t>INTRODUZIONE</w:t>
      </w:r>
    </w:p>
    <w:p w:rsidR="00AF3380" w:rsidRPr="002A3F14" w:rsidRDefault="00AF3380" w:rsidP="00AF3380">
      <w:pPr>
        <w:spacing w:after="0" w:line="240" w:lineRule="auto"/>
        <w:jc w:val="both"/>
      </w:pPr>
    </w:p>
    <w:p w:rsidR="00AF3380" w:rsidRDefault="00AF3380" w:rsidP="00AF3380">
      <w:pPr>
        <w:pStyle w:val="Paragrafoelenco"/>
        <w:numPr>
          <w:ilvl w:val="0"/>
          <w:numId w:val="4"/>
        </w:numPr>
        <w:spacing w:after="0" w:line="240" w:lineRule="auto"/>
        <w:jc w:val="both"/>
        <w:rPr>
          <w:b/>
        </w:rPr>
      </w:pPr>
      <w:r>
        <w:rPr>
          <w:b/>
        </w:rPr>
        <w:t xml:space="preserve">ASPETTI </w:t>
      </w:r>
      <w:proofErr w:type="spellStart"/>
      <w:r>
        <w:rPr>
          <w:b/>
        </w:rPr>
        <w:t>DI</w:t>
      </w:r>
      <w:proofErr w:type="spellEnd"/>
      <w:r>
        <w:rPr>
          <w:b/>
        </w:rPr>
        <w:t xml:space="preserve"> </w:t>
      </w:r>
      <w:r w:rsidRPr="006B2CC3">
        <w:rPr>
          <w:b/>
        </w:rPr>
        <w:t>QUALITA’</w:t>
      </w:r>
    </w:p>
    <w:p w:rsidR="00AF3380" w:rsidRPr="0033523E" w:rsidRDefault="00AF3380" w:rsidP="00AF3380">
      <w:pPr>
        <w:pStyle w:val="Paragrafoelenco"/>
        <w:rPr>
          <w:b/>
        </w:rPr>
      </w:pPr>
    </w:p>
    <w:p w:rsidR="00AF3380" w:rsidRDefault="00AF3380" w:rsidP="00AF3380">
      <w:pPr>
        <w:pStyle w:val="Paragrafoelenco"/>
        <w:numPr>
          <w:ilvl w:val="0"/>
          <w:numId w:val="4"/>
        </w:numPr>
        <w:spacing w:after="0" w:line="240" w:lineRule="auto"/>
        <w:jc w:val="both"/>
        <w:rPr>
          <w:b/>
        </w:rPr>
      </w:pPr>
      <w:r w:rsidRPr="00DF7B22">
        <w:rPr>
          <w:b/>
        </w:rPr>
        <w:t>ASPETTI NON CLINICI</w:t>
      </w:r>
    </w:p>
    <w:p w:rsidR="00AF3380" w:rsidRPr="0033523E" w:rsidRDefault="00AF3380" w:rsidP="00AF3380">
      <w:pPr>
        <w:pStyle w:val="Paragrafoelenco"/>
        <w:rPr>
          <w:b/>
        </w:rPr>
      </w:pPr>
    </w:p>
    <w:p w:rsidR="00AF3380" w:rsidRDefault="00AF3380" w:rsidP="00AF3380">
      <w:pPr>
        <w:pStyle w:val="Paragrafoelenco"/>
        <w:numPr>
          <w:ilvl w:val="0"/>
          <w:numId w:val="4"/>
        </w:numPr>
        <w:spacing w:after="0" w:line="240" w:lineRule="auto"/>
        <w:jc w:val="both"/>
        <w:rPr>
          <w:b/>
        </w:rPr>
      </w:pPr>
      <w:r w:rsidRPr="005A38F5">
        <w:rPr>
          <w:b/>
        </w:rPr>
        <w:t>A</w:t>
      </w:r>
      <w:r>
        <w:rPr>
          <w:b/>
        </w:rPr>
        <w:t>S</w:t>
      </w:r>
      <w:r w:rsidRPr="005A38F5">
        <w:rPr>
          <w:b/>
        </w:rPr>
        <w:t>PETTI CLINICI</w:t>
      </w:r>
    </w:p>
    <w:p w:rsidR="00AF3380" w:rsidRPr="0033523E" w:rsidRDefault="00AF3380" w:rsidP="00AF3380">
      <w:pPr>
        <w:pStyle w:val="Paragrafoelenco"/>
        <w:rPr>
          <w:b/>
        </w:rPr>
      </w:pPr>
    </w:p>
    <w:p w:rsidR="00AF3380" w:rsidRPr="002E4DCB" w:rsidRDefault="00AF3380" w:rsidP="00AF3380">
      <w:pPr>
        <w:pStyle w:val="Paragrafoelenco"/>
        <w:numPr>
          <w:ilvl w:val="0"/>
          <w:numId w:val="4"/>
        </w:numPr>
        <w:spacing w:after="0" w:line="240" w:lineRule="auto"/>
        <w:jc w:val="both"/>
        <w:rPr>
          <w:b/>
        </w:rPr>
      </w:pPr>
      <w:r w:rsidRPr="002E4DCB">
        <w:rPr>
          <w:b/>
        </w:rPr>
        <w:t xml:space="preserve">CONSULTAZIONE </w:t>
      </w:r>
      <w:r>
        <w:rPr>
          <w:b/>
        </w:rPr>
        <w:t>SUL FOGLIO ILLUSTRATIVO</w:t>
      </w:r>
    </w:p>
    <w:p w:rsidR="00AF3380" w:rsidRDefault="00AF3380" w:rsidP="00AF3380">
      <w:pPr>
        <w:pStyle w:val="Paragrafoelenco"/>
        <w:spacing w:after="0" w:line="240" w:lineRule="auto"/>
        <w:ind w:left="1080"/>
        <w:jc w:val="both"/>
        <w:rPr>
          <w:b/>
        </w:rPr>
      </w:pPr>
    </w:p>
    <w:p w:rsidR="00AF3380" w:rsidRPr="00BC23ED" w:rsidRDefault="00AF3380" w:rsidP="00AF3380">
      <w:pPr>
        <w:pStyle w:val="Paragrafoelenco"/>
        <w:numPr>
          <w:ilvl w:val="0"/>
          <w:numId w:val="4"/>
        </w:numPr>
        <w:spacing w:after="0" w:line="240" w:lineRule="auto"/>
        <w:jc w:val="both"/>
        <w:rPr>
          <w:b/>
        </w:rPr>
      </w:pPr>
      <w:r w:rsidRPr="00BC23ED">
        <w:rPr>
          <w:b/>
        </w:rPr>
        <w:t>CONCLUSIONI, VALUTAZIONE DEL RAPPORTO BENEFICIO/RISCHIO E RACCOMANDAZIONI</w:t>
      </w:r>
    </w:p>
    <w:p w:rsidR="00AF3380" w:rsidRDefault="00AF3380" w:rsidP="00AF3380"/>
    <w:p w:rsidR="00AF3380" w:rsidRDefault="00AF3380" w:rsidP="00AF3380"/>
    <w:p w:rsidR="00AF3380" w:rsidRDefault="00AF3380" w:rsidP="00AF3380"/>
    <w:p w:rsidR="00AF3380" w:rsidRDefault="00AF3380" w:rsidP="00AF3380"/>
    <w:p w:rsidR="00AF3380" w:rsidRDefault="00AF3380" w:rsidP="00AF3380"/>
    <w:p w:rsidR="00AF3380" w:rsidRDefault="00AF3380" w:rsidP="00AF3380"/>
    <w:p w:rsidR="00AF3380" w:rsidRDefault="00AF3380" w:rsidP="00AF3380"/>
    <w:p w:rsidR="00AF3380" w:rsidRDefault="00AF3380" w:rsidP="00AF3380"/>
    <w:p w:rsidR="00AF3380" w:rsidRDefault="00AF3380" w:rsidP="00AF3380"/>
    <w:p w:rsidR="00AF3380" w:rsidRDefault="00AF3380" w:rsidP="00AF3380"/>
    <w:p w:rsidR="00AF3380" w:rsidRDefault="00AF3380" w:rsidP="00AF3380"/>
    <w:p w:rsidR="00AF3380" w:rsidRDefault="00AF3380" w:rsidP="00AF3380"/>
    <w:p w:rsidR="00AF3380" w:rsidRDefault="00AF3380" w:rsidP="00AF3380"/>
    <w:p w:rsidR="00AF3380" w:rsidRDefault="00AF3380" w:rsidP="00AF3380"/>
    <w:p w:rsidR="00AF3380" w:rsidRDefault="00AF3380" w:rsidP="00AF3380"/>
    <w:p w:rsidR="00AF3380" w:rsidRDefault="00AF3380" w:rsidP="00AF3380"/>
    <w:p w:rsidR="00AF3380" w:rsidRPr="008206E7" w:rsidRDefault="00AF3380" w:rsidP="00AF3380">
      <w:pPr>
        <w:pStyle w:val="Paragrafoelenco"/>
        <w:numPr>
          <w:ilvl w:val="0"/>
          <w:numId w:val="5"/>
        </w:numPr>
        <w:spacing w:after="0" w:line="240" w:lineRule="auto"/>
        <w:rPr>
          <w:b/>
        </w:rPr>
      </w:pPr>
      <w:r w:rsidRPr="008206E7">
        <w:rPr>
          <w:b/>
        </w:rPr>
        <w:lastRenderedPageBreak/>
        <w:t>INTRODUZIONE</w:t>
      </w:r>
    </w:p>
    <w:p w:rsidR="00AF3380" w:rsidRPr="009540E6" w:rsidRDefault="00AF3380" w:rsidP="009540E6">
      <w:pPr>
        <w:autoSpaceDE w:val="0"/>
        <w:autoSpaceDN w:val="0"/>
        <w:adjustRightInd w:val="0"/>
        <w:spacing w:after="0" w:line="240" w:lineRule="auto"/>
        <w:jc w:val="both"/>
      </w:pPr>
      <w:r w:rsidRPr="0008314C">
        <w:t xml:space="preserve">Sulla base dei dati di qualità, sicurezza ed efficacia, l’AIFA ha rilasciato a </w:t>
      </w:r>
      <w:proofErr w:type="spellStart"/>
      <w:r>
        <w:t>E-Pharma</w:t>
      </w:r>
      <w:proofErr w:type="spellEnd"/>
      <w:r>
        <w:t xml:space="preserve"> Trento</w:t>
      </w:r>
      <w:r w:rsidRPr="0008314C">
        <w:t xml:space="preserve"> l’autorizzazione </w:t>
      </w:r>
      <w:r w:rsidRPr="000B7E92">
        <w:t xml:space="preserve">all’immissione in commercio (AIC) per il medicinale </w:t>
      </w:r>
      <w:proofErr w:type="spellStart"/>
      <w:r w:rsidRPr="000B7E92">
        <w:t>Somun</w:t>
      </w:r>
      <w:proofErr w:type="spellEnd"/>
      <w:r w:rsidRPr="000B7E92">
        <w:t xml:space="preserve"> </w:t>
      </w:r>
      <w:r w:rsidRPr="000B7E92">
        <w:rPr>
          <w:rFonts w:eastAsia="Calibri" w:cs="Calibri"/>
          <w:bCs/>
          <w:iCs/>
          <w:lang w:eastAsia="it-IT"/>
        </w:rPr>
        <w:t xml:space="preserve">il </w:t>
      </w:r>
      <w:r w:rsidR="000B7E92" w:rsidRPr="000B7E92">
        <w:rPr>
          <w:rFonts w:eastAsia="Calibri" w:cs="Calibri"/>
          <w:bCs/>
          <w:iCs/>
          <w:lang w:eastAsia="it-IT"/>
        </w:rPr>
        <w:t xml:space="preserve">18 giugno </w:t>
      </w:r>
      <w:r w:rsidRPr="000B7E92">
        <w:rPr>
          <w:rFonts w:eastAsia="Calibri" w:cs="Calibri"/>
          <w:bCs/>
          <w:iCs/>
          <w:lang w:eastAsia="it-IT"/>
        </w:rPr>
        <w:t>2015</w:t>
      </w:r>
      <w:r w:rsidRPr="000B7E92">
        <w:t>.</w:t>
      </w:r>
      <w:r w:rsidRPr="009540E6">
        <w:t xml:space="preserve">  </w:t>
      </w:r>
    </w:p>
    <w:p w:rsidR="00AF3380" w:rsidRPr="009540E6" w:rsidRDefault="00AF3380" w:rsidP="009540E6">
      <w:pPr>
        <w:spacing w:after="0" w:line="240" w:lineRule="auto"/>
        <w:jc w:val="both"/>
      </w:pPr>
    </w:p>
    <w:p w:rsidR="00AF3380" w:rsidRPr="009540E6" w:rsidRDefault="00AF3380" w:rsidP="009540E6">
      <w:pPr>
        <w:autoSpaceDE w:val="0"/>
        <w:autoSpaceDN w:val="0"/>
        <w:adjustRightInd w:val="0"/>
        <w:spacing w:after="0" w:line="240" w:lineRule="auto"/>
        <w:jc w:val="both"/>
        <w:rPr>
          <w:rFonts w:eastAsia="Calibri" w:cs="Calibri"/>
          <w:color w:val="000000"/>
          <w:lang w:eastAsia="it-IT"/>
        </w:rPr>
      </w:pPr>
      <w:proofErr w:type="spellStart"/>
      <w:r w:rsidRPr="009540E6">
        <w:rPr>
          <w:rFonts w:eastAsia="Calibri" w:cs="Calibri"/>
          <w:color w:val="000000"/>
          <w:lang w:eastAsia="it-IT"/>
        </w:rPr>
        <w:t>Somun</w:t>
      </w:r>
      <w:proofErr w:type="spellEnd"/>
      <w:r w:rsidRPr="009540E6">
        <w:rPr>
          <w:rFonts w:eastAsia="Calibri" w:cs="Calibri"/>
          <w:color w:val="000000"/>
          <w:lang w:eastAsia="it-IT"/>
        </w:rPr>
        <w:t xml:space="preserve"> è un medicinale di automedicazione (OTC) e non necessita di prescrizione del medico.</w:t>
      </w:r>
    </w:p>
    <w:p w:rsidR="00AF3380" w:rsidRPr="009540E6" w:rsidRDefault="00AF3380" w:rsidP="009540E6">
      <w:pPr>
        <w:spacing w:after="0" w:line="240" w:lineRule="auto"/>
        <w:jc w:val="both"/>
      </w:pPr>
    </w:p>
    <w:p w:rsidR="00AF3380" w:rsidRPr="009540E6" w:rsidRDefault="00AF3380" w:rsidP="009540E6">
      <w:pPr>
        <w:spacing w:after="0" w:line="240" w:lineRule="auto"/>
        <w:jc w:val="both"/>
      </w:pPr>
      <w:r w:rsidRPr="009540E6">
        <w:t xml:space="preserve">Questa procedura è stata presentata ai sensi dell’art. 10(1) della Direttiva 2001/83/EU </w:t>
      </w:r>
      <w:proofErr w:type="spellStart"/>
      <w:r w:rsidRPr="009540E6">
        <w:t>s.m.i.</w:t>
      </w:r>
      <w:proofErr w:type="spellEnd"/>
    </w:p>
    <w:p w:rsidR="00AF3380" w:rsidRPr="009540E6" w:rsidRDefault="00AF3380" w:rsidP="009540E6">
      <w:pPr>
        <w:widowControl w:val="0"/>
        <w:spacing w:after="0" w:line="240" w:lineRule="auto"/>
        <w:jc w:val="both"/>
        <w:rPr>
          <w:rFonts w:eastAsia="Calibri" w:cs="Calibri"/>
          <w:bCs/>
          <w:color w:val="000000"/>
          <w:lang w:eastAsia="it-IT"/>
        </w:rPr>
      </w:pPr>
    </w:p>
    <w:p w:rsidR="00AF3380" w:rsidRPr="009540E6" w:rsidRDefault="00AF3380" w:rsidP="009540E6">
      <w:pPr>
        <w:widowControl w:val="0"/>
        <w:spacing w:after="0" w:line="240" w:lineRule="auto"/>
        <w:jc w:val="both"/>
        <w:rPr>
          <w:rFonts w:eastAsia="Calibri" w:cs="Calibri"/>
          <w:color w:val="000000"/>
          <w:lang w:eastAsia="it-IT"/>
        </w:rPr>
      </w:pPr>
      <w:proofErr w:type="spellStart"/>
      <w:r w:rsidRPr="009540E6">
        <w:rPr>
          <w:rFonts w:eastAsia="Calibri" w:cs="Calibri"/>
          <w:bCs/>
          <w:color w:val="000000"/>
          <w:lang w:eastAsia="it-IT"/>
        </w:rPr>
        <w:t>Somun</w:t>
      </w:r>
      <w:proofErr w:type="spellEnd"/>
      <w:r w:rsidRPr="009540E6">
        <w:rPr>
          <w:rFonts w:eastAsia="Calibri" w:cs="Calibri"/>
          <w:bCs/>
          <w:color w:val="000000"/>
          <w:lang w:eastAsia="it-IT"/>
        </w:rPr>
        <w:t xml:space="preserve"> </w:t>
      </w:r>
      <w:r w:rsidRPr="009540E6">
        <w:rPr>
          <w:rFonts w:eastAsia="Calibri" w:cs="Calibri"/>
          <w:color w:val="000000"/>
          <w:lang w:eastAsia="it-IT"/>
        </w:rPr>
        <w:t xml:space="preserve">è un medicinale generico contenente il principio attivo paracetamolo presente nel medicinale di riferimento </w:t>
      </w:r>
      <w:proofErr w:type="spellStart"/>
      <w:r w:rsidRPr="009540E6">
        <w:rPr>
          <w:rFonts w:eastAsia="Calibri" w:cs="Calibri"/>
          <w:color w:val="000000"/>
          <w:lang w:eastAsia="it-IT"/>
        </w:rPr>
        <w:t>Panadol</w:t>
      </w:r>
      <w:proofErr w:type="spellEnd"/>
      <w:r w:rsidRPr="009540E6">
        <w:rPr>
          <w:rFonts w:eastAsia="Calibri" w:cs="Calibri"/>
          <w:color w:val="000000"/>
          <w:lang w:eastAsia="it-IT"/>
        </w:rPr>
        <w:t>, autorizzato in Italia da più di 10 anni.</w:t>
      </w:r>
    </w:p>
    <w:p w:rsidR="00AF3380" w:rsidRPr="009540E6" w:rsidRDefault="00AF3380" w:rsidP="009540E6">
      <w:pPr>
        <w:spacing w:after="0" w:line="240" w:lineRule="auto"/>
        <w:jc w:val="both"/>
        <w:rPr>
          <w:highlight w:val="yellow"/>
        </w:rPr>
      </w:pPr>
    </w:p>
    <w:p w:rsidR="009540E6" w:rsidRPr="009540E6" w:rsidRDefault="00AF3380" w:rsidP="009540E6">
      <w:pPr>
        <w:spacing w:after="0" w:line="240" w:lineRule="auto"/>
        <w:jc w:val="both"/>
      </w:pPr>
      <w:proofErr w:type="spellStart"/>
      <w:r w:rsidRPr="009540E6">
        <w:rPr>
          <w:rFonts w:eastAsia="Calibri" w:cs="Calibri"/>
          <w:bCs/>
          <w:color w:val="000000"/>
          <w:lang w:eastAsia="it-IT"/>
        </w:rPr>
        <w:t>Somun</w:t>
      </w:r>
      <w:proofErr w:type="spellEnd"/>
      <w:r w:rsidRPr="009540E6">
        <w:rPr>
          <w:rFonts w:eastAsia="Calibri" w:cs="Calibri"/>
          <w:bCs/>
          <w:color w:val="000000"/>
          <w:lang w:eastAsia="it-IT"/>
        </w:rPr>
        <w:t xml:space="preserve">, </w:t>
      </w:r>
      <w:r w:rsidRPr="009540E6">
        <w:rPr>
          <w:color w:val="000000"/>
        </w:rPr>
        <w:t>il cui c</w:t>
      </w:r>
      <w:r w:rsidRPr="009540E6">
        <w:rPr>
          <w:iCs/>
        </w:rPr>
        <w:t xml:space="preserve">odice ATC è </w:t>
      </w:r>
      <w:r w:rsidR="009540E6" w:rsidRPr="009540E6">
        <w:t>N02BE01</w:t>
      </w:r>
      <w:r w:rsidRPr="009540E6">
        <w:rPr>
          <w:rFonts w:eastAsia="DejaVuSans" w:cs="DejaVuSans"/>
        </w:rPr>
        <w:t>,</w:t>
      </w:r>
      <w:r w:rsidRPr="009540E6">
        <w:rPr>
          <w:rFonts w:eastAsia="Calibri" w:cs="Calibri"/>
          <w:bCs/>
          <w:color w:val="000000"/>
          <w:lang w:eastAsia="it-IT"/>
        </w:rPr>
        <w:t xml:space="preserve"> </w:t>
      </w:r>
      <w:r w:rsidRPr="009540E6">
        <w:rPr>
          <w:rFonts w:eastAsia="Calibri" w:cs="Calibri"/>
          <w:color w:val="000000"/>
          <w:lang w:eastAsia="it-IT"/>
        </w:rPr>
        <w:t>contiene il principio attivo paracetamolo</w:t>
      </w:r>
      <w:r w:rsidRPr="009540E6">
        <w:rPr>
          <w:rFonts w:eastAsia="Calibri" w:cs="Calibri"/>
          <w:bCs/>
          <w:color w:val="000000"/>
          <w:lang w:eastAsia="it-IT"/>
        </w:rPr>
        <w:t xml:space="preserve"> </w:t>
      </w:r>
      <w:r w:rsidRPr="009540E6">
        <w:rPr>
          <w:rFonts w:eastAsia="Calibri" w:cs="Calibri"/>
          <w:color w:val="000000"/>
          <w:lang w:eastAsia="it-IT"/>
        </w:rPr>
        <w:t xml:space="preserve">che </w:t>
      </w:r>
      <w:r w:rsidR="009540E6" w:rsidRPr="009540E6">
        <w:t xml:space="preserve">possiede azione analgesica ed antipiretica: l’attività analgesica sembra legata alla capacità del paracetamolo di inibire la biosintesi delle prostaglandine a livello del </w:t>
      </w:r>
      <w:proofErr w:type="spellStart"/>
      <w:r w:rsidR="009540E6" w:rsidRPr="009540E6">
        <w:t>S.N.C.</w:t>
      </w:r>
      <w:proofErr w:type="spellEnd"/>
      <w:r w:rsidR="009540E6" w:rsidRPr="009540E6">
        <w:t>, elevando la soglia del dolore; l’azione antipiretica si esplica sui centri ipotalamici termoregolatori, azione che si manifesta soltanto in caso di alterazioni febbrili, mediante aumento della dispersione di calore attraverso vasodilatazione.</w:t>
      </w:r>
    </w:p>
    <w:p w:rsidR="00AF3380" w:rsidRPr="009540E6" w:rsidRDefault="00AF3380" w:rsidP="009540E6">
      <w:pPr>
        <w:spacing w:after="0" w:line="240" w:lineRule="auto"/>
        <w:jc w:val="both"/>
        <w:rPr>
          <w:iCs/>
          <w:highlight w:val="yellow"/>
        </w:rPr>
      </w:pPr>
    </w:p>
    <w:p w:rsidR="00AF3380" w:rsidRPr="009540E6" w:rsidRDefault="00AF3380" w:rsidP="009540E6">
      <w:pPr>
        <w:spacing w:after="0" w:line="240" w:lineRule="auto"/>
        <w:jc w:val="both"/>
      </w:pPr>
      <w:proofErr w:type="spellStart"/>
      <w:r w:rsidRPr="009540E6">
        <w:rPr>
          <w:rFonts w:eastAsia="Calibri" w:cs="Calibri"/>
          <w:color w:val="000000"/>
          <w:lang w:eastAsia="it-IT"/>
        </w:rPr>
        <w:t>Somun</w:t>
      </w:r>
      <w:proofErr w:type="spellEnd"/>
      <w:r w:rsidRPr="009540E6">
        <w:rPr>
          <w:rFonts w:eastAsia="Calibri" w:cs="Calibri"/>
          <w:color w:val="000000"/>
          <w:lang w:eastAsia="it-IT"/>
        </w:rPr>
        <w:t xml:space="preserve"> </w:t>
      </w:r>
      <w:r w:rsidRPr="009540E6">
        <w:rPr>
          <w:rFonts w:cs="Helvetica"/>
        </w:rPr>
        <w:t xml:space="preserve">è </w:t>
      </w:r>
      <w:r w:rsidR="009540E6" w:rsidRPr="009540E6">
        <w:rPr>
          <w:rFonts w:cs="Helvetica"/>
        </w:rPr>
        <w:t>utilizzato nel t</w:t>
      </w:r>
      <w:r w:rsidR="009540E6" w:rsidRPr="009540E6">
        <w:t>rattamento sintomatico di stati dolorosi acuti (mal di testa, nevralgie, mal di denti, dolori mestruali) e di stati febbrili.</w:t>
      </w:r>
    </w:p>
    <w:p w:rsidR="00AF3380" w:rsidRPr="009540E6" w:rsidRDefault="00AF3380" w:rsidP="009540E6">
      <w:pPr>
        <w:spacing w:after="0" w:line="240" w:lineRule="auto"/>
        <w:rPr>
          <w:rFonts w:ascii="Calibri" w:hAnsi="Calibri"/>
        </w:rPr>
      </w:pPr>
    </w:p>
    <w:p w:rsidR="00FF0EC7" w:rsidRDefault="00AF3380" w:rsidP="009540E6">
      <w:pPr>
        <w:spacing w:after="0" w:line="240" w:lineRule="auto"/>
        <w:jc w:val="both"/>
      </w:pPr>
      <w:r w:rsidRPr="009540E6">
        <w:t xml:space="preserve">Poiché </w:t>
      </w:r>
      <w:proofErr w:type="spellStart"/>
      <w:r w:rsidRPr="009540E6">
        <w:t>Somun</w:t>
      </w:r>
      <w:proofErr w:type="spellEnd"/>
      <w:r w:rsidRPr="009540E6">
        <w:t xml:space="preserve"> contiene un principio attivo noto non sono stati forniti nuovi dati non clinici e clinici: questo approccio è accettabile poiché il medicinale di riferimento </w:t>
      </w:r>
      <w:proofErr w:type="spellStart"/>
      <w:r w:rsidRPr="009540E6">
        <w:t>Panadol</w:t>
      </w:r>
      <w:proofErr w:type="spellEnd"/>
      <w:r w:rsidRPr="009540E6">
        <w:t xml:space="preserve"> è autorizzato in Italia da olt</w:t>
      </w:r>
      <w:r w:rsidR="00FF0EC7">
        <w:t>re 10 anni.</w:t>
      </w:r>
    </w:p>
    <w:p w:rsidR="00FF0EC7" w:rsidRPr="0002468C" w:rsidRDefault="00FF0EC7" w:rsidP="00FF0EC7">
      <w:pPr>
        <w:spacing w:after="0" w:line="240" w:lineRule="auto"/>
        <w:jc w:val="both"/>
      </w:pPr>
      <w:r w:rsidRPr="0002468C">
        <w:t xml:space="preserve">La richiesta di AIC è supportata da uno studio di bioequivalenza che ha confrontato i profili farmacocinetici del medicinale test </w:t>
      </w:r>
      <w:proofErr w:type="spellStart"/>
      <w:r>
        <w:t>Somun</w:t>
      </w:r>
      <w:proofErr w:type="spellEnd"/>
      <w:r w:rsidRPr="0002468C">
        <w:t xml:space="preserve"> e quelli del medicinale di riferimento </w:t>
      </w:r>
      <w:proofErr w:type="spellStart"/>
      <w:r>
        <w:t>Panadol</w:t>
      </w:r>
      <w:proofErr w:type="spellEnd"/>
      <w:r w:rsidRPr="0002468C">
        <w:t>.</w:t>
      </w:r>
    </w:p>
    <w:p w:rsidR="00FF0EC7" w:rsidRPr="00900C91" w:rsidRDefault="00FF0EC7" w:rsidP="00FF0EC7">
      <w:pPr>
        <w:spacing w:after="0" w:line="240" w:lineRule="auto"/>
        <w:jc w:val="both"/>
      </w:pPr>
      <w:r w:rsidRPr="00900C91">
        <w:t>Lo studio di bioequivalenza è stato condotto in conformità alle linee guida di Buona Pratica Clinica (</w:t>
      </w:r>
      <w:proofErr w:type="spellStart"/>
      <w:r w:rsidRPr="00900C91">
        <w:rPr>
          <w:i/>
        </w:rPr>
        <w:t>Good</w:t>
      </w:r>
      <w:proofErr w:type="spellEnd"/>
      <w:r w:rsidRPr="00900C91">
        <w:rPr>
          <w:i/>
        </w:rPr>
        <w:t xml:space="preserve"> </w:t>
      </w:r>
      <w:proofErr w:type="spellStart"/>
      <w:r w:rsidRPr="00900C91">
        <w:rPr>
          <w:i/>
        </w:rPr>
        <w:t>Clinical</w:t>
      </w:r>
      <w:proofErr w:type="spellEnd"/>
      <w:r w:rsidRPr="00900C91">
        <w:rPr>
          <w:i/>
        </w:rPr>
        <w:t xml:space="preserve"> </w:t>
      </w:r>
      <w:proofErr w:type="spellStart"/>
      <w:r w:rsidRPr="00900C91">
        <w:rPr>
          <w:i/>
        </w:rPr>
        <w:t>Practice</w:t>
      </w:r>
      <w:proofErr w:type="spellEnd"/>
      <w:r w:rsidRPr="00900C91">
        <w:t xml:space="preserve"> - GCP).</w:t>
      </w:r>
    </w:p>
    <w:p w:rsidR="00AF3380" w:rsidRPr="009540E6" w:rsidRDefault="00AF3380" w:rsidP="009540E6">
      <w:pPr>
        <w:spacing w:after="0" w:line="240" w:lineRule="auto"/>
        <w:jc w:val="both"/>
      </w:pPr>
    </w:p>
    <w:p w:rsidR="00AA69FA" w:rsidRDefault="00AF3380" w:rsidP="00AA69FA">
      <w:pPr>
        <w:spacing w:after="0" w:line="240" w:lineRule="auto"/>
        <w:jc w:val="both"/>
      </w:pPr>
      <w:r w:rsidRPr="009540E6">
        <w:t>Le officine coinvolte nella produzione sono conformi alle linee guida di Buona Pratica di Fabbricazione (</w:t>
      </w:r>
      <w:proofErr w:type="spellStart"/>
      <w:r w:rsidRPr="009540E6">
        <w:rPr>
          <w:i/>
        </w:rPr>
        <w:t>Good</w:t>
      </w:r>
      <w:proofErr w:type="spellEnd"/>
      <w:r w:rsidRPr="009540E6">
        <w:rPr>
          <w:i/>
        </w:rPr>
        <w:t xml:space="preserve"> Manufacturing </w:t>
      </w:r>
      <w:proofErr w:type="spellStart"/>
      <w:r w:rsidRPr="009540E6">
        <w:rPr>
          <w:i/>
        </w:rPr>
        <w:t>Practice</w:t>
      </w:r>
      <w:proofErr w:type="spellEnd"/>
      <w:r w:rsidRPr="009540E6">
        <w:t xml:space="preserve"> - GMP). </w:t>
      </w:r>
      <w:r w:rsidR="00AA69FA">
        <w:t xml:space="preserve">Le autorità </w:t>
      </w:r>
      <w:proofErr w:type="spellStart"/>
      <w:r w:rsidR="00AA69FA">
        <w:t>regolator</w:t>
      </w:r>
      <w:r w:rsidR="00EC6965">
        <w:t>i</w:t>
      </w:r>
      <w:r w:rsidR="00AA69FA">
        <w:t>e</w:t>
      </w:r>
      <w:proofErr w:type="spellEnd"/>
      <w:r w:rsidR="00AA69FA">
        <w:t xml:space="preserve"> europee competenti hanno rilasciato i certificati GMP per i siti di produzione.</w:t>
      </w:r>
    </w:p>
    <w:p w:rsidR="00AF3380" w:rsidRPr="00900C91" w:rsidRDefault="00AF3380" w:rsidP="00AF3380">
      <w:pPr>
        <w:spacing w:after="0" w:line="240" w:lineRule="auto"/>
        <w:jc w:val="both"/>
        <w:rPr>
          <w:highlight w:val="yellow"/>
        </w:rPr>
      </w:pPr>
    </w:p>
    <w:p w:rsidR="00AF3380" w:rsidRPr="00900C91" w:rsidRDefault="00AF3380" w:rsidP="00AF3380">
      <w:pPr>
        <w:spacing w:after="0" w:line="240" w:lineRule="auto"/>
        <w:jc w:val="both"/>
      </w:pPr>
      <w:r w:rsidRPr="00900C91">
        <w:t>Il sistema di Farmacovigilanza descritto dal titolare dell’AIC è conforme ai requisiti previsti dalla normativa corrente. E’ stato presentato un Piano di gestione del rischio (</w:t>
      </w:r>
      <w:proofErr w:type="spellStart"/>
      <w:r w:rsidRPr="00900C91">
        <w:rPr>
          <w:i/>
        </w:rPr>
        <w:t>Risk</w:t>
      </w:r>
      <w:proofErr w:type="spellEnd"/>
      <w:r w:rsidRPr="00900C91">
        <w:rPr>
          <w:i/>
        </w:rPr>
        <w:t xml:space="preserve"> Management </w:t>
      </w:r>
      <w:proofErr w:type="spellStart"/>
      <w:r w:rsidRPr="00900C91">
        <w:rPr>
          <w:i/>
        </w:rPr>
        <w:t>Plan</w:t>
      </w:r>
      <w:proofErr w:type="spellEnd"/>
      <w:r w:rsidRPr="00900C91">
        <w:t xml:space="preserve"> – RMP) accettabile.</w:t>
      </w:r>
    </w:p>
    <w:p w:rsidR="00AF3380" w:rsidRPr="00900C91" w:rsidRDefault="00AF3380" w:rsidP="00AF3380">
      <w:pPr>
        <w:spacing w:after="0" w:line="240" w:lineRule="auto"/>
        <w:jc w:val="both"/>
      </w:pPr>
    </w:p>
    <w:p w:rsidR="00AF3380" w:rsidRDefault="00AF3380" w:rsidP="00AF3380">
      <w:pPr>
        <w:spacing w:after="0" w:line="240" w:lineRule="auto"/>
        <w:jc w:val="both"/>
      </w:pPr>
      <w:r w:rsidRPr="00900C91">
        <w:t xml:space="preserve">Il titolare di AIC ha presentato una adeguata giustificazione della non presentazione della Valutazione del Rischio ambientale; questo approccio è accettabile in quanto </w:t>
      </w:r>
      <w:proofErr w:type="spellStart"/>
      <w:r>
        <w:t>Somun</w:t>
      </w:r>
      <w:proofErr w:type="spellEnd"/>
      <w:r w:rsidRPr="00900C91">
        <w:t xml:space="preserve"> contiene </w:t>
      </w:r>
      <w:r>
        <w:t xml:space="preserve">un </w:t>
      </w:r>
      <w:r w:rsidRPr="00900C91">
        <w:t>principi</w:t>
      </w:r>
      <w:r>
        <w:t xml:space="preserve">o attivo noto </w:t>
      </w:r>
      <w:r w:rsidRPr="00900C91">
        <w:t>p</w:t>
      </w:r>
      <w:r>
        <w:t>resente</w:t>
      </w:r>
      <w:r w:rsidRPr="00900C91">
        <w:t xml:space="preserve"> in medicinali autorizzati; inoltre, non sono presenti componenti geneticamente modificati; il metodo di produzione e la formulazione del medicinale non presentano problematiche di carattere ambientale.</w:t>
      </w:r>
    </w:p>
    <w:p w:rsidR="00AF3380" w:rsidRDefault="00AF3380" w:rsidP="00AF3380">
      <w:pPr>
        <w:spacing w:after="0" w:line="240" w:lineRule="auto"/>
        <w:jc w:val="both"/>
      </w:pPr>
    </w:p>
    <w:p w:rsidR="00AF3380" w:rsidRPr="00845AF1" w:rsidRDefault="00AF3380" w:rsidP="00AF3380">
      <w:pPr>
        <w:spacing w:after="0" w:line="240" w:lineRule="auto"/>
        <w:jc w:val="both"/>
      </w:pPr>
    </w:p>
    <w:p w:rsidR="00AF3380" w:rsidRPr="00845AF1" w:rsidRDefault="00AF3380" w:rsidP="00AF3380">
      <w:pPr>
        <w:pStyle w:val="Paragrafoelenco"/>
        <w:numPr>
          <w:ilvl w:val="0"/>
          <w:numId w:val="5"/>
        </w:numPr>
        <w:spacing w:after="0" w:line="240" w:lineRule="auto"/>
        <w:jc w:val="both"/>
        <w:rPr>
          <w:b/>
        </w:rPr>
      </w:pPr>
      <w:r w:rsidRPr="00845AF1">
        <w:rPr>
          <w:b/>
        </w:rPr>
        <w:t xml:space="preserve">ASPETTI </w:t>
      </w:r>
      <w:proofErr w:type="spellStart"/>
      <w:r w:rsidRPr="00845AF1">
        <w:rPr>
          <w:b/>
        </w:rPr>
        <w:t>DI</w:t>
      </w:r>
      <w:proofErr w:type="spellEnd"/>
      <w:r w:rsidRPr="00845AF1">
        <w:rPr>
          <w:b/>
        </w:rPr>
        <w:t xml:space="preserve"> QUALITA’</w:t>
      </w:r>
    </w:p>
    <w:p w:rsidR="00AF3380" w:rsidRPr="00845AF1" w:rsidRDefault="00AF3380" w:rsidP="00AF3380">
      <w:pPr>
        <w:spacing w:after="0" w:line="240" w:lineRule="auto"/>
        <w:jc w:val="both"/>
      </w:pPr>
      <w:r w:rsidRPr="00845AF1">
        <w:rPr>
          <w:b/>
        </w:rPr>
        <w:t xml:space="preserve">II.1 PRINCIPIO ATTIVO </w:t>
      </w:r>
      <w:r>
        <w:rPr>
          <w:b/>
        </w:rPr>
        <w:t>PARACETAMOLO</w:t>
      </w:r>
    </w:p>
    <w:p w:rsidR="00AF3380" w:rsidRDefault="00AF3380" w:rsidP="00AF3380">
      <w:pPr>
        <w:autoSpaceDE w:val="0"/>
        <w:autoSpaceDN w:val="0"/>
        <w:adjustRightInd w:val="0"/>
        <w:spacing w:after="0" w:line="240" w:lineRule="auto"/>
        <w:rPr>
          <w:rStyle w:val="s1"/>
          <w:rFonts w:asciiTheme="minorHAnsi" w:hAnsiTheme="minorHAnsi"/>
        </w:rPr>
      </w:pPr>
      <w:r w:rsidRPr="00845AF1">
        <w:rPr>
          <w:u w:val="single"/>
        </w:rPr>
        <w:t>Nome chimico</w:t>
      </w:r>
      <w:r w:rsidRPr="00845AF1">
        <w:t xml:space="preserve">: </w:t>
      </w:r>
      <w:r w:rsidR="0019182B">
        <w:rPr>
          <w:rStyle w:val="s1"/>
          <w:i/>
          <w:iCs/>
          <w:sz w:val="20"/>
          <w:szCs w:val="20"/>
        </w:rPr>
        <w:t>N</w:t>
      </w:r>
      <w:r w:rsidR="0019182B">
        <w:rPr>
          <w:rStyle w:val="s1"/>
          <w:sz w:val="20"/>
          <w:szCs w:val="20"/>
        </w:rPr>
        <w:t>-(4-Hydroxyphenyl)acetamide</w:t>
      </w:r>
      <w:r w:rsidRPr="00845AF1">
        <w:rPr>
          <w:rStyle w:val="s1"/>
          <w:rFonts w:asciiTheme="minorHAnsi" w:hAnsiTheme="minorHAnsi"/>
        </w:rPr>
        <w:t>.</w:t>
      </w:r>
    </w:p>
    <w:p w:rsidR="00AF3380" w:rsidRPr="009540E6" w:rsidRDefault="00AF3380" w:rsidP="00AF3380">
      <w:pPr>
        <w:spacing w:after="0" w:line="240" w:lineRule="auto"/>
        <w:jc w:val="both"/>
        <w:rPr>
          <w:noProof/>
          <w:highlight w:val="yellow"/>
          <w:lang w:eastAsia="it-IT"/>
        </w:rPr>
      </w:pPr>
      <w:r w:rsidRPr="009540E6">
        <w:rPr>
          <w:u w:val="single"/>
        </w:rPr>
        <w:t>Struttura</w:t>
      </w:r>
      <w:r w:rsidRPr="009540E6">
        <w:t>:</w:t>
      </w:r>
    </w:p>
    <w:p w:rsidR="00AF3380" w:rsidRPr="009540E6" w:rsidRDefault="0019182B" w:rsidP="00AF3380">
      <w:pPr>
        <w:spacing w:after="0" w:line="240" w:lineRule="auto"/>
        <w:jc w:val="center"/>
        <w:rPr>
          <w:highlight w:val="yellow"/>
        </w:rPr>
      </w:pPr>
      <w:r w:rsidRPr="009540E6">
        <w:rPr>
          <w:rFonts w:cs="Arial"/>
          <w:noProof/>
          <w:lang w:eastAsia="it-IT"/>
        </w:rPr>
        <w:drawing>
          <wp:inline distT="0" distB="0" distL="0" distR="0">
            <wp:extent cx="1157743" cy="505298"/>
            <wp:effectExtent l="19050" t="0" r="4307" b="0"/>
            <wp:docPr id="3" name="Immagine 1" descr="P:\_dp\804\XML-IN\Images\cf0049-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_dp\804\XML-IN\Images\cf0049-b.tif"/>
                    <pic:cNvPicPr>
                      <a:picLocks noChangeAspect="1" noChangeArrowheads="1"/>
                    </pic:cNvPicPr>
                  </pic:nvPicPr>
                  <pic:blipFill>
                    <a:blip r:embed="rId7" cstate="print"/>
                    <a:srcRect/>
                    <a:stretch>
                      <a:fillRect/>
                    </a:stretch>
                  </pic:blipFill>
                  <pic:spPr bwMode="auto">
                    <a:xfrm>
                      <a:off x="0" y="0"/>
                      <a:ext cx="1168127" cy="509830"/>
                    </a:xfrm>
                    <a:prstGeom prst="rect">
                      <a:avLst/>
                    </a:prstGeom>
                    <a:noFill/>
                    <a:ln w="9525">
                      <a:noFill/>
                      <a:miter lim="800000"/>
                      <a:headEnd/>
                      <a:tailEnd/>
                    </a:ln>
                  </pic:spPr>
                </pic:pic>
              </a:graphicData>
            </a:graphic>
          </wp:inline>
        </w:drawing>
      </w:r>
    </w:p>
    <w:p w:rsidR="00AF3380" w:rsidRPr="009540E6" w:rsidRDefault="00AF3380" w:rsidP="00AF3380">
      <w:pPr>
        <w:spacing w:after="0" w:line="240" w:lineRule="auto"/>
        <w:jc w:val="both"/>
        <w:rPr>
          <w:rFonts w:cs="Arial"/>
          <w:color w:val="252525"/>
          <w:shd w:val="clear" w:color="auto" w:fill="F9F9F9"/>
          <w:vertAlign w:val="subscript"/>
        </w:rPr>
      </w:pPr>
      <w:r w:rsidRPr="009540E6">
        <w:rPr>
          <w:u w:val="single"/>
        </w:rPr>
        <w:t>Formula molecolare</w:t>
      </w:r>
      <w:r w:rsidRPr="009540E6">
        <w:t>:</w:t>
      </w:r>
      <w:r w:rsidRPr="009540E6">
        <w:rPr>
          <w:rStyle w:val="s1"/>
          <w:rFonts w:asciiTheme="minorHAnsi" w:hAnsiTheme="minorHAnsi"/>
        </w:rPr>
        <w:t xml:space="preserve"> </w:t>
      </w:r>
      <w:r w:rsidR="0019182B" w:rsidRPr="009540E6">
        <w:rPr>
          <w:rStyle w:val="s1"/>
          <w:rFonts w:asciiTheme="minorHAnsi" w:hAnsiTheme="minorHAnsi"/>
        </w:rPr>
        <w:t>C</w:t>
      </w:r>
      <w:r w:rsidR="0019182B" w:rsidRPr="009540E6">
        <w:rPr>
          <w:rStyle w:val="s1"/>
          <w:rFonts w:asciiTheme="minorHAnsi" w:hAnsiTheme="minorHAnsi"/>
          <w:vertAlign w:val="subscript"/>
        </w:rPr>
        <w:t>8</w:t>
      </w:r>
      <w:r w:rsidR="0019182B" w:rsidRPr="009540E6">
        <w:rPr>
          <w:rStyle w:val="s1"/>
          <w:rFonts w:asciiTheme="minorHAnsi" w:hAnsiTheme="minorHAnsi"/>
        </w:rPr>
        <w:t>H</w:t>
      </w:r>
      <w:r w:rsidR="0019182B" w:rsidRPr="009540E6">
        <w:rPr>
          <w:rStyle w:val="s1"/>
          <w:rFonts w:asciiTheme="minorHAnsi" w:hAnsiTheme="minorHAnsi"/>
          <w:vertAlign w:val="subscript"/>
        </w:rPr>
        <w:t>9</w:t>
      </w:r>
      <w:r w:rsidR="0019182B" w:rsidRPr="009540E6">
        <w:rPr>
          <w:rStyle w:val="s1"/>
          <w:rFonts w:asciiTheme="minorHAnsi" w:hAnsiTheme="minorHAnsi"/>
        </w:rPr>
        <w:t>NO</w:t>
      </w:r>
      <w:r w:rsidR="0019182B" w:rsidRPr="009540E6">
        <w:rPr>
          <w:rStyle w:val="s1"/>
          <w:rFonts w:asciiTheme="minorHAnsi" w:hAnsiTheme="minorHAnsi"/>
          <w:vertAlign w:val="subscript"/>
        </w:rPr>
        <w:t>2</w:t>
      </w:r>
    </w:p>
    <w:p w:rsidR="00AF3380" w:rsidRPr="009540E6" w:rsidRDefault="00AF3380" w:rsidP="00AF3380">
      <w:pPr>
        <w:spacing w:after="0" w:line="240" w:lineRule="auto"/>
        <w:jc w:val="both"/>
      </w:pPr>
      <w:r w:rsidRPr="009540E6">
        <w:rPr>
          <w:u w:val="single"/>
        </w:rPr>
        <w:t>Peso molecolare</w:t>
      </w:r>
      <w:r w:rsidRPr="009540E6">
        <w:t>:</w:t>
      </w:r>
      <w:r w:rsidRPr="009540E6">
        <w:rPr>
          <w:rFonts w:cs="Arial"/>
          <w:color w:val="252525"/>
          <w:shd w:val="clear" w:color="auto" w:fill="F9F9F9"/>
        </w:rPr>
        <w:t xml:space="preserve"> </w:t>
      </w:r>
      <w:r w:rsidR="0019182B" w:rsidRPr="009540E6">
        <w:rPr>
          <w:rStyle w:val="s1"/>
          <w:rFonts w:asciiTheme="minorHAnsi" w:hAnsiTheme="minorHAnsi"/>
        </w:rPr>
        <w:t xml:space="preserve">151.2 </w:t>
      </w:r>
      <w:r w:rsidRPr="009540E6">
        <w:rPr>
          <w:rStyle w:val="s1"/>
          <w:rFonts w:asciiTheme="minorHAnsi" w:hAnsiTheme="minorHAnsi"/>
        </w:rPr>
        <w:t>g/mol</w:t>
      </w:r>
    </w:p>
    <w:p w:rsidR="00AF3380" w:rsidRPr="009540E6" w:rsidRDefault="00AF3380" w:rsidP="00AF3380">
      <w:pPr>
        <w:pStyle w:val="Titolo1"/>
        <w:shd w:val="clear" w:color="auto" w:fill="FFFFFF"/>
        <w:spacing w:before="0" w:beforeAutospacing="0" w:after="0" w:afterAutospacing="0"/>
        <w:rPr>
          <w:rFonts w:asciiTheme="minorHAnsi" w:hAnsiTheme="minorHAnsi"/>
          <w:b w:val="0"/>
          <w:sz w:val="22"/>
          <w:szCs w:val="22"/>
        </w:rPr>
      </w:pPr>
      <w:r w:rsidRPr="00EC6965">
        <w:rPr>
          <w:rFonts w:asciiTheme="minorHAnsi" w:hAnsiTheme="minorHAnsi"/>
          <w:b w:val="0"/>
          <w:sz w:val="22"/>
          <w:szCs w:val="22"/>
          <w:u w:val="single"/>
        </w:rPr>
        <w:t>CAS</w:t>
      </w:r>
      <w:r w:rsidRPr="00EC6965">
        <w:rPr>
          <w:rFonts w:asciiTheme="minorHAnsi" w:hAnsiTheme="minorHAnsi"/>
          <w:b w:val="0"/>
          <w:sz w:val="22"/>
          <w:szCs w:val="22"/>
        </w:rPr>
        <w:t xml:space="preserve">: </w:t>
      </w:r>
      <w:r w:rsidRPr="00EC6965">
        <w:rPr>
          <w:rStyle w:val="s1"/>
          <w:rFonts w:asciiTheme="minorHAnsi" w:hAnsiTheme="minorHAnsi"/>
          <w:b w:val="0"/>
          <w:sz w:val="22"/>
          <w:szCs w:val="22"/>
        </w:rPr>
        <w:t>[</w:t>
      </w:r>
      <w:r w:rsidR="00EC6965" w:rsidRPr="00EC6965">
        <w:rPr>
          <w:rFonts w:asciiTheme="minorHAnsi" w:hAnsiTheme="minorHAnsi"/>
          <w:b w:val="0"/>
          <w:color w:val="333333"/>
          <w:sz w:val="22"/>
          <w:szCs w:val="22"/>
        </w:rPr>
        <w:t>103-90-2</w:t>
      </w:r>
      <w:r w:rsidRPr="00EC6965">
        <w:rPr>
          <w:rStyle w:val="s1"/>
          <w:rFonts w:asciiTheme="minorHAnsi" w:hAnsiTheme="minorHAnsi"/>
          <w:b w:val="0"/>
          <w:sz w:val="22"/>
          <w:szCs w:val="22"/>
        </w:rPr>
        <w:t>]</w:t>
      </w:r>
    </w:p>
    <w:p w:rsidR="00AF3380" w:rsidRPr="009540E6" w:rsidRDefault="00AF3380" w:rsidP="00AF3380">
      <w:pPr>
        <w:spacing w:after="0" w:line="240" w:lineRule="auto"/>
        <w:jc w:val="both"/>
      </w:pPr>
      <w:r w:rsidRPr="009540E6">
        <w:rPr>
          <w:u w:val="single"/>
        </w:rPr>
        <w:t>Aspetto</w:t>
      </w:r>
      <w:r w:rsidRPr="009540E6">
        <w:t>: polvere cristallina bianca o quasi bianca</w:t>
      </w:r>
    </w:p>
    <w:p w:rsidR="00AF3380" w:rsidRPr="009540E6" w:rsidRDefault="00AF3380" w:rsidP="00AF3380">
      <w:pPr>
        <w:spacing w:after="0" w:line="240" w:lineRule="auto"/>
        <w:jc w:val="both"/>
      </w:pPr>
      <w:r w:rsidRPr="009540E6">
        <w:rPr>
          <w:u w:val="single"/>
        </w:rPr>
        <w:t>Solubilità</w:t>
      </w:r>
      <w:r w:rsidRPr="009540E6">
        <w:t>: poco solubile in acqua</w:t>
      </w:r>
      <w:r w:rsidRPr="009540E6">
        <w:rPr>
          <w:rStyle w:val="s1"/>
          <w:rFonts w:asciiTheme="minorHAnsi" w:hAnsiTheme="minorHAnsi"/>
        </w:rPr>
        <w:t xml:space="preserve">, </w:t>
      </w:r>
      <w:r w:rsidR="009540E6" w:rsidRPr="009540E6">
        <w:rPr>
          <w:rStyle w:val="s1"/>
          <w:rFonts w:asciiTheme="minorHAnsi" w:hAnsiTheme="minorHAnsi"/>
        </w:rPr>
        <w:t xml:space="preserve">molto </w:t>
      </w:r>
      <w:r w:rsidRPr="009540E6">
        <w:rPr>
          <w:rStyle w:val="s1"/>
          <w:rFonts w:asciiTheme="minorHAnsi" w:hAnsiTheme="minorHAnsi"/>
        </w:rPr>
        <w:t xml:space="preserve">solubile in </w:t>
      </w:r>
      <w:r w:rsidR="009540E6" w:rsidRPr="009540E6">
        <w:rPr>
          <w:rStyle w:val="s1"/>
          <w:rFonts w:asciiTheme="minorHAnsi" w:hAnsiTheme="minorHAnsi"/>
        </w:rPr>
        <w:t>alcool, molto poco solubile in metilene cloruro</w:t>
      </w:r>
    </w:p>
    <w:p w:rsidR="00AF3380" w:rsidRPr="00FF0EC7" w:rsidRDefault="00AF3380" w:rsidP="00AF3380">
      <w:pPr>
        <w:spacing w:after="0" w:line="240" w:lineRule="auto"/>
        <w:jc w:val="both"/>
        <w:rPr>
          <w:highlight w:val="cyan"/>
        </w:rPr>
      </w:pPr>
    </w:p>
    <w:p w:rsidR="00AF3380" w:rsidRPr="009540E6" w:rsidRDefault="00AF3380" w:rsidP="00AF3380">
      <w:pPr>
        <w:spacing w:after="0" w:line="240" w:lineRule="auto"/>
        <w:jc w:val="both"/>
      </w:pPr>
      <w:r w:rsidRPr="009540E6">
        <w:t xml:space="preserve">Il principio attivo paracetamolo è presente in Farmacopea Europea e il </w:t>
      </w:r>
      <w:proofErr w:type="spellStart"/>
      <w:r w:rsidRPr="009540E6">
        <w:t>Direttorato</w:t>
      </w:r>
      <w:proofErr w:type="spellEnd"/>
      <w:r w:rsidRPr="009540E6">
        <w:t xml:space="preserve"> Europeo per la Qualità dei Medicinali (</w:t>
      </w:r>
      <w:proofErr w:type="spellStart"/>
      <w:r w:rsidRPr="009540E6">
        <w:rPr>
          <w:i/>
        </w:rPr>
        <w:t>European</w:t>
      </w:r>
      <w:proofErr w:type="spellEnd"/>
      <w:r w:rsidRPr="009540E6">
        <w:rPr>
          <w:i/>
        </w:rPr>
        <w:t xml:space="preserve"> </w:t>
      </w:r>
      <w:proofErr w:type="spellStart"/>
      <w:r w:rsidRPr="009540E6">
        <w:rPr>
          <w:i/>
        </w:rPr>
        <w:t>Directorate</w:t>
      </w:r>
      <w:proofErr w:type="spellEnd"/>
      <w:r w:rsidRPr="009540E6">
        <w:rPr>
          <w:i/>
        </w:rPr>
        <w:t xml:space="preserve"> </w:t>
      </w:r>
      <w:proofErr w:type="spellStart"/>
      <w:r w:rsidRPr="009540E6">
        <w:rPr>
          <w:i/>
        </w:rPr>
        <w:t>for</w:t>
      </w:r>
      <w:proofErr w:type="spellEnd"/>
      <w:r w:rsidRPr="009540E6">
        <w:rPr>
          <w:i/>
        </w:rPr>
        <w:t xml:space="preserve"> </w:t>
      </w:r>
      <w:proofErr w:type="spellStart"/>
      <w:r w:rsidRPr="009540E6">
        <w:rPr>
          <w:i/>
        </w:rPr>
        <w:t>Quality</w:t>
      </w:r>
      <w:proofErr w:type="spellEnd"/>
      <w:r w:rsidRPr="009540E6">
        <w:rPr>
          <w:i/>
        </w:rPr>
        <w:t xml:space="preserve"> </w:t>
      </w:r>
      <w:proofErr w:type="spellStart"/>
      <w:r w:rsidRPr="009540E6">
        <w:rPr>
          <w:i/>
        </w:rPr>
        <w:t>of</w:t>
      </w:r>
      <w:proofErr w:type="spellEnd"/>
      <w:r w:rsidRPr="009540E6">
        <w:rPr>
          <w:i/>
        </w:rPr>
        <w:t xml:space="preserve"> </w:t>
      </w:r>
      <w:proofErr w:type="spellStart"/>
      <w:r w:rsidRPr="009540E6">
        <w:rPr>
          <w:i/>
        </w:rPr>
        <w:t>Medicnals</w:t>
      </w:r>
      <w:proofErr w:type="spellEnd"/>
      <w:r w:rsidRPr="009540E6">
        <w:t xml:space="preserve"> – EDQM) ha rilasciato al produttore il certificato di conformità alla Farmacopea Europea.</w:t>
      </w:r>
    </w:p>
    <w:p w:rsidR="00AF3380" w:rsidRPr="009540E6" w:rsidRDefault="00AF3380" w:rsidP="00AF3380">
      <w:pPr>
        <w:spacing w:after="0" w:line="240" w:lineRule="auto"/>
        <w:jc w:val="both"/>
      </w:pPr>
    </w:p>
    <w:p w:rsidR="006F0029" w:rsidRPr="009540E6" w:rsidRDefault="006F0029" w:rsidP="006F0029">
      <w:pPr>
        <w:spacing w:after="0" w:line="240" w:lineRule="auto"/>
        <w:jc w:val="both"/>
      </w:pPr>
      <w:r>
        <w:t xml:space="preserve">Tutti gli aspetti di produzione e controllo sono coperti dal </w:t>
      </w:r>
      <w:r w:rsidRPr="00864166">
        <w:t>certificato di conformità alla Farmacopea Europea</w:t>
      </w:r>
      <w:r>
        <w:t xml:space="preserve">. Il principio attivo è confezionato in fusti di fibra rivestiti internamente da polietilene. Il periodo di </w:t>
      </w:r>
      <w:proofErr w:type="spellStart"/>
      <w:r>
        <w:t>retest</w:t>
      </w:r>
      <w:proofErr w:type="spellEnd"/>
      <w:r>
        <w:t xml:space="preserve"> è definito in  60</w:t>
      </w:r>
      <w:r w:rsidRPr="009540E6">
        <w:t xml:space="preserve"> mesi.</w:t>
      </w:r>
    </w:p>
    <w:p w:rsidR="009540E6" w:rsidRPr="009540E6" w:rsidRDefault="009540E6" w:rsidP="00AF3380">
      <w:pPr>
        <w:spacing w:after="0" w:line="240" w:lineRule="auto"/>
        <w:jc w:val="both"/>
      </w:pPr>
    </w:p>
    <w:p w:rsidR="009540E6" w:rsidRPr="009540E6" w:rsidRDefault="009540E6" w:rsidP="00AF3380">
      <w:pPr>
        <w:spacing w:after="0" w:line="240" w:lineRule="auto"/>
        <w:jc w:val="both"/>
      </w:pPr>
    </w:p>
    <w:p w:rsidR="00AF3380" w:rsidRPr="009540E6" w:rsidRDefault="00AF3380" w:rsidP="00AF3380">
      <w:pPr>
        <w:spacing w:after="0" w:line="240" w:lineRule="auto"/>
        <w:jc w:val="both"/>
        <w:rPr>
          <w:b/>
        </w:rPr>
      </w:pPr>
      <w:r w:rsidRPr="009540E6">
        <w:rPr>
          <w:b/>
        </w:rPr>
        <w:t>II.2 PRODOTTO FINITO</w:t>
      </w:r>
    </w:p>
    <w:p w:rsidR="00AF3380" w:rsidRPr="009540E6" w:rsidRDefault="00AF3380" w:rsidP="00AF3380">
      <w:pPr>
        <w:spacing w:after="0" w:line="240" w:lineRule="auto"/>
        <w:jc w:val="both"/>
        <w:rPr>
          <w:b/>
        </w:rPr>
      </w:pPr>
      <w:r w:rsidRPr="009540E6">
        <w:rPr>
          <w:b/>
        </w:rPr>
        <w:t>Descrizione e composizione</w:t>
      </w:r>
    </w:p>
    <w:p w:rsidR="00AF3380" w:rsidRPr="009540E6" w:rsidRDefault="00AF3380" w:rsidP="00AF3380">
      <w:pPr>
        <w:widowControl w:val="0"/>
        <w:spacing w:after="0" w:line="240" w:lineRule="auto"/>
        <w:jc w:val="both"/>
      </w:pPr>
      <w:proofErr w:type="spellStart"/>
      <w:r w:rsidRPr="009540E6">
        <w:rPr>
          <w:rFonts w:eastAsia="Calibri" w:cs="Calibri"/>
          <w:color w:val="000000"/>
          <w:lang w:eastAsia="it-IT"/>
        </w:rPr>
        <w:t>Somun</w:t>
      </w:r>
      <w:proofErr w:type="spellEnd"/>
      <w:r w:rsidRPr="009540E6">
        <w:rPr>
          <w:rFonts w:eastAsia="Calibri" w:cs="Calibri"/>
          <w:color w:val="000000"/>
          <w:lang w:eastAsia="it-IT"/>
        </w:rPr>
        <w:t xml:space="preserve"> è disponibile come </w:t>
      </w:r>
      <w:r w:rsidR="009540E6" w:rsidRPr="009540E6">
        <w:rPr>
          <w:rFonts w:eastAsia="Calibri" w:cs="Calibri"/>
          <w:color w:val="000000"/>
          <w:lang w:eastAsia="it-IT"/>
        </w:rPr>
        <w:t>granulato orale in bustine</w:t>
      </w:r>
      <w:r w:rsidRPr="009540E6">
        <w:rPr>
          <w:rFonts w:eastAsia="Calibri" w:cs="Calibri"/>
          <w:color w:val="000000"/>
          <w:lang w:eastAsia="it-IT"/>
        </w:rPr>
        <w:t xml:space="preserve"> contenent</w:t>
      </w:r>
      <w:r w:rsidR="009540E6" w:rsidRPr="009540E6">
        <w:rPr>
          <w:rFonts w:eastAsia="Calibri" w:cs="Calibri"/>
          <w:color w:val="000000"/>
          <w:lang w:eastAsia="it-IT"/>
        </w:rPr>
        <w:t>i 500 mg di</w:t>
      </w:r>
      <w:r w:rsidRPr="009540E6">
        <w:rPr>
          <w:rFonts w:eastAsia="Calibri" w:cs="Calibri"/>
          <w:color w:val="000000"/>
          <w:lang w:eastAsia="it-IT"/>
        </w:rPr>
        <w:t xml:space="preserve"> paracetamolo.</w:t>
      </w:r>
    </w:p>
    <w:p w:rsidR="00AF3380" w:rsidRPr="009540E6" w:rsidRDefault="00AF3380" w:rsidP="00AF3380">
      <w:pPr>
        <w:tabs>
          <w:tab w:val="left" w:pos="-1985"/>
          <w:tab w:val="left" w:pos="-1843"/>
          <w:tab w:val="left" w:pos="3600"/>
          <w:tab w:val="left" w:pos="4320"/>
          <w:tab w:val="left" w:pos="5040"/>
          <w:tab w:val="left" w:pos="5760"/>
          <w:tab w:val="left" w:pos="6480"/>
          <w:tab w:val="left" w:pos="7200"/>
          <w:tab w:val="left" w:pos="7920"/>
        </w:tabs>
        <w:spacing w:after="0" w:line="240" w:lineRule="auto"/>
        <w:ind w:right="-142"/>
        <w:jc w:val="both"/>
      </w:pPr>
      <w:r w:rsidRPr="009540E6">
        <w:t xml:space="preserve">Gli eccipienti sono i seguenti: </w:t>
      </w:r>
      <w:r w:rsidR="009540E6" w:rsidRPr="009540E6">
        <w:t>mannitolo, sorbitolo (E420), aspartame (E951), acido citrico anidro, aroma limone</w:t>
      </w:r>
      <w:r w:rsidRPr="009540E6">
        <w:t>.</w:t>
      </w:r>
    </w:p>
    <w:p w:rsidR="006F0029" w:rsidRPr="009540E6" w:rsidRDefault="006F0029" w:rsidP="006F0029">
      <w:pPr>
        <w:spacing w:after="0" w:line="240" w:lineRule="auto"/>
        <w:jc w:val="both"/>
      </w:pPr>
      <w:r w:rsidRPr="007A203A">
        <w:t>Tutti gli eccipienti sono conformi alla relativa monografia di Farmacopea Europea, ad eccezione dell’ aroma limone le cui specifiche sono state adeguatamente definite dal produttore.</w:t>
      </w:r>
    </w:p>
    <w:p w:rsidR="00AF3380" w:rsidRPr="009540E6" w:rsidRDefault="00AF3380" w:rsidP="00AF3380">
      <w:pPr>
        <w:spacing w:after="0" w:line="240" w:lineRule="auto"/>
        <w:jc w:val="both"/>
      </w:pPr>
      <w:r w:rsidRPr="009540E6">
        <w:t>Nessun eccipiente è ottenuto da organismi geneticamente modificati; non sono presenti eccipienti mai utilizzati nell’uomo.</w:t>
      </w:r>
    </w:p>
    <w:p w:rsidR="00AF3380" w:rsidRPr="009540E6" w:rsidRDefault="00AF3380" w:rsidP="00AF3380">
      <w:pPr>
        <w:spacing w:after="0" w:line="240" w:lineRule="auto"/>
        <w:jc w:val="both"/>
      </w:pPr>
    </w:p>
    <w:p w:rsidR="00AF3380" w:rsidRPr="009540E6" w:rsidRDefault="00AF3380" w:rsidP="00AF3380">
      <w:pPr>
        <w:spacing w:after="0" w:line="240" w:lineRule="auto"/>
        <w:jc w:val="both"/>
        <w:rPr>
          <w:b/>
        </w:rPr>
      </w:pPr>
      <w:r w:rsidRPr="009540E6">
        <w:rPr>
          <w:b/>
        </w:rPr>
        <w:t>Sviluppo farmaceutico</w:t>
      </w:r>
    </w:p>
    <w:p w:rsidR="00AF3380" w:rsidRPr="009540E6" w:rsidRDefault="00AF3380" w:rsidP="00AF3380">
      <w:pPr>
        <w:spacing w:after="0" w:line="240" w:lineRule="auto"/>
        <w:jc w:val="both"/>
      </w:pPr>
      <w:r w:rsidRPr="009540E6">
        <w:t>Sono stati forniti dettagli dello sviluppo farmaceutico e questi sono stati ritenuti soddisfacenti.</w:t>
      </w:r>
    </w:p>
    <w:p w:rsidR="00AF3380" w:rsidRPr="009540E6" w:rsidRDefault="00AF3380" w:rsidP="00AF3380">
      <w:pPr>
        <w:spacing w:after="0" w:line="240" w:lineRule="auto"/>
        <w:jc w:val="both"/>
      </w:pPr>
      <w:r w:rsidRPr="009540E6">
        <w:t xml:space="preserve">Lo scopo era quello di ottenere un medicinale </w:t>
      </w:r>
      <w:proofErr w:type="spellStart"/>
      <w:r w:rsidRPr="009540E6">
        <w:t>bioequivalente</w:t>
      </w:r>
      <w:proofErr w:type="spellEnd"/>
      <w:r w:rsidRPr="009540E6">
        <w:t xml:space="preserve"> al medicinale di riferimento </w:t>
      </w:r>
      <w:proofErr w:type="spellStart"/>
      <w:r w:rsidRPr="009540E6">
        <w:t>Panadol</w:t>
      </w:r>
      <w:proofErr w:type="spellEnd"/>
      <w:r w:rsidRPr="009540E6">
        <w:t>.</w:t>
      </w:r>
    </w:p>
    <w:p w:rsidR="00AF3380" w:rsidRPr="00845AF1" w:rsidRDefault="00AF3380" w:rsidP="00AF3380">
      <w:pPr>
        <w:spacing w:after="0" w:line="240" w:lineRule="auto"/>
        <w:jc w:val="both"/>
      </w:pPr>
      <w:r w:rsidRPr="009540E6">
        <w:t>Sono stati forniti dati comparativi relativi alle caratteristiche fisico-chimiche e al profilo di impurezze</w:t>
      </w:r>
      <w:r w:rsidRPr="00845AF1">
        <w:t xml:space="preserve"> rispetto al medicinale di riferimento. I dati sono soddisfacenti.</w:t>
      </w:r>
    </w:p>
    <w:p w:rsidR="00AF3380" w:rsidRPr="00845AF1" w:rsidRDefault="00AF3380" w:rsidP="00AF3380">
      <w:pPr>
        <w:spacing w:after="0" w:line="240" w:lineRule="auto"/>
        <w:jc w:val="both"/>
      </w:pPr>
    </w:p>
    <w:p w:rsidR="00AF3380" w:rsidRPr="00845AF1" w:rsidRDefault="00AF3380" w:rsidP="00AF3380">
      <w:pPr>
        <w:spacing w:after="0" w:line="240" w:lineRule="auto"/>
        <w:jc w:val="both"/>
        <w:rPr>
          <w:b/>
        </w:rPr>
      </w:pPr>
      <w:r w:rsidRPr="00845AF1">
        <w:rPr>
          <w:b/>
        </w:rPr>
        <w:t xml:space="preserve">Produzione </w:t>
      </w:r>
    </w:p>
    <w:p w:rsidR="00AF3380" w:rsidRPr="00845AF1" w:rsidRDefault="00AF3380" w:rsidP="00AF3380">
      <w:pPr>
        <w:spacing w:after="0" w:line="240" w:lineRule="auto"/>
        <w:jc w:val="both"/>
      </w:pPr>
      <w:r w:rsidRPr="00845AF1">
        <w:t>Sono stati forniti una descrizione del metodo di produzione e la relativa flow-chart.</w:t>
      </w:r>
    </w:p>
    <w:p w:rsidR="00AF3380" w:rsidRPr="00845AF1" w:rsidRDefault="00AF3380" w:rsidP="00AF3380">
      <w:pPr>
        <w:spacing w:after="0" w:line="240" w:lineRule="auto"/>
        <w:jc w:val="both"/>
      </w:pPr>
      <w:r w:rsidRPr="00845AF1">
        <w:t>I controlli effettuati nel corso della produzione sono appropriati per la natura del medicinale e del metodo di produzione. Sono stati forniti, inoltre, dati soddisfacenti relativi alla convalida del metodo di produzione.</w:t>
      </w:r>
    </w:p>
    <w:p w:rsidR="00AF3380" w:rsidRPr="00845AF1" w:rsidRDefault="00AF3380" w:rsidP="00AF3380">
      <w:pPr>
        <w:spacing w:after="0" w:line="240" w:lineRule="auto"/>
        <w:jc w:val="both"/>
      </w:pPr>
    </w:p>
    <w:p w:rsidR="00AF3380" w:rsidRPr="00845AF1" w:rsidRDefault="00AF3380" w:rsidP="00AF3380">
      <w:pPr>
        <w:spacing w:after="0" w:line="240" w:lineRule="auto"/>
        <w:jc w:val="both"/>
        <w:rPr>
          <w:b/>
        </w:rPr>
      </w:pPr>
      <w:r w:rsidRPr="00845AF1">
        <w:rPr>
          <w:b/>
        </w:rPr>
        <w:t>Specifiche del prodotto finito</w:t>
      </w:r>
    </w:p>
    <w:p w:rsidR="00AF3380" w:rsidRPr="009540E6" w:rsidRDefault="00AF3380" w:rsidP="009540E6">
      <w:pPr>
        <w:spacing w:after="0" w:line="240" w:lineRule="auto"/>
        <w:jc w:val="both"/>
      </w:pPr>
      <w:r w:rsidRPr="00845AF1">
        <w:t>Sono state fornite adeguate specifiche di controllo per il prodotto finito al rilascio e alla fine della validità. I</w:t>
      </w:r>
      <w:r w:rsidRPr="00C97A20">
        <w:t xml:space="preserve"> metodi analitici sono stati descritti e adeguatamente convalidati. Sono stati forniti, inoltre, dati analitici per </w:t>
      </w:r>
      <w:r>
        <w:t xml:space="preserve">il </w:t>
      </w:r>
      <w:r w:rsidRPr="00C97A20">
        <w:t xml:space="preserve">prodotto finito: questi dati dimostrano che i lotti prodotti sono in accordo alle specifiche proposte. Sono </w:t>
      </w:r>
      <w:r w:rsidRPr="009540E6">
        <w:t>stati forniti, infine, certificati analitici per gli standard di riferimento utilizzati.</w:t>
      </w:r>
    </w:p>
    <w:p w:rsidR="00AF3380" w:rsidRPr="009540E6" w:rsidRDefault="00AF3380" w:rsidP="009540E6">
      <w:pPr>
        <w:spacing w:after="0" w:line="240" w:lineRule="auto"/>
        <w:jc w:val="both"/>
        <w:rPr>
          <w:b/>
        </w:rPr>
      </w:pPr>
    </w:p>
    <w:p w:rsidR="00AF3380" w:rsidRPr="009540E6" w:rsidRDefault="00AF3380" w:rsidP="009540E6">
      <w:pPr>
        <w:spacing w:after="0" w:line="240" w:lineRule="auto"/>
        <w:jc w:val="both"/>
        <w:rPr>
          <w:b/>
        </w:rPr>
      </w:pPr>
      <w:r w:rsidRPr="009540E6">
        <w:rPr>
          <w:b/>
        </w:rPr>
        <w:t>Contenitore</w:t>
      </w:r>
    </w:p>
    <w:p w:rsidR="00AF3380" w:rsidRPr="009540E6" w:rsidRDefault="00AF3380" w:rsidP="009540E6">
      <w:pPr>
        <w:spacing w:after="0" w:line="240" w:lineRule="auto"/>
        <w:jc w:val="both"/>
      </w:pPr>
      <w:proofErr w:type="spellStart"/>
      <w:r w:rsidRPr="009540E6">
        <w:t>Somun</w:t>
      </w:r>
      <w:proofErr w:type="spellEnd"/>
      <w:r w:rsidRPr="009540E6">
        <w:t xml:space="preserve"> è confezionato in </w:t>
      </w:r>
      <w:r w:rsidR="009540E6" w:rsidRPr="009540E6">
        <w:t xml:space="preserve">bustine termosaldate in </w:t>
      </w:r>
      <w:proofErr w:type="spellStart"/>
      <w:r w:rsidR="009540E6" w:rsidRPr="009540E6">
        <w:t>poliaccoppiato</w:t>
      </w:r>
      <w:proofErr w:type="spellEnd"/>
      <w:r w:rsidR="009540E6" w:rsidRPr="009540E6">
        <w:t xml:space="preserve"> poliestere/alluminio/polietilene</w:t>
      </w:r>
      <w:r w:rsidRPr="009540E6">
        <w:t>. Sono state fornite specifiche e certificati analitici per tutti i componenti del confezionamento primario, che è adeguato per il medicinale.</w:t>
      </w:r>
    </w:p>
    <w:p w:rsidR="00AF3380" w:rsidRDefault="00AF3380" w:rsidP="009540E6">
      <w:pPr>
        <w:spacing w:after="0" w:line="240" w:lineRule="auto"/>
        <w:jc w:val="both"/>
      </w:pPr>
    </w:p>
    <w:p w:rsidR="00AF3380" w:rsidRPr="009540E6" w:rsidRDefault="00AF3380" w:rsidP="009540E6">
      <w:pPr>
        <w:spacing w:after="0" w:line="240" w:lineRule="auto"/>
        <w:jc w:val="both"/>
        <w:rPr>
          <w:b/>
        </w:rPr>
      </w:pPr>
      <w:r w:rsidRPr="009540E6">
        <w:rPr>
          <w:b/>
        </w:rPr>
        <w:t>Stabilità</w:t>
      </w:r>
    </w:p>
    <w:p w:rsidR="00AF3380" w:rsidRPr="00C97A20" w:rsidRDefault="00AF3380" w:rsidP="009540E6">
      <w:pPr>
        <w:spacing w:after="0" w:line="240" w:lineRule="auto"/>
        <w:jc w:val="both"/>
      </w:pPr>
      <w:r w:rsidRPr="009540E6">
        <w:t>Studi di stabilità sul prodotto finito sono stati condotti in accordo alle correnti linee guida e i risultati sono entro i limiti delle specifiche autorizzate. Sulla base di questi risultati, è stato autorizzato un periodo di</w:t>
      </w:r>
      <w:r w:rsidRPr="00C97A20">
        <w:t xml:space="preserve"> validità di </w:t>
      </w:r>
      <w:r>
        <w:t>2 anni</w:t>
      </w:r>
      <w:r w:rsidRPr="00C97A20">
        <w:t xml:space="preserve">  </w:t>
      </w:r>
      <w:r w:rsidR="00A85A34">
        <w:t xml:space="preserve">senza particolari condizioni di </w:t>
      </w:r>
      <w:r>
        <w:t>conservazione.</w:t>
      </w:r>
    </w:p>
    <w:p w:rsidR="00AF3380" w:rsidRPr="00C97A20" w:rsidRDefault="00AF3380" w:rsidP="00AF3380">
      <w:pPr>
        <w:spacing w:after="0" w:line="240" w:lineRule="auto"/>
        <w:jc w:val="both"/>
      </w:pPr>
    </w:p>
    <w:p w:rsidR="00AF3380" w:rsidRPr="00DF7B22" w:rsidRDefault="00AF3380" w:rsidP="00AF3380">
      <w:pPr>
        <w:spacing w:after="0" w:line="240" w:lineRule="auto"/>
        <w:jc w:val="both"/>
        <w:rPr>
          <w:b/>
        </w:rPr>
      </w:pPr>
      <w:r w:rsidRPr="00DF7B22">
        <w:rPr>
          <w:b/>
        </w:rPr>
        <w:t>II.3 Discussione sugli aspetti di qualità</w:t>
      </w:r>
    </w:p>
    <w:p w:rsidR="00AF3380" w:rsidRDefault="00AF3380" w:rsidP="00AF3380">
      <w:pPr>
        <w:spacing w:after="0" w:line="240" w:lineRule="auto"/>
        <w:jc w:val="both"/>
      </w:pPr>
      <w:r>
        <w:t xml:space="preserve">Tutte le criticità evidenziate nel corso della valutazione sono state risolte e la qualità di </w:t>
      </w:r>
      <w:proofErr w:type="spellStart"/>
      <w:r>
        <w:t>Somun</w:t>
      </w:r>
      <w:proofErr w:type="spellEnd"/>
      <w:r>
        <w:t xml:space="preserve"> è considerata adeguata. Non ci sono obiezioni per l’approvazione di </w:t>
      </w:r>
      <w:proofErr w:type="spellStart"/>
      <w:r>
        <w:t>Somun</w:t>
      </w:r>
      <w:proofErr w:type="spellEnd"/>
      <w:r>
        <w:t xml:space="preserve"> dal punto di vista chimico-farmaceutico.</w:t>
      </w:r>
    </w:p>
    <w:p w:rsidR="00AF3380" w:rsidRDefault="00AF3380" w:rsidP="00AF3380">
      <w:pPr>
        <w:spacing w:after="0" w:line="240" w:lineRule="auto"/>
        <w:jc w:val="both"/>
      </w:pPr>
    </w:p>
    <w:p w:rsidR="00AF3380" w:rsidRDefault="00AF3380" w:rsidP="00AF3380">
      <w:pPr>
        <w:spacing w:after="0" w:line="240" w:lineRule="auto"/>
        <w:jc w:val="both"/>
      </w:pPr>
    </w:p>
    <w:p w:rsidR="00AF3380" w:rsidRPr="00DF7B22" w:rsidRDefault="00AF3380" w:rsidP="00AF3380">
      <w:pPr>
        <w:pStyle w:val="Paragrafoelenco"/>
        <w:numPr>
          <w:ilvl w:val="0"/>
          <w:numId w:val="5"/>
        </w:numPr>
        <w:spacing w:after="0" w:line="240" w:lineRule="auto"/>
        <w:jc w:val="both"/>
        <w:rPr>
          <w:b/>
        </w:rPr>
      </w:pPr>
      <w:r w:rsidRPr="00DF7B22">
        <w:rPr>
          <w:b/>
        </w:rPr>
        <w:lastRenderedPageBreak/>
        <w:t>ASPETTI NON CLINICI</w:t>
      </w:r>
    </w:p>
    <w:p w:rsidR="00AF3380" w:rsidRDefault="00AF3380" w:rsidP="00AF3380">
      <w:pPr>
        <w:spacing w:after="0" w:line="240" w:lineRule="auto"/>
        <w:jc w:val="both"/>
      </w:pPr>
      <w:r>
        <w:t xml:space="preserve">Non sono stati condotti specifici studi non clinici, in quanto </w:t>
      </w:r>
      <w:proofErr w:type="spellStart"/>
      <w:r>
        <w:t>Somun</w:t>
      </w:r>
      <w:proofErr w:type="spellEnd"/>
      <w:r>
        <w:t xml:space="preserve"> contiene un principio attivo noto: questo approccio è accettabile poiché il medicinale di riferimento </w:t>
      </w:r>
      <w:proofErr w:type="spellStart"/>
      <w:r>
        <w:t>Panadol</w:t>
      </w:r>
      <w:proofErr w:type="spellEnd"/>
      <w:r>
        <w:t xml:space="preserve"> è autorizzato in Italia da oltre 10 anni.</w:t>
      </w:r>
    </w:p>
    <w:p w:rsidR="00AF3380" w:rsidRPr="00A85A34" w:rsidRDefault="00AF3380" w:rsidP="00A85A34">
      <w:pPr>
        <w:spacing w:after="0" w:line="240" w:lineRule="auto"/>
        <w:jc w:val="both"/>
      </w:pPr>
      <w:r w:rsidRPr="00A85A34">
        <w:t>Non ci sono obiezioni per l’approvazione dal punto di vista non clinico.</w:t>
      </w:r>
    </w:p>
    <w:p w:rsidR="00AF3380" w:rsidRPr="00A85A34" w:rsidRDefault="00AF3380" w:rsidP="00A85A34">
      <w:pPr>
        <w:spacing w:after="0" w:line="240" w:lineRule="auto"/>
        <w:jc w:val="both"/>
      </w:pPr>
    </w:p>
    <w:p w:rsidR="00AF3380" w:rsidRPr="00A85A34" w:rsidRDefault="00AF3380" w:rsidP="00A85A34">
      <w:pPr>
        <w:spacing w:after="0" w:line="240" w:lineRule="auto"/>
        <w:jc w:val="both"/>
      </w:pPr>
    </w:p>
    <w:p w:rsidR="00AF3380" w:rsidRPr="00A85A34" w:rsidRDefault="00AF3380" w:rsidP="00A85A34">
      <w:pPr>
        <w:pStyle w:val="Paragrafoelenco"/>
        <w:numPr>
          <w:ilvl w:val="0"/>
          <w:numId w:val="5"/>
        </w:numPr>
        <w:spacing w:after="0" w:line="240" w:lineRule="auto"/>
        <w:jc w:val="both"/>
        <w:rPr>
          <w:b/>
        </w:rPr>
      </w:pPr>
      <w:r w:rsidRPr="00A85A34">
        <w:rPr>
          <w:b/>
        </w:rPr>
        <w:t>ASPETTI CLINICI</w:t>
      </w:r>
    </w:p>
    <w:p w:rsidR="00AF3380" w:rsidRPr="00A85A34" w:rsidRDefault="00AF3380" w:rsidP="00A85A34">
      <w:pPr>
        <w:spacing w:after="0" w:line="240" w:lineRule="auto"/>
        <w:jc w:val="both"/>
      </w:pPr>
      <w:proofErr w:type="spellStart"/>
      <w:r w:rsidRPr="00A85A34">
        <w:t>Somun</w:t>
      </w:r>
      <w:proofErr w:type="spellEnd"/>
      <w:r w:rsidRPr="00A85A34">
        <w:t xml:space="preserve"> è utilizzato nel </w:t>
      </w:r>
      <w:r w:rsidRPr="00A85A34">
        <w:rPr>
          <w:rFonts w:ascii="Calibri" w:hAnsi="Calibri"/>
        </w:rPr>
        <w:t xml:space="preserve">trattamento </w:t>
      </w:r>
      <w:r w:rsidR="00A85A34" w:rsidRPr="00A85A34">
        <w:t>sintomatico di stati dolorosi acuti (mal di testa, nevralgie, mal di denti, dolori mestruali) e di stati febbrili.</w:t>
      </w:r>
    </w:p>
    <w:p w:rsidR="00AF3380" w:rsidRPr="00A85A34" w:rsidRDefault="00AF3380" w:rsidP="00A85A34">
      <w:pPr>
        <w:autoSpaceDE w:val="0"/>
        <w:autoSpaceDN w:val="0"/>
        <w:adjustRightInd w:val="0"/>
        <w:spacing w:after="0" w:line="240" w:lineRule="auto"/>
        <w:jc w:val="both"/>
        <w:rPr>
          <w:rFonts w:eastAsia="Times New Roman"/>
          <w:lang w:eastAsia="it-IT"/>
        </w:rPr>
      </w:pPr>
    </w:p>
    <w:p w:rsidR="00AF3380" w:rsidRPr="00A85A34" w:rsidRDefault="00AF3380" w:rsidP="00A85A34">
      <w:pPr>
        <w:spacing w:after="0" w:line="240" w:lineRule="auto"/>
        <w:ind w:right="6"/>
        <w:jc w:val="both"/>
        <w:rPr>
          <w:b/>
        </w:rPr>
      </w:pPr>
      <w:r w:rsidRPr="00A85A34">
        <w:rPr>
          <w:b/>
        </w:rPr>
        <w:t>Posologia e modalità di somministrazione</w:t>
      </w:r>
    </w:p>
    <w:p w:rsidR="00AF3380" w:rsidRPr="00A85A34" w:rsidRDefault="00AF3380" w:rsidP="00A85A34">
      <w:pPr>
        <w:spacing w:after="0" w:line="240" w:lineRule="auto"/>
        <w:ind w:right="6"/>
        <w:jc w:val="both"/>
        <w:rPr>
          <w:rFonts w:eastAsia="Calibri" w:cs="Calibri"/>
          <w:lang w:eastAsia="it-IT"/>
        </w:rPr>
      </w:pPr>
      <w:r w:rsidRPr="00A85A34">
        <w:t>Le informazioni sulla posologia e sulle modalità di somministrazione sono riportate nel Riassunto delle Caratteristiche del Prodotto pubblicato sul sito dell’Agenzia Italiana del Farmaco - AIFA /</w:t>
      </w:r>
      <w:r w:rsidRPr="00A85A34">
        <w:rPr>
          <w:rFonts w:eastAsia="Calibri" w:cs="Calibri"/>
          <w:lang w:eastAsia="it-IT"/>
        </w:rPr>
        <w:t>(</w:t>
      </w:r>
      <w:hyperlink r:id="rId8" w:history="1">
        <w:r w:rsidRPr="00A85A34">
          <w:rPr>
            <w:rStyle w:val="Collegamentoipertestuale"/>
            <w:rFonts w:eastAsia="Calibri" w:cs="Calibri"/>
            <w:lang w:eastAsia="it-IT"/>
          </w:rPr>
          <w:t>https://farmaci.agenziafarmaco.gov.it/bancadatifarmaci</w:t>
        </w:r>
      </w:hyperlink>
      <w:r w:rsidRPr="00A85A34">
        <w:rPr>
          <w:rFonts w:eastAsia="Calibri" w:cs="Calibri"/>
          <w:lang w:eastAsia="it-IT"/>
        </w:rPr>
        <w:t>).</w:t>
      </w:r>
    </w:p>
    <w:p w:rsidR="00AF3380" w:rsidRPr="00A85A34" w:rsidRDefault="00AF3380" w:rsidP="00A85A34">
      <w:pPr>
        <w:spacing w:after="0" w:line="240" w:lineRule="auto"/>
        <w:ind w:right="6"/>
        <w:jc w:val="both"/>
        <w:rPr>
          <w:rFonts w:eastAsia="Calibri" w:cs="Calibri"/>
          <w:lang w:eastAsia="it-IT"/>
        </w:rPr>
      </w:pPr>
    </w:p>
    <w:p w:rsidR="00AF3380" w:rsidRPr="00A85A34" w:rsidRDefault="00AF3380" w:rsidP="00A85A34">
      <w:pPr>
        <w:spacing w:after="0" w:line="240" w:lineRule="auto"/>
        <w:ind w:right="6"/>
        <w:jc w:val="both"/>
        <w:rPr>
          <w:rFonts w:eastAsia="Calibri" w:cs="Calibri"/>
          <w:b/>
          <w:lang w:eastAsia="it-IT"/>
        </w:rPr>
      </w:pPr>
      <w:r w:rsidRPr="00A85A34">
        <w:rPr>
          <w:rFonts w:eastAsia="Calibri" w:cs="Calibri"/>
          <w:b/>
          <w:lang w:eastAsia="it-IT"/>
        </w:rPr>
        <w:t>Tossicologia</w:t>
      </w:r>
    </w:p>
    <w:p w:rsidR="00AF3380" w:rsidRDefault="00AF3380" w:rsidP="00AF3380">
      <w:pPr>
        <w:spacing w:after="0" w:line="240" w:lineRule="auto"/>
        <w:ind w:right="6"/>
        <w:jc w:val="both"/>
        <w:rPr>
          <w:rFonts w:eastAsia="Calibri" w:cs="Calibri"/>
          <w:lang w:eastAsia="it-IT"/>
        </w:rPr>
      </w:pPr>
      <w:r>
        <w:rPr>
          <w:rFonts w:eastAsia="Calibri" w:cs="Calibri"/>
          <w:lang w:eastAsia="it-IT"/>
        </w:rPr>
        <w:t xml:space="preserve">La tossicologia di </w:t>
      </w:r>
      <w:r>
        <w:t xml:space="preserve">paracetamolo </w:t>
      </w:r>
      <w:r>
        <w:rPr>
          <w:rFonts w:eastAsia="Calibri" w:cs="Calibri"/>
          <w:lang w:eastAsia="it-IT"/>
        </w:rPr>
        <w:t>è ben conosciuta; non è stato necessario presentare ulteriori dati.</w:t>
      </w:r>
    </w:p>
    <w:p w:rsidR="00AF3380" w:rsidRDefault="00AF3380" w:rsidP="00AF3380">
      <w:pPr>
        <w:spacing w:after="0" w:line="240" w:lineRule="auto"/>
        <w:ind w:right="6"/>
        <w:jc w:val="both"/>
        <w:rPr>
          <w:rFonts w:eastAsia="Calibri" w:cs="Calibri"/>
          <w:lang w:eastAsia="it-IT"/>
        </w:rPr>
      </w:pPr>
    </w:p>
    <w:p w:rsidR="00AF3380" w:rsidRPr="006556D6" w:rsidRDefault="00AF3380" w:rsidP="00AF3380">
      <w:pPr>
        <w:spacing w:after="0" w:line="240" w:lineRule="auto"/>
        <w:ind w:right="6"/>
        <w:jc w:val="both"/>
        <w:rPr>
          <w:rFonts w:eastAsia="Times New Roman" w:cs="Times New Roman"/>
          <w:b/>
        </w:rPr>
      </w:pPr>
      <w:r w:rsidRPr="006556D6">
        <w:rPr>
          <w:rFonts w:eastAsia="Times New Roman" w:cs="Times New Roman"/>
          <w:b/>
        </w:rPr>
        <w:t>Farmacologia clinica</w:t>
      </w:r>
    </w:p>
    <w:p w:rsidR="00AF3380" w:rsidRDefault="00AF3380" w:rsidP="00AF3380">
      <w:pPr>
        <w:spacing w:after="0" w:line="240" w:lineRule="auto"/>
        <w:jc w:val="both"/>
      </w:pPr>
      <w:r>
        <w:rPr>
          <w:rFonts w:eastAsia="Calibri" w:cs="Calibri"/>
          <w:lang w:eastAsia="it-IT"/>
        </w:rPr>
        <w:t xml:space="preserve">La farmacologia clinica di </w:t>
      </w:r>
      <w:r>
        <w:t xml:space="preserve">paracetamolo </w:t>
      </w:r>
      <w:r>
        <w:rPr>
          <w:rFonts w:eastAsia="Calibri" w:cs="Calibri"/>
          <w:lang w:eastAsia="it-IT"/>
        </w:rPr>
        <w:t xml:space="preserve">è ben conosciuta. </w:t>
      </w:r>
      <w:r>
        <w:t>N</w:t>
      </w:r>
      <w:r w:rsidRPr="00A34141">
        <w:t xml:space="preserve">on sono stati condotti </w:t>
      </w:r>
      <w:r>
        <w:t>nuovi</w:t>
      </w:r>
      <w:r w:rsidRPr="00A34141">
        <w:t xml:space="preserve"> studi clinici</w:t>
      </w:r>
      <w:r>
        <w:t xml:space="preserve"> di farmacodinamica e farmacocinetica</w:t>
      </w:r>
      <w:r w:rsidRPr="00A34141">
        <w:t xml:space="preserve">, in quanto </w:t>
      </w:r>
      <w:proofErr w:type="spellStart"/>
      <w:r>
        <w:t>Somun</w:t>
      </w:r>
      <w:proofErr w:type="spellEnd"/>
      <w:r w:rsidRPr="00A34141">
        <w:t xml:space="preserve"> contiene </w:t>
      </w:r>
      <w:r>
        <w:t>un</w:t>
      </w:r>
      <w:r w:rsidRPr="00A34141">
        <w:t xml:space="preserve"> principi</w:t>
      </w:r>
      <w:r>
        <w:t>o</w:t>
      </w:r>
      <w:r w:rsidRPr="00A34141">
        <w:t xml:space="preserve"> attiv</w:t>
      </w:r>
      <w:r>
        <w:t>o</w:t>
      </w:r>
      <w:r w:rsidRPr="00A34141">
        <w:t xml:space="preserve"> not</w:t>
      </w:r>
      <w:r>
        <w:t>o</w:t>
      </w:r>
      <w:r w:rsidRPr="00A34141">
        <w:t xml:space="preserve"> e present</w:t>
      </w:r>
      <w:r>
        <w:t>e</w:t>
      </w:r>
      <w:r w:rsidRPr="00A34141">
        <w:t xml:space="preserve"> </w:t>
      </w:r>
      <w:r>
        <w:t>nel</w:t>
      </w:r>
      <w:r w:rsidRPr="00A34141">
        <w:t xml:space="preserve"> medicinal</w:t>
      </w:r>
      <w:r>
        <w:t>e</w:t>
      </w:r>
      <w:r w:rsidRPr="00A34141">
        <w:t xml:space="preserve"> </w:t>
      </w:r>
      <w:proofErr w:type="spellStart"/>
      <w:r>
        <w:t>Panadol</w:t>
      </w:r>
      <w:proofErr w:type="spellEnd"/>
      <w:r>
        <w:t xml:space="preserve"> </w:t>
      </w:r>
      <w:r w:rsidRPr="00A34141">
        <w:t>autorizzat</w:t>
      </w:r>
      <w:r>
        <w:t xml:space="preserve">o in Italia </w:t>
      </w:r>
      <w:r w:rsidRPr="00A34141">
        <w:t>da più di 10 anni.</w:t>
      </w:r>
    </w:p>
    <w:p w:rsidR="00AF3380" w:rsidRDefault="00AF3380" w:rsidP="00AF3380">
      <w:pPr>
        <w:spacing w:after="0" w:line="240" w:lineRule="auto"/>
        <w:jc w:val="both"/>
        <w:rPr>
          <w:rFonts w:cs="Arial"/>
        </w:rPr>
      </w:pPr>
    </w:p>
    <w:p w:rsidR="00FF0EC7" w:rsidRPr="00FF0EC7" w:rsidRDefault="00FF0EC7" w:rsidP="00FF0EC7">
      <w:pPr>
        <w:spacing w:after="0" w:line="240" w:lineRule="auto"/>
        <w:jc w:val="both"/>
        <w:rPr>
          <w:b/>
        </w:rPr>
      </w:pPr>
      <w:r w:rsidRPr="00FF0EC7">
        <w:rPr>
          <w:b/>
        </w:rPr>
        <w:t>Studio di bioequivalenza</w:t>
      </w:r>
    </w:p>
    <w:p w:rsidR="00FF0EC7" w:rsidRPr="00FF0EC7" w:rsidRDefault="00FF0EC7" w:rsidP="006F0029">
      <w:pPr>
        <w:spacing w:after="0" w:line="240" w:lineRule="auto"/>
        <w:jc w:val="both"/>
      </w:pPr>
      <w:r w:rsidRPr="00FF0EC7">
        <w:t xml:space="preserve">La richiesta di AIC è supportata da uno studio di bioequivalenza che ha confrontato i profili farmacocinetici di </w:t>
      </w:r>
      <w:proofErr w:type="spellStart"/>
      <w:r w:rsidRPr="00FF0EC7">
        <w:t>Somun</w:t>
      </w:r>
      <w:proofErr w:type="spellEnd"/>
      <w:r w:rsidRPr="00FF0EC7">
        <w:t xml:space="preserve"> </w:t>
      </w:r>
      <w:r w:rsidR="006F0029" w:rsidRPr="00C300AA">
        <w:t xml:space="preserve">(granuli </w:t>
      </w:r>
      <w:proofErr w:type="spellStart"/>
      <w:r w:rsidR="006F0029" w:rsidRPr="00C300AA">
        <w:t>orodispersibili</w:t>
      </w:r>
      <w:proofErr w:type="spellEnd"/>
      <w:r w:rsidR="006F0029" w:rsidRPr="00C300AA">
        <w:t xml:space="preserve">) </w:t>
      </w:r>
      <w:r w:rsidRPr="00FF0EC7">
        <w:t xml:space="preserve">e quelli del medicinale di riferimento </w:t>
      </w:r>
      <w:proofErr w:type="spellStart"/>
      <w:r w:rsidRPr="00FF0EC7">
        <w:t>Panadol</w:t>
      </w:r>
      <w:proofErr w:type="spellEnd"/>
      <w:r w:rsidR="006F0029" w:rsidRPr="006F0029">
        <w:t xml:space="preserve"> </w:t>
      </w:r>
      <w:r w:rsidR="006F0029" w:rsidRPr="00C300AA">
        <w:t>(compresse rivestite con film</w:t>
      </w:r>
      <w:r w:rsidR="006F0029" w:rsidRPr="00C300AA">
        <w:rPr>
          <w:bCs/>
        </w:rPr>
        <w:t>)</w:t>
      </w:r>
      <w:r w:rsidRPr="00FF0EC7">
        <w:t>.</w:t>
      </w:r>
    </w:p>
    <w:p w:rsidR="00FF0EC7" w:rsidRPr="00FF0EC7" w:rsidRDefault="00FF0EC7" w:rsidP="006F0029">
      <w:pPr>
        <w:pStyle w:val="Paragrafoelenco"/>
        <w:spacing w:after="0" w:line="240" w:lineRule="auto"/>
        <w:ind w:left="0"/>
        <w:jc w:val="both"/>
      </w:pPr>
      <w:r w:rsidRPr="00FF0EC7">
        <w:t>Lo studio era caratterizzato da un appropriato disegno ed è stato condotto in accordo ai principi GCP. Sono stati forniti certificati analitici per medicinale test e medicinale di riferimento.</w:t>
      </w:r>
    </w:p>
    <w:p w:rsidR="006F0029" w:rsidRPr="00C300AA" w:rsidRDefault="00FF0EC7" w:rsidP="006F0029">
      <w:pPr>
        <w:spacing w:after="0" w:line="240" w:lineRule="auto"/>
      </w:pPr>
      <w:r w:rsidRPr="006F0029">
        <w:rPr>
          <w:rFonts w:ascii="Calibri" w:hAnsi="Calibri"/>
        </w:rPr>
        <w:t xml:space="preserve">Lo studio di bioequivalenza è uno studio </w:t>
      </w:r>
      <w:r w:rsidR="006F0029" w:rsidRPr="006F0029">
        <w:t>a due stadi</w:t>
      </w:r>
      <w:r w:rsidR="006F0029" w:rsidRPr="006F0029">
        <w:rPr>
          <w:rFonts w:ascii="Calibri" w:hAnsi="Calibri"/>
        </w:rPr>
        <w:t xml:space="preserve">, </w:t>
      </w:r>
      <w:r w:rsidRPr="006F0029">
        <w:rPr>
          <w:rFonts w:ascii="Calibri" w:hAnsi="Calibri"/>
        </w:rPr>
        <w:t xml:space="preserve">comparativo, controllato,  randomizzato, a dose singola, 2-periodi, crossover condotto in </w:t>
      </w:r>
      <w:r w:rsidR="006F0029" w:rsidRPr="006F0029">
        <w:rPr>
          <w:rFonts w:ascii="Calibri" w:hAnsi="Calibri"/>
        </w:rPr>
        <w:t>18 + 66</w:t>
      </w:r>
      <w:r w:rsidRPr="006F0029">
        <w:rPr>
          <w:rFonts w:ascii="Calibri" w:hAnsi="Calibri"/>
        </w:rPr>
        <w:t xml:space="preserve"> volontari sani di entrambi i sessi con somministrazione a digiuno. </w:t>
      </w:r>
      <w:r w:rsidRPr="006F0029">
        <w:rPr>
          <w:rFonts w:ascii="Calibri" w:hAnsi="Calibri" w:cs="Arial"/>
        </w:rPr>
        <w:t xml:space="preserve">Dopo una notte di digiuno, </w:t>
      </w:r>
      <w:r w:rsidR="006F0029" w:rsidRPr="00C300AA">
        <w:t xml:space="preserve">Il confronto è stato condotto somministrando </w:t>
      </w:r>
      <w:proofErr w:type="spellStart"/>
      <w:r w:rsidR="006F0029" w:rsidRPr="00C300AA">
        <w:t>Somun</w:t>
      </w:r>
      <w:proofErr w:type="spellEnd"/>
      <w:r w:rsidR="006F0029" w:rsidRPr="00C300AA">
        <w:t xml:space="preserve"> senza acqua (umettando la bocca con 20 m</w:t>
      </w:r>
      <w:r w:rsidR="006F0029">
        <w:t>l</w:t>
      </w:r>
      <w:r w:rsidR="006F0029" w:rsidRPr="00C300AA">
        <w:t xml:space="preserve"> di acqua prima di porre i granuli sulla lingua) e </w:t>
      </w:r>
      <w:proofErr w:type="spellStart"/>
      <w:r w:rsidR="006F0029" w:rsidRPr="00C300AA">
        <w:t>Panadol</w:t>
      </w:r>
      <w:proofErr w:type="spellEnd"/>
      <w:r w:rsidR="006F0029" w:rsidRPr="00C300AA">
        <w:t xml:space="preserve"> con acqua (240</w:t>
      </w:r>
      <w:r w:rsidR="006F0029">
        <w:t xml:space="preserve"> </w:t>
      </w:r>
      <w:r w:rsidR="006F0029" w:rsidRPr="00C300AA">
        <w:t>ml).</w:t>
      </w:r>
    </w:p>
    <w:p w:rsidR="00FF0EC7" w:rsidRPr="006F0029" w:rsidRDefault="00FF0EC7" w:rsidP="006F0029">
      <w:pPr>
        <w:spacing w:after="0" w:line="240" w:lineRule="auto"/>
        <w:jc w:val="both"/>
        <w:rPr>
          <w:rFonts w:ascii="Calibri" w:hAnsi="Calibri" w:cs="Arial"/>
        </w:rPr>
      </w:pPr>
      <w:r w:rsidRPr="006F0029">
        <w:rPr>
          <w:rFonts w:ascii="Calibri" w:hAnsi="Calibri"/>
        </w:rPr>
        <w:t xml:space="preserve">Un soddisfacente periodo di wash-out </w:t>
      </w:r>
      <w:r w:rsidRPr="006F0029">
        <w:rPr>
          <w:rFonts w:ascii="Calibri" w:hAnsi="Calibri" w:cs="Arial"/>
        </w:rPr>
        <w:t>è stato previsto tra le somministrazioni in ogni gruppo.</w:t>
      </w:r>
    </w:p>
    <w:p w:rsidR="00FF0EC7" w:rsidRPr="006F0029" w:rsidRDefault="00FF0EC7" w:rsidP="006F0029">
      <w:pPr>
        <w:pStyle w:val="Paragrafoelenco"/>
        <w:spacing w:after="0" w:line="240" w:lineRule="auto"/>
        <w:ind w:left="0"/>
        <w:jc w:val="both"/>
        <w:rPr>
          <w:rFonts w:ascii="Calibri" w:hAnsi="Calibri" w:cs="Arial"/>
        </w:rPr>
      </w:pPr>
      <w:r w:rsidRPr="006F0029">
        <w:rPr>
          <w:rFonts w:ascii="Calibri" w:hAnsi="Calibri" w:cs="Arial"/>
        </w:rPr>
        <w:t>Campioni di sangue sono stati prelevati al tempo zero (</w:t>
      </w:r>
      <w:proofErr w:type="spellStart"/>
      <w:r w:rsidRPr="006F0029">
        <w:rPr>
          <w:rFonts w:ascii="Calibri" w:hAnsi="Calibri" w:cs="Arial"/>
        </w:rPr>
        <w:t>pre-dose</w:t>
      </w:r>
      <w:proofErr w:type="spellEnd"/>
      <w:r w:rsidRPr="006F0029">
        <w:rPr>
          <w:rFonts w:ascii="Calibri" w:hAnsi="Calibri" w:cs="Arial"/>
        </w:rPr>
        <w:t xml:space="preserve">) e a specificati tempi fino a </w:t>
      </w:r>
      <w:r w:rsidR="006F0029" w:rsidRPr="006F0029">
        <w:rPr>
          <w:rFonts w:ascii="Calibri" w:hAnsi="Calibri" w:cs="Arial"/>
        </w:rPr>
        <w:t>12</w:t>
      </w:r>
      <w:r w:rsidRPr="006F0029">
        <w:rPr>
          <w:rFonts w:ascii="Calibri" w:hAnsi="Calibri" w:cs="Arial"/>
        </w:rPr>
        <w:t xml:space="preserve"> ore dopo la somministrazione. I livelli plasmatici dei due principi attivi sono stati determinati mediante un metodo analitico HPLC-MS-MS opportunamente convalidato.</w:t>
      </w:r>
    </w:p>
    <w:p w:rsidR="00FF0EC7" w:rsidRPr="006F0029" w:rsidRDefault="00FF0EC7" w:rsidP="00FF0EC7">
      <w:pPr>
        <w:pStyle w:val="Paragrafoelenco"/>
        <w:spacing w:after="0" w:line="240" w:lineRule="auto"/>
        <w:ind w:left="0"/>
        <w:jc w:val="both"/>
        <w:rPr>
          <w:rFonts w:ascii="Calibri" w:hAnsi="Calibri" w:cs="Arial"/>
        </w:rPr>
      </w:pPr>
      <w:r w:rsidRPr="006F0029">
        <w:rPr>
          <w:rFonts w:ascii="Calibri" w:hAnsi="Calibri" w:cs="Arial"/>
        </w:rPr>
        <w:t xml:space="preserve">Le variabili farmacocinetiche definite per i due studi sono state: </w:t>
      </w:r>
      <w:proofErr w:type="spellStart"/>
      <w:r w:rsidRPr="006F0029">
        <w:rPr>
          <w:rFonts w:ascii="Calibri" w:hAnsi="Calibri" w:cs="Arial"/>
        </w:rPr>
        <w:t>C</w:t>
      </w:r>
      <w:r w:rsidRPr="006F0029">
        <w:rPr>
          <w:rFonts w:ascii="Calibri" w:hAnsi="Calibri" w:cs="Arial"/>
          <w:vertAlign w:val="subscript"/>
        </w:rPr>
        <w:t>max</w:t>
      </w:r>
      <w:proofErr w:type="spellEnd"/>
      <w:r w:rsidRPr="006F0029">
        <w:rPr>
          <w:rFonts w:ascii="Calibri" w:hAnsi="Calibri" w:cs="Arial"/>
        </w:rPr>
        <w:t>, AUC</w:t>
      </w:r>
      <w:r w:rsidRPr="006F0029">
        <w:rPr>
          <w:rFonts w:ascii="Calibri" w:hAnsi="Calibri" w:cs="Arial"/>
          <w:vertAlign w:val="subscript"/>
        </w:rPr>
        <w:t>0-t</w:t>
      </w:r>
      <w:r w:rsidRPr="006F0029">
        <w:rPr>
          <w:rFonts w:ascii="Calibri" w:hAnsi="Calibri" w:cs="Arial"/>
        </w:rPr>
        <w:t>,, AUC</w:t>
      </w:r>
      <w:r w:rsidRPr="006F0029">
        <w:rPr>
          <w:rFonts w:ascii="Calibri" w:hAnsi="Calibri" w:cs="Arial"/>
          <w:vertAlign w:val="subscript"/>
        </w:rPr>
        <w:t>0-</w:t>
      </w:r>
      <w:r w:rsidRPr="006F0029">
        <w:rPr>
          <w:rFonts w:ascii="Calibri" w:hAnsi="Calibri" w:cs="Arial"/>
          <w:vertAlign w:val="subscript"/>
          <w:lang w:val="en-GB"/>
        </w:rPr>
        <w:sym w:font="Symbol" w:char="00A5"/>
      </w:r>
      <w:r w:rsidRPr="006F0029">
        <w:rPr>
          <w:rFonts w:ascii="Calibri" w:hAnsi="Calibri" w:cs="Arial"/>
        </w:rPr>
        <w:t xml:space="preserve">, </w:t>
      </w:r>
      <w:proofErr w:type="spellStart"/>
      <w:r w:rsidRPr="006F0029">
        <w:rPr>
          <w:rFonts w:ascii="Calibri" w:hAnsi="Calibri" w:cs="Arial"/>
        </w:rPr>
        <w:t>t</w:t>
      </w:r>
      <w:r w:rsidRPr="006F0029">
        <w:rPr>
          <w:rFonts w:ascii="Calibri" w:hAnsi="Calibri" w:cs="Arial"/>
          <w:vertAlign w:val="subscript"/>
        </w:rPr>
        <w:t>max</w:t>
      </w:r>
      <w:proofErr w:type="spellEnd"/>
      <w:r w:rsidRPr="006F0029">
        <w:rPr>
          <w:rFonts w:ascii="Calibri" w:hAnsi="Calibri" w:cs="Arial"/>
        </w:rPr>
        <w:t xml:space="preserve">, </w:t>
      </w:r>
      <w:proofErr w:type="spellStart"/>
      <w:r w:rsidRPr="006F0029">
        <w:rPr>
          <w:rFonts w:ascii="Calibri" w:hAnsi="Calibri" w:cs="Arial"/>
        </w:rPr>
        <w:t>t½</w:t>
      </w:r>
      <w:proofErr w:type="spellEnd"/>
      <w:r w:rsidRPr="006F0029">
        <w:rPr>
          <w:rFonts w:ascii="Calibri" w:hAnsi="Calibri" w:cs="Arial"/>
        </w:rPr>
        <w:t xml:space="preserve"> e AUC estrapolata. La bioequivalenza tra medicinale test e medicinale di riferimento è dimostrata se gli intervalli di confidenza al 90% per la trasformata logaritmica di  </w:t>
      </w:r>
      <w:proofErr w:type="spellStart"/>
      <w:r w:rsidRPr="006F0029">
        <w:rPr>
          <w:rFonts w:ascii="Calibri" w:hAnsi="Calibri" w:cs="Arial"/>
        </w:rPr>
        <w:t>C</w:t>
      </w:r>
      <w:r w:rsidRPr="006F0029">
        <w:rPr>
          <w:rFonts w:ascii="Calibri" w:hAnsi="Calibri" w:cs="Arial"/>
          <w:vertAlign w:val="subscript"/>
        </w:rPr>
        <w:t>max</w:t>
      </w:r>
      <w:proofErr w:type="spellEnd"/>
      <w:r w:rsidR="006F0029" w:rsidRPr="006F0029">
        <w:rPr>
          <w:rFonts w:ascii="Calibri" w:hAnsi="Calibri" w:cs="Arial"/>
          <w:vertAlign w:val="subscript"/>
        </w:rPr>
        <w:t xml:space="preserve"> </w:t>
      </w:r>
      <w:r w:rsidRPr="006F0029">
        <w:rPr>
          <w:rFonts w:ascii="Calibri" w:hAnsi="Calibri" w:cs="Arial"/>
        </w:rPr>
        <w:t>e AUC</w:t>
      </w:r>
      <w:r w:rsidRPr="006F0029">
        <w:rPr>
          <w:rFonts w:ascii="Calibri" w:hAnsi="Calibri" w:cs="Arial"/>
          <w:vertAlign w:val="subscript"/>
        </w:rPr>
        <w:t>0-t</w:t>
      </w:r>
      <w:r w:rsidRPr="006F0029">
        <w:rPr>
          <w:rFonts w:ascii="Calibri" w:hAnsi="Calibri" w:cs="Arial"/>
        </w:rPr>
        <w:t xml:space="preserve">,, cadono nel </w:t>
      </w:r>
      <w:proofErr w:type="spellStart"/>
      <w:r w:rsidRPr="006F0029">
        <w:rPr>
          <w:rFonts w:ascii="Calibri" w:hAnsi="Calibri" w:cs="Arial"/>
        </w:rPr>
        <w:t>range</w:t>
      </w:r>
      <w:proofErr w:type="spellEnd"/>
      <w:r w:rsidRPr="006F0029">
        <w:rPr>
          <w:rFonts w:ascii="Calibri" w:hAnsi="Calibri" w:cs="Arial"/>
        </w:rPr>
        <w:t xml:space="preserve"> di accettabilità di 0.80-1.25 (80%-125%).</w:t>
      </w:r>
    </w:p>
    <w:p w:rsidR="00FF0EC7" w:rsidRPr="006F0029" w:rsidRDefault="00FF0EC7" w:rsidP="00FF0EC7">
      <w:pPr>
        <w:pStyle w:val="Paragrafoelenco"/>
        <w:spacing w:after="0" w:line="240" w:lineRule="auto"/>
        <w:ind w:left="0"/>
        <w:jc w:val="both"/>
      </w:pPr>
    </w:p>
    <w:p w:rsidR="00FF0EC7" w:rsidRPr="006F0029" w:rsidRDefault="00FF0EC7" w:rsidP="00FF0EC7">
      <w:pPr>
        <w:pStyle w:val="Paragrafoelenco"/>
        <w:spacing w:after="0" w:line="240" w:lineRule="auto"/>
        <w:ind w:left="0"/>
        <w:jc w:val="both"/>
        <w:rPr>
          <w:u w:val="single"/>
        </w:rPr>
      </w:pPr>
      <w:r w:rsidRPr="006F0029">
        <w:rPr>
          <w:u w:val="single"/>
        </w:rPr>
        <w:t>Risultati</w:t>
      </w:r>
    </w:p>
    <w:p w:rsidR="00FF0EC7" w:rsidRPr="006F0029" w:rsidRDefault="006F0029" w:rsidP="00FF0EC7">
      <w:pPr>
        <w:pStyle w:val="Paragrafoelenco"/>
        <w:spacing w:after="0" w:line="240" w:lineRule="auto"/>
        <w:ind w:left="0"/>
        <w:jc w:val="both"/>
      </w:pPr>
      <w:r w:rsidRPr="006F0029">
        <w:t>Tutti gli 84 soggetti hanno completato fase clinica e sono stati analizzati</w:t>
      </w:r>
    </w:p>
    <w:p w:rsidR="006F0029" w:rsidRPr="006F0029" w:rsidRDefault="006F0029" w:rsidP="00FF0EC7">
      <w:pPr>
        <w:pStyle w:val="Paragrafoelenco"/>
        <w:spacing w:after="0" w:line="240" w:lineRule="auto"/>
        <w:ind w:left="0"/>
        <w:jc w:val="both"/>
        <w:rPr>
          <w:rFonts w:ascii="Calibri" w:hAnsi="Calibri" w:cs="Arial"/>
          <w:b/>
          <w:i/>
        </w:rPr>
      </w:pPr>
    </w:p>
    <w:p w:rsidR="00FF0EC7" w:rsidRPr="006F0029" w:rsidRDefault="00FF0EC7" w:rsidP="00FF0EC7">
      <w:pPr>
        <w:pStyle w:val="Didascalia"/>
        <w:keepNext/>
        <w:spacing w:before="0" w:after="0"/>
        <w:jc w:val="both"/>
        <w:outlineLvl w:val="0"/>
        <w:rPr>
          <w:rFonts w:ascii="Calibri" w:hAnsi="Calibri" w:cs="Arial"/>
          <w:b w:val="0"/>
          <w:sz w:val="22"/>
          <w:szCs w:val="22"/>
          <w:lang w:val="it-IT"/>
        </w:rPr>
      </w:pPr>
      <w:r w:rsidRPr="006F0029">
        <w:rPr>
          <w:rFonts w:ascii="Calibri" w:hAnsi="Calibri" w:cs="Arial"/>
          <w:b w:val="0"/>
          <w:i/>
          <w:sz w:val="22"/>
          <w:szCs w:val="22"/>
          <w:lang w:val="it-IT"/>
        </w:rPr>
        <w:t>Sicurezza</w:t>
      </w:r>
    </w:p>
    <w:p w:rsidR="006F0029" w:rsidRPr="00C300AA" w:rsidRDefault="006F0029" w:rsidP="006F0029">
      <w:pPr>
        <w:rPr>
          <w:rFonts w:ascii="Calibri" w:hAnsi="Calibri" w:cs="Arial"/>
        </w:rPr>
      </w:pPr>
      <w:r w:rsidRPr="00C300AA">
        <w:rPr>
          <w:rFonts w:ascii="Calibri" w:hAnsi="Calibri" w:cs="Arial"/>
        </w:rPr>
        <w:t>Nessun evento avverso è stato segnalato nel corso dello studio.</w:t>
      </w:r>
    </w:p>
    <w:p w:rsidR="00FF0EC7" w:rsidRPr="006F0029" w:rsidRDefault="00FF0EC7" w:rsidP="00FF0EC7">
      <w:pPr>
        <w:pStyle w:val="Didascalia"/>
        <w:keepNext/>
        <w:spacing w:before="0" w:after="0"/>
        <w:jc w:val="both"/>
        <w:outlineLvl w:val="0"/>
        <w:rPr>
          <w:rFonts w:asciiTheme="minorHAnsi" w:hAnsiTheme="minorHAnsi" w:cs="Arial"/>
          <w:b w:val="0"/>
          <w:sz w:val="22"/>
          <w:szCs w:val="22"/>
          <w:lang w:val="it-IT"/>
        </w:rPr>
      </w:pPr>
      <w:r w:rsidRPr="006F0029">
        <w:rPr>
          <w:rFonts w:asciiTheme="minorHAnsi" w:hAnsiTheme="minorHAnsi" w:cs="Arial"/>
          <w:b w:val="0"/>
          <w:i/>
          <w:sz w:val="22"/>
          <w:szCs w:val="22"/>
          <w:lang w:val="it-IT"/>
        </w:rPr>
        <w:t>Parametri farmacocinetici</w:t>
      </w:r>
      <w:r w:rsidRPr="006F0029">
        <w:rPr>
          <w:rFonts w:asciiTheme="minorHAnsi" w:hAnsiTheme="minorHAnsi" w:cs="Arial"/>
          <w:b w:val="0"/>
          <w:sz w:val="22"/>
          <w:szCs w:val="22"/>
          <w:lang w:val="it-IT"/>
        </w:rPr>
        <w:t xml:space="preserve">. </w:t>
      </w:r>
    </w:p>
    <w:p w:rsidR="00FF0EC7" w:rsidRPr="006F0029" w:rsidRDefault="00FF0EC7" w:rsidP="00FF0EC7">
      <w:pPr>
        <w:pStyle w:val="Didascalia"/>
        <w:keepNext/>
        <w:spacing w:before="0" w:after="0"/>
        <w:jc w:val="both"/>
        <w:outlineLvl w:val="0"/>
        <w:rPr>
          <w:rFonts w:asciiTheme="minorHAnsi" w:hAnsiTheme="minorHAnsi" w:cs="Arial"/>
          <w:b w:val="0"/>
          <w:sz w:val="22"/>
          <w:szCs w:val="22"/>
          <w:lang w:val="it-IT"/>
        </w:rPr>
      </w:pPr>
      <w:r w:rsidRPr="006F0029">
        <w:rPr>
          <w:rFonts w:asciiTheme="minorHAnsi" w:hAnsiTheme="minorHAnsi" w:cs="Arial"/>
          <w:b w:val="0"/>
          <w:sz w:val="22"/>
          <w:szCs w:val="22"/>
          <w:lang w:val="it-IT"/>
        </w:rPr>
        <w:t>La sintesi dei risultati dello studio di bioequivalenza è riportata nella tabella che segue.</w:t>
      </w:r>
    </w:p>
    <w:p w:rsidR="00FF0EC7" w:rsidRDefault="00FF0EC7" w:rsidP="00FF0EC7">
      <w:pPr>
        <w:pStyle w:val="Paragrafoelenco"/>
        <w:spacing w:after="0" w:line="240" w:lineRule="auto"/>
        <w:ind w:left="0"/>
        <w:jc w:val="both"/>
        <w:rPr>
          <w:highlight w:val="yellow"/>
        </w:rPr>
      </w:pPr>
    </w:p>
    <w:p w:rsidR="006F0029" w:rsidRPr="00FF0EC7" w:rsidRDefault="006F0029" w:rsidP="00FF0EC7">
      <w:pPr>
        <w:pStyle w:val="Paragrafoelenco"/>
        <w:spacing w:after="0" w:line="240" w:lineRule="auto"/>
        <w:ind w:left="0"/>
        <w:jc w:val="both"/>
        <w:rPr>
          <w:highlight w:val="yellow"/>
        </w:rPr>
      </w:pPr>
    </w:p>
    <w:tbl>
      <w:tblPr>
        <w:tblW w:w="43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tblPr>
      <w:tblGrid>
        <w:gridCol w:w="2025"/>
        <w:gridCol w:w="1352"/>
        <w:gridCol w:w="1657"/>
        <w:gridCol w:w="1669"/>
        <w:gridCol w:w="1926"/>
      </w:tblGrid>
      <w:tr w:rsidR="006F0029" w:rsidRPr="006F0029" w:rsidTr="006F0029">
        <w:trPr>
          <w:jc w:val="center"/>
        </w:trPr>
        <w:tc>
          <w:tcPr>
            <w:tcW w:w="8628" w:type="dxa"/>
            <w:gridSpan w:val="5"/>
            <w:shd w:val="clear" w:color="auto" w:fill="auto"/>
            <w:vAlign w:val="bottom"/>
          </w:tcPr>
          <w:p w:rsidR="006F0029" w:rsidRPr="006F0029" w:rsidRDefault="006F0029" w:rsidP="000E11D1">
            <w:pPr>
              <w:spacing w:after="0" w:line="240" w:lineRule="auto"/>
              <w:jc w:val="center"/>
              <w:rPr>
                <w:rFonts w:eastAsia="Times New Roman" w:cs="Times New Roman"/>
                <w:b/>
                <w:bCs/>
                <w:sz w:val="20"/>
                <w:szCs w:val="20"/>
              </w:rPr>
            </w:pPr>
            <w:r w:rsidRPr="006F0029">
              <w:rPr>
                <w:rFonts w:eastAsia="Times New Roman" w:cs="Times New Roman"/>
                <w:b/>
                <w:bCs/>
                <w:sz w:val="20"/>
                <w:szCs w:val="20"/>
              </w:rPr>
              <w:lastRenderedPageBreak/>
              <w:t>Paracetamolo</w:t>
            </w:r>
          </w:p>
        </w:tc>
      </w:tr>
      <w:tr w:rsidR="006F0029" w:rsidRPr="006F0029" w:rsidTr="006F0029">
        <w:trPr>
          <w:jc w:val="center"/>
        </w:trPr>
        <w:tc>
          <w:tcPr>
            <w:tcW w:w="2024" w:type="dxa"/>
            <w:vAlign w:val="bottom"/>
          </w:tcPr>
          <w:p w:rsidR="006F0029" w:rsidRPr="006F0029" w:rsidRDefault="006F0029" w:rsidP="006F0029">
            <w:pPr>
              <w:spacing w:after="0" w:line="240" w:lineRule="auto"/>
              <w:ind w:right="376"/>
              <w:rPr>
                <w:rFonts w:eastAsia="Times New Roman" w:cs="Times New Roman"/>
                <w:b/>
                <w:sz w:val="20"/>
                <w:szCs w:val="20"/>
                <w:lang w:val="en-US"/>
              </w:rPr>
            </w:pPr>
            <w:proofErr w:type="spellStart"/>
            <w:r w:rsidRPr="006F0029">
              <w:rPr>
                <w:rFonts w:eastAsia="Times New Roman" w:cs="Times New Roman"/>
                <w:b/>
                <w:sz w:val="20"/>
                <w:szCs w:val="20"/>
                <w:lang w:val="en-US"/>
              </w:rPr>
              <w:t>Parametro</w:t>
            </w:r>
            <w:proofErr w:type="spellEnd"/>
          </w:p>
        </w:tc>
        <w:tc>
          <w:tcPr>
            <w:tcW w:w="1352" w:type="dxa"/>
            <w:vAlign w:val="bottom"/>
          </w:tcPr>
          <w:p w:rsidR="006F0029" w:rsidRPr="006F0029" w:rsidRDefault="006F0029" w:rsidP="000E11D1">
            <w:pPr>
              <w:spacing w:after="0" w:line="240" w:lineRule="auto"/>
              <w:jc w:val="center"/>
              <w:rPr>
                <w:rFonts w:eastAsia="Times New Roman" w:cs="Times New Roman"/>
                <w:b/>
                <w:sz w:val="20"/>
                <w:szCs w:val="20"/>
                <w:lang w:val="en-US"/>
              </w:rPr>
            </w:pPr>
            <w:r w:rsidRPr="006F0029">
              <w:rPr>
                <w:rFonts w:eastAsia="Times New Roman" w:cs="Times New Roman"/>
                <w:b/>
                <w:sz w:val="20"/>
                <w:szCs w:val="20"/>
                <w:lang w:val="en-US"/>
              </w:rPr>
              <w:t xml:space="preserve">Test </w:t>
            </w:r>
          </w:p>
        </w:tc>
        <w:tc>
          <w:tcPr>
            <w:tcW w:w="1657" w:type="dxa"/>
            <w:vAlign w:val="bottom"/>
          </w:tcPr>
          <w:p w:rsidR="006F0029" w:rsidRPr="006F0029" w:rsidRDefault="006F0029" w:rsidP="000E11D1">
            <w:pPr>
              <w:spacing w:after="0" w:line="240" w:lineRule="auto"/>
              <w:jc w:val="center"/>
              <w:rPr>
                <w:rFonts w:eastAsia="Times New Roman" w:cs="Times New Roman"/>
                <w:b/>
                <w:sz w:val="20"/>
                <w:szCs w:val="20"/>
                <w:lang w:val="en-US"/>
              </w:rPr>
            </w:pPr>
            <w:r w:rsidRPr="006F0029">
              <w:rPr>
                <w:rFonts w:eastAsia="Times New Roman" w:cs="Times New Roman"/>
                <w:b/>
                <w:sz w:val="20"/>
                <w:szCs w:val="20"/>
                <w:lang w:val="en-US"/>
              </w:rPr>
              <w:t>Reference</w:t>
            </w:r>
          </w:p>
        </w:tc>
        <w:tc>
          <w:tcPr>
            <w:tcW w:w="1669" w:type="dxa"/>
            <w:vAlign w:val="bottom"/>
          </w:tcPr>
          <w:p w:rsidR="006F0029" w:rsidRPr="006F0029" w:rsidRDefault="006F0029" w:rsidP="000E11D1">
            <w:pPr>
              <w:spacing w:after="0" w:line="240" w:lineRule="auto"/>
              <w:jc w:val="center"/>
              <w:rPr>
                <w:rFonts w:eastAsia="Times New Roman" w:cs="Times New Roman"/>
                <w:b/>
                <w:sz w:val="20"/>
                <w:szCs w:val="20"/>
                <w:lang w:val="en-US"/>
              </w:rPr>
            </w:pPr>
            <w:r w:rsidRPr="006F0029">
              <w:rPr>
                <w:rFonts w:eastAsia="Times New Roman" w:cs="Times New Roman"/>
                <w:b/>
                <w:sz w:val="20"/>
                <w:szCs w:val="20"/>
                <w:lang w:val="en-US"/>
              </w:rPr>
              <w:t>T/R Ratio</w:t>
            </w:r>
          </w:p>
        </w:tc>
        <w:tc>
          <w:tcPr>
            <w:tcW w:w="1926" w:type="dxa"/>
            <w:vAlign w:val="bottom"/>
          </w:tcPr>
          <w:p w:rsidR="006F0029" w:rsidRPr="006F0029" w:rsidRDefault="006F0029" w:rsidP="000E11D1">
            <w:pPr>
              <w:spacing w:after="0" w:line="240" w:lineRule="auto"/>
              <w:jc w:val="center"/>
              <w:rPr>
                <w:rFonts w:eastAsia="Times New Roman" w:cs="Times New Roman"/>
                <w:b/>
                <w:sz w:val="20"/>
                <w:szCs w:val="20"/>
                <w:lang w:val="en-US"/>
              </w:rPr>
            </w:pPr>
            <w:r w:rsidRPr="006F0029">
              <w:rPr>
                <w:rFonts w:eastAsia="Times New Roman" w:cs="Times New Roman"/>
                <w:b/>
                <w:sz w:val="20"/>
                <w:szCs w:val="20"/>
                <w:lang w:val="en-US"/>
              </w:rPr>
              <w:t>90% C.I.</w:t>
            </w:r>
          </w:p>
        </w:tc>
      </w:tr>
      <w:tr w:rsidR="006F0029" w:rsidRPr="006F0029" w:rsidTr="006F0029">
        <w:trPr>
          <w:jc w:val="center"/>
        </w:trPr>
        <w:tc>
          <w:tcPr>
            <w:tcW w:w="2024" w:type="dxa"/>
            <w:vAlign w:val="bottom"/>
          </w:tcPr>
          <w:p w:rsidR="006F0029" w:rsidRPr="006F0029" w:rsidRDefault="006F0029" w:rsidP="000E11D1">
            <w:pPr>
              <w:spacing w:after="0" w:line="240" w:lineRule="auto"/>
              <w:rPr>
                <w:rFonts w:eastAsia="Times New Roman" w:cs="Times New Roman"/>
                <w:b/>
                <w:sz w:val="20"/>
                <w:szCs w:val="20"/>
                <w:lang w:val="en-US"/>
              </w:rPr>
            </w:pPr>
            <w:r w:rsidRPr="006F0029">
              <w:rPr>
                <w:rFonts w:eastAsia="Times New Roman" w:cs="Times New Roman"/>
                <w:b/>
                <w:sz w:val="20"/>
                <w:szCs w:val="20"/>
                <w:lang w:val="en-US"/>
              </w:rPr>
              <w:t>AUC0-t</w:t>
            </w:r>
          </w:p>
        </w:tc>
        <w:tc>
          <w:tcPr>
            <w:tcW w:w="1352" w:type="dxa"/>
            <w:vAlign w:val="bottom"/>
          </w:tcPr>
          <w:p w:rsidR="006F0029" w:rsidRPr="006F0029" w:rsidRDefault="006F0029" w:rsidP="000E11D1">
            <w:pPr>
              <w:spacing w:after="0" w:line="240" w:lineRule="auto"/>
              <w:jc w:val="center"/>
              <w:rPr>
                <w:rFonts w:eastAsia="Times New Roman" w:cs="Times New Roman"/>
                <w:sz w:val="20"/>
                <w:szCs w:val="20"/>
                <w:lang w:val="en-US"/>
              </w:rPr>
            </w:pPr>
            <w:r w:rsidRPr="006F0029">
              <w:rPr>
                <w:rFonts w:eastAsia="Times New Roman" w:cs="Times New Roman"/>
                <w:sz w:val="20"/>
                <w:szCs w:val="20"/>
                <w:lang w:val="en-US"/>
              </w:rPr>
              <w:t>23004.04</w:t>
            </w:r>
          </w:p>
        </w:tc>
        <w:tc>
          <w:tcPr>
            <w:tcW w:w="1657" w:type="dxa"/>
            <w:vAlign w:val="bottom"/>
          </w:tcPr>
          <w:p w:rsidR="006F0029" w:rsidRPr="006F0029" w:rsidRDefault="006F0029" w:rsidP="000E11D1">
            <w:pPr>
              <w:spacing w:after="0" w:line="240" w:lineRule="auto"/>
              <w:jc w:val="center"/>
              <w:rPr>
                <w:rFonts w:eastAsia="Times New Roman" w:cs="Times New Roman"/>
                <w:sz w:val="20"/>
                <w:szCs w:val="20"/>
                <w:lang w:val="en-US"/>
              </w:rPr>
            </w:pPr>
            <w:r w:rsidRPr="006F0029">
              <w:rPr>
                <w:rFonts w:eastAsia="Times New Roman" w:cs="Times New Roman"/>
                <w:sz w:val="20"/>
                <w:szCs w:val="20"/>
                <w:lang w:val="en-US"/>
              </w:rPr>
              <w:t>22408.16</w:t>
            </w:r>
          </w:p>
        </w:tc>
        <w:tc>
          <w:tcPr>
            <w:tcW w:w="1669" w:type="dxa"/>
            <w:vAlign w:val="bottom"/>
          </w:tcPr>
          <w:p w:rsidR="006F0029" w:rsidRPr="006F0029" w:rsidRDefault="006F0029" w:rsidP="000E11D1">
            <w:pPr>
              <w:spacing w:after="0" w:line="240" w:lineRule="auto"/>
              <w:jc w:val="center"/>
              <w:rPr>
                <w:rFonts w:eastAsia="Times New Roman" w:cs="Times New Roman"/>
                <w:bCs/>
                <w:sz w:val="20"/>
                <w:szCs w:val="20"/>
              </w:rPr>
            </w:pPr>
            <w:r w:rsidRPr="006F0029">
              <w:rPr>
                <w:rFonts w:eastAsia="Times New Roman" w:cs="Times New Roman"/>
                <w:bCs/>
                <w:sz w:val="20"/>
                <w:szCs w:val="20"/>
              </w:rPr>
              <w:t>102.66</w:t>
            </w:r>
          </w:p>
        </w:tc>
        <w:tc>
          <w:tcPr>
            <w:tcW w:w="1926" w:type="dxa"/>
            <w:vAlign w:val="bottom"/>
          </w:tcPr>
          <w:p w:rsidR="006F0029" w:rsidRPr="006F0029" w:rsidRDefault="006F0029" w:rsidP="000E11D1">
            <w:pPr>
              <w:spacing w:after="0" w:line="240" w:lineRule="auto"/>
              <w:jc w:val="center"/>
              <w:rPr>
                <w:rFonts w:eastAsia="Times New Roman" w:cs="Times New Roman"/>
                <w:bCs/>
                <w:sz w:val="20"/>
                <w:szCs w:val="20"/>
              </w:rPr>
            </w:pPr>
            <w:r w:rsidRPr="006F0029">
              <w:rPr>
                <w:rFonts w:eastAsia="Times New Roman" w:cs="Times New Roman"/>
                <w:bCs/>
                <w:sz w:val="20"/>
                <w:szCs w:val="20"/>
              </w:rPr>
              <w:t>101.05 - 104.29</w:t>
            </w:r>
          </w:p>
        </w:tc>
      </w:tr>
      <w:tr w:rsidR="006F0029" w:rsidRPr="006F0029" w:rsidTr="006F0029">
        <w:trPr>
          <w:jc w:val="center"/>
        </w:trPr>
        <w:tc>
          <w:tcPr>
            <w:tcW w:w="2024" w:type="dxa"/>
            <w:vAlign w:val="bottom"/>
          </w:tcPr>
          <w:p w:rsidR="006F0029" w:rsidRPr="00EC6965" w:rsidRDefault="006F0029" w:rsidP="000E11D1">
            <w:pPr>
              <w:spacing w:after="0" w:line="240" w:lineRule="auto"/>
              <w:rPr>
                <w:rFonts w:eastAsia="Times New Roman" w:cs="Times New Roman"/>
                <w:b/>
                <w:sz w:val="20"/>
                <w:szCs w:val="20"/>
              </w:rPr>
            </w:pPr>
            <w:proofErr w:type="spellStart"/>
            <w:r w:rsidRPr="00EC6965">
              <w:rPr>
                <w:rFonts w:eastAsia="Times New Roman" w:cs="Times New Roman"/>
                <w:b/>
                <w:sz w:val="20"/>
                <w:szCs w:val="20"/>
              </w:rPr>
              <w:t>Cmax</w:t>
            </w:r>
            <w:proofErr w:type="spellEnd"/>
          </w:p>
        </w:tc>
        <w:tc>
          <w:tcPr>
            <w:tcW w:w="1352" w:type="dxa"/>
            <w:vAlign w:val="bottom"/>
          </w:tcPr>
          <w:p w:rsidR="006F0029" w:rsidRPr="00EC6965" w:rsidRDefault="00EC6965" w:rsidP="000E11D1">
            <w:pPr>
              <w:spacing w:after="0" w:line="240" w:lineRule="auto"/>
              <w:jc w:val="center"/>
              <w:rPr>
                <w:rFonts w:eastAsia="Times New Roman" w:cs="Times New Roman"/>
                <w:sz w:val="20"/>
                <w:szCs w:val="20"/>
              </w:rPr>
            </w:pPr>
            <w:r w:rsidRPr="00EC6965">
              <w:rPr>
                <w:rFonts w:eastAsia="Times New Roman" w:cs="Times New Roman"/>
                <w:sz w:val="20"/>
                <w:szCs w:val="20"/>
              </w:rPr>
              <w:t>7365,75</w:t>
            </w:r>
          </w:p>
        </w:tc>
        <w:tc>
          <w:tcPr>
            <w:tcW w:w="1657" w:type="dxa"/>
            <w:vAlign w:val="bottom"/>
          </w:tcPr>
          <w:p w:rsidR="006F0029" w:rsidRPr="00EC6965" w:rsidRDefault="00EC6965" w:rsidP="000E11D1">
            <w:pPr>
              <w:spacing w:after="0" w:line="240" w:lineRule="auto"/>
              <w:jc w:val="center"/>
              <w:rPr>
                <w:rFonts w:eastAsia="Times New Roman" w:cs="Times New Roman"/>
                <w:sz w:val="20"/>
                <w:szCs w:val="20"/>
              </w:rPr>
            </w:pPr>
            <w:r w:rsidRPr="00EC6965">
              <w:rPr>
                <w:rFonts w:eastAsia="Times New Roman" w:cs="Times New Roman"/>
                <w:sz w:val="20"/>
                <w:szCs w:val="20"/>
              </w:rPr>
              <w:t>7514.97</w:t>
            </w:r>
          </w:p>
        </w:tc>
        <w:tc>
          <w:tcPr>
            <w:tcW w:w="1669" w:type="dxa"/>
            <w:vAlign w:val="bottom"/>
          </w:tcPr>
          <w:p w:rsidR="006F0029" w:rsidRPr="00EC6965" w:rsidRDefault="006F0029" w:rsidP="000E11D1">
            <w:pPr>
              <w:spacing w:after="0" w:line="240" w:lineRule="auto"/>
              <w:jc w:val="center"/>
              <w:rPr>
                <w:rFonts w:eastAsia="Times New Roman" w:cs="Times New Roman"/>
                <w:bCs/>
                <w:sz w:val="20"/>
                <w:szCs w:val="20"/>
              </w:rPr>
            </w:pPr>
            <w:r w:rsidRPr="00EC6965">
              <w:rPr>
                <w:rFonts w:eastAsia="Times New Roman" w:cs="Times New Roman"/>
                <w:bCs/>
                <w:sz w:val="20"/>
                <w:szCs w:val="20"/>
              </w:rPr>
              <w:t>98.01</w:t>
            </w:r>
          </w:p>
        </w:tc>
        <w:tc>
          <w:tcPr>
            <w:tcW w:w="1926" w:type="dxa"/>
            <w:vAlign w:val="bottom"/>
          </w:tcPr>
          <w:p w:rsidR="006F0029" w:rsidRPr="006F0029" w:rsidRDefault="006F0029" w:rsidP="000E11D1">
            <w:pPr>
              <w:spacing w:after="0" w:line="240" w:lineRule="auto"/>
              <w:jc w:val="center"/>
              <w:rPr>
                <w:rFonts w:eastAsia="Times New Roman" w:cs="Times New Roman"/>
                <w:bCs/>
                <w:sz w:val="20"/>
                <w:szCs w:val="20"/>
              </w:rPr>
            </w:pPr>
            <w:r w:rsidRPr="00EC6965">
              <w:rPr>
                <w:rFonts w:eastAsia="Times New Roman" w:cs="Times New Roman"/>
                <w:bCs/>
                <w:sz w:val="20"/>
                <w:szCs w:val="20"/>
              </w:rPr>
              <w:t>92.27 - 104.12</w:t>
            </w:r>
          </w:p>
        </w:tc>
      </w:tr>
      <w:tr w:rsidR="006F0029" w:rsidRPr="006F0029" w:rsidTr="006F0029">
        <w:trPr>
          <w:jc w:val="center"/>
        </w:trPr>
        <w:tc>
          <w:tcPr>
            <w:tcW w:w="8628" w:type="dxa"/>
            <w:gridSpan w:val="5"/>
            <w:vAlign w:val="bottom"/>
          </w:tcPr>
          <w:p w:rsidR="006F0029" w:rsidRPr="006F0029" w:rsidRDefault="006F0029" w:rsidP="000E11D1">
            <w:pPr>
              <w:spacing w:after="0" w:line="240" w:lineRule="auto"/>
              <w:rPr>
                <w:rFonts w:eastAsia="Times New Roman" w:cs="Times New Roman"/>
                <w:bCs/>
                <w:sz w:val="20"/>
                <w:szCs w:val="20"/>
              </w:rPr>
            </w:pPr>
            <w:r w:rsidRPr="006F0029">
              <w:rPr>
                <w:rFonts w:eastAsia="Times New Roman" w:cs="Times New Roman"/>
                <w:bCs/>
                <w:sz w:val="20"/>
                <w:szCs w:val="20"/>
              </w:rPr>
              <w:t>Il confronto è basato su un'analisi aggregata di tutti gli 84 volontari (1°+ 2° stadio)</w:t>
            </w:r>
          </w:p>
        </w:tc>
      </w:tr>
    </w:tbl>
    <w:p w:rsidR="006F0029" w:rsidRPr="00C300AA" w:rsidRDefault="006F0029" w:rsidP="006F0029">
      <w:pPr>
        <w:pStyle w:val="Paragrafoelenco"/>
        <w:spacing w:after="0" w:line="240" w:lineRule="auto"/>
        <w:ind w:left="0"/>
        <w:jc w:val="both"/>
        <w:rPr>
          <w:highlight w:val="yellow"/>
        </w:rPr>
      </w:pPr>
    </w:p>
    <w:p w:rsidR="00FF0EC7" w:rsidRPr="00FF0EC7" w:rsidRDefault="00FF0EC7" w:rsidP="00FF0EC7">
      <w:pPr>
        <w:spacing w:after="0" w:line="240" w:lineRule="auto"/>
        <w:rPr>
          <w:rFonts w:cs="Arial"/>
        </w:rPr>
      </w:pPr>
      <w:r w:rsidRPr="00FF0EC7">
        <w:rPr>
          <w:rFonts w:cs="Arial"/>
          <w:i/>
        </w:rPr>
        <w:t>Conclusioni sulla bioequivalenza</w:t>
      </w:r>
      <w:r w:rsidRPr="00FF0EC7">
        <w:rPr>
          <w:rFonts w:cs="Arial"/>
        </w:rPr>
        <w:t>.</w:t>
      </w:r>
    </w:p>
    <w:p w:rsidR="00FF0EC7" w:rsidRPr="00D1324F" w:rsidRDefault="00FF0EC7" w:rsidP="00FF0EC7">
      <w:pPr>
        <w:spacing w:after="0" w:line="240" w:lineRule="auto"/>
        <w:jc w:val="both"/>
        <w:rPr>
          <w:rFonts w:cs="Arial"/>
        </w:rPr>
      </w:pPr>
      <w:r w:rsidRPr="00FF0EC7">
        <w:rPr>
          <w:rFonts w:cs="Arial"/>
        </w:rPr>
        <w:t xml:space="preserve">I risultati degli studi di bioequivalenza mostrano che gli intervalli di confidenza dei parametri farmacocinetici studiati cadono nel </w:t>
      </w:r>
      <w:proofErr w:type="spellStart"/>
      <w:r w:rsidRPr="00FF0EC7">
        <w:rPr>
          <w:rFonts w:cs="Arial"/>
        </w:rPr>
        <w:t>range</w:t>
      </w:r>
      <w:proofErr w:type="spellEnd"/>
      <w:r w:rsidRPr="00FF0EC7">
        <w:rPr>
          <w:rFonts w:cs="Arial"/>
        </w:rPr>
        <w:t xml:space="preserve"> di accettabilità di 80-125%, in accordo con le linee guida correnti.</w:t>
      </w:r>
    </w:p>
    <w:p w:rsidR="00FF0EC7" w:rsidRDefault="00FF0EC7" w:rsidP="00AF3380">
      <w:pPr>
        <w:spacing w:after="0" w:line="240" w:lineRule="auto"/>
        <w:jc w:val="both"/>
        <w:rPr>
          <w:rFonts w:cs="Arial"/>
        </w:rPr>
      </w:pPr>
    </w:p>
    <w:p w:rsidR="00FF0EC7" w:rsidRPr="00D1324F" w:rsidRDefault="00FF0EC7" w:rsidP="00AF3380">
      <w:pPr>
        <w:spacing w:after="0" w:line="240" w:lineRule="auto"/>
        <w:jc w:val="both"/>
        <w:rPr>
          <w:rFonts w:cs="Arial"/>
        </w:rPr>
      </w:pPr>
    </w:p>
    <w:p w:rsidR="00AF3380" w:rsidRPr="000B3C59" w:rsidRDefault="00AF3380" w:rsidP="00AF3380">
      <w:pPr>
        <w:spacing w:after="0" w:line="240" w:lineRule="auto"/>
        <w:jc w:val="both"/>
        <w:rPr>
          <w:rFonts w:cs="Arial"/>
          <w:b/>
        </w:rPr>
      </w:pPr>
      <w:r w:rsidRPr="000B3C59">
        <w:rPr>
          <w:rFonts w:cs="Arial"/>
          <w:b/>
        </w:rPr>
        <w:t>Efficacia e sicurezza clinica</w:t>
      </w:r>
    </w:p>
    <w:p w:rsidR="00AF3380" w:rsidRPr="00D1324F" w:rsidRDefault="00AF3380" w:rsidP="00AF3380">
      <w:pPr>
        <w:spacing w:after="0" w:line="240" w:lineRule="auto"/>
        <w:jc w:val="both"/>
        <w:rPr>
          <w:rFonts w:cs="Arial"/>
        </w:rPr>
      </w:pPr>
      <w:r>
        <w:rPr>
          <w:rFonts w:cs="Arial"/>
        </w:rPr>
        <w:t xml:space="preserve">Non sono stati presentati nuovi dati di efficacia e sicurezza clinica: il profilo di sicurezza e l’efficacia del principio attivo di </w:t>
      </w:r>
      <w:proofErr w:type="spellStart"/>
      <w:r>
        <w:rPr>
          <w:rFonts w:cs="Arial"/>
        </w:rPr>
        <w:t>Somun</w:t>
      </w:r>
      <w:proofErr w:type="spellEnd"/>
      <w:r>
        <w:rPr>
          <w:rFonts w:cs="Arial"/>
        </w:rPr>
        <w:t xml:space="preserve"> è ben conosciuto.</w:t>
      </w:r>
    </w:p>
    <w:p w:rsidR="00AF3380" w:rsidRPr="00D1324F" w:rsidRDefault="00AF3380" w:rsidP="00AF3380">
      <w:pPr>
        <w:pStyle w:val="Paragrafoelenco"/>
        <w:spacing w:after="0" w:line="240" w:lineRule="auto"/>
        <w:ind w:left="0"/>
        <w:jc w:val="both"/>
      </w:pPr>
    </w:p>
    <w:p w:rsidR="00AF3380" w:rsidRPr="00D1324F" w:rsidRDefault="00AF3380" w:rsidP="00AF3380">
      <w:pPr>
        <w:pStyle w:val="Paragrafoelenco"/>
        <w:spacing w:after="0" w:line="240" w:lineRule="auto"/>
        <w:ind w:left="0"/>
        <w:jc w:val="both"/>
        <w:rPr>
          <w:b/>
        </w:rPr>
      </w:pPr>
      <w:r w:rsidRPr="00D1324F">
        <w:rPr>
          <w:b/>
        </w:rPr>
        <w:t>Piano di Valutazione del Rischio (</w:t>
      </w:r>
      <w:proofErr w:type="spellStart"/>
      <w:r w:rsidRPr="00D1324F">
        <w:rPr>
          <w:b/>
          <w:i/>
        </w:rPr>
        <w:t>Risk</w:t>
      </w:r>
      <w:proofErr w:type="spellEnd"/>
      <w:r w:rsidRPr="00D1324F">
        <w:rPr>
          <w:b/>
          <w:i/>
        </w:rPr>
        <w:t xml:space="preserve"> Management </w:t>
      </w:r>
      <w:proofErr w:type="spellStart"/>
      <w:r w:rsidRPr="00D1324F">
        <w:rPr>
          <w:b/>
          <w:i/>
        </w:rPr>
        <w:t>Plan</w:t>
      </w:r>
      <w:proofErr w:type="spellEnd"/>
      <w:r w:rsidRPr="00D1324F">
        <w:rPr>
          <w:b/>
        </w:rPr>
        <w:t xml:space="preserve"> - RMP)</w:t>
      </w:r>
    </w:p>
    <w:p w:rsidR="00AF3380" w:rsidRPr="00D1324F" w:rsidRDefault="00AF3380" w:rsidP="00AF3380">
      <w:pPr>
        <w:pStyle w:val="Paragrafoelenco"/>
        <w:spacing w:after="0" w:line="240" w:lineRule="auto"/>
        <w:ind w:left="0"/>
        <w:jc w:val="both"/>
      </w:pPr>
      <w:r w:rsidRPr="00D1324F">
        <w:t xml:space="preserve">E’ stato presentato un RMP in accordo a quanto previsto dalla Direttiva 2001/83/EU </w:t>
      </w:r>
      <w:proofErr w:type="spellStart"/>
      <w:r w:rsidRPr="00D1324F">
        <w:t>s.m.i.</w:t>
      </w:r>
      <w:proofErr w:type="spellEnd"/>
      <w:r w:rsidRPr="00D1324F">
        <w:t xml:space="preserve"> che descrive le attività di farmacovigilanza e gli interventi definiti al fine di identificare, caratterizzare, prevenire o minimizzare i rischi collegati all’uso di </w:t>
      </w:r>
      <w:proofErr w:type="spellStart"/>
      <w:r>
        <w:t>Somun</w:t>
      </w:r>
      <w:proofErr w:type="spellEnd"/>
      <w:r w:rsidRPr="00D1324F">
        <w:t>.</w:t>
      </w:r>
    </w:p>
    <w:p w:rsidR="00B3428B" w:rsidRDefault="00B3428B" w:rsidP="00B3428B">
      <w:pPr>
        <w:pStyle w:val="Paragrafoelenco"/>
        <w:spacing w:after="0" w:line="240" w:lineRule="auto"/>
        <w:ind w:left="0"/>
        <w:jc w:val="both"/>
      </w:pPr>
      <w:r>
        <w:t>Il riassunto delle problematiche di sicurezza è riportato nella tabella seguente.</w:t>
      </w:r>
    </w:p>
    <w:p w:rsidR="00B3428B" w:rsidRDefault="00B3428B" w:rsidP="00B3428B">
      <w:pPr>
        <w:pStyle w:val="Paragrafoelenco"/>
        <w:spacing w:after="0" w:line="240" w:lineRule="auto"/>
        <w:ind w:left="0"/>
        <w:jc w:val="both"/>
      </w:pPr>
    </w:p>
    <w:tbl>
      <w:tblPr>
        <w:tblW w:w="445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5E0"/>
      </w:tblPr>
      <w:tblGrid>
        <w:gridCol w:w="3124"/>
        <w:gridCol w:w="5646"/>
      </w:tblGrid>
      <w:tr w:rsidR="00EC6965" w:rsidTr="00B3428B">
        <w:trPr>
          <w:jc w:val="center"/>
        </w:trPr>
        <w:tc>
          <w:tcPr>
            <w:tcW w:w="1781" w:type="pct"/>
            <w:tcBorders>
              <w:top w:val="single" w:sz="4" w:space="0" w:color="auto"/>
              <w:left w:val="single" w:sz="4" w:space="0" w:color="auto"/>
              <w:bottom w:val="single" w:sz="6" w:space="0" w:color="auto"/>
              <w:right w:val="single" w:sz="6" w:space="0" w:color="auto"/>
            </w:tcBorders>
            <w:hideMark/>
          </w:tcPr>
          <w:p w:rsidR="00EC6965" w:rsidRDefault="00EC6965" w:rsidP="009C5FEC">
            <w:pPr>
              <w:pStyle w:val="TabletextrowsAgency"/>
              <w:spacing w:line="240" w:lineRule="auto"/>
              <w:rPr>
                <w:rFonts w:asciiTheme="minorHAnsi" w:hAnsiTheme="minorHAnsi"/>
                <w:sz w:val="20"/>
                <w:szCs w:val="20"/>
                <w:lang w:eastAsia="en-GB"/>
              </w:rPr>
            </w:pPr>
            <w:proofErr w:type="spellStart"/>
            <w:r>
              <w:rPr>
                <w:rFonts w:asciiTheme="minorHAnsi" w:hAnsiTheme="minorHAnsi"/>
                <w:sz w:val="20"/>
                <w:szCs w:val="20"/>
                <w:lang w:eastAsia="en-GB"/>
              </w:rPr>
              <w:t>Rischi</w:t>
            </w:r>
            <w:proofErr w:type="spellEnd"/>
            <w:r>
              <w:rPr>
                <w:rFonts w:asciiTheme="minorHAnsi" w:hAnsiTheme="minorHAnsi"/>
                <w:sz w:val="20"/>
                <w:szCs w:val="20"/>
                <w:lang w:eastAsia="en-GB"/>
              </w:rPr>
              <w:t xml:space="preserve"> </w:t>
            </w:r>
            <w:proofErr w:type="spellStart"/>
            <w:r>
              <w:rPr>
                <w:rFonts w:asciiTheme="minorHAnsi" w:hAnsiTheme="minorHAnsi"/>
                <w:sz w:val="20"/>
                <w:szCs w:val="20"/>
                <w:lang w:eastAsia="en-GB"/>
              </w:rPr>
              <w:t>importanti</w:t>
            </w:r>
            <w:proofErr w:type="spellEnd"/>
            <w:r>
              <w:rPr>
                <w:rFonts w:asciiTheme="minorHAnsi" w:hAnsiTheme="minorHAnsi"/>
                <w:sz w:val="20"/>
                <w:szCs w:val="20"/>
                <w:lang w:eastAsia="en-GB"/>
              </w:rPr>
              <w:t xml:space="preserve"> </w:t>
            </w:r>
            <w:proofErr w:type="spellStart"/>
            <w:r>
              <w:rPr>
                <w:rFonts w:asciiTheme="minorHAnsi" w:hAnsiTheme="minorHAnsi"/>
                <w:sz w:val="20"/>
                <w:szCs w:val="20"/>
                <w:lang w:eastAsia="en-GB"/>
              </w:rPr>
              <w:t>identificati</w:t>
            </w:r>
            <w:proofErr w:type="spellEnd"/>
          </w:p>
        </w:tc>
        <w:tc>
          <w:tcPr>
            <w:tcW w:w="3219" w:type="pct"/>
            <w:tcBorders>
              <w:top w:val="single" w:sz="4" w:space="0" w:color="auto"/>
              <w:left w:val="single" w:sz="6" w:space="0" w:color="auto"/>
              <w:bottom w:val="single" w:sz="6" w:space="0" w:color="auto"/>
              <w:right w:val="single" w:sz="4" w:space="0" w:color="auto"/>
            </w:tcBorders>
            <w:hideMark/>
          </w:tcPr>
          <w:p w:rsidR="009C5FEC" w:rsidRDefault="009C5FEC" w:rsidP="009C5FEC">
            <w:pPr>
              <w:pStyle w:val="TabletextrowsAgency"/>
              <w:spacing w:line="240" w:lineRule="auto"/>
              <w:rPr>
                <w:rFonts w:asciiTheme="minorHAnsi" w:hAnsiTheme="minorHAnsi"/>
                <w:sz w:val="20"/>
                <w:szCs w:val="20"/>
              </w:rPr>
            </w:pPr>
            <w:proofErr w:type="spellStart"/>
            <w:r>
              <w:rPr>
                <w:rFonts w:asciiTheme="minorHAnsi" w:hAnsiTheme="minorHAnsi"/>
                <w:sz w:val="20"/>
                <w:szCs w:val="20"/>
              </w:rPr>
              <w:t>Epatotossicità</w:t>
            </w:r>
            <w:proofErr w:type="spellEnd"/>
          </w:p>
          <w:p w:rsidR="00EC6965" w:rsidRPr="009C5FEC" w:rsidRDefault="009C5FEC" w:rsidP="009C5FEC">
            <w:pPr>
              <w:pStyle w:val="TabletextrowsAgency"/>
              <w:spacing w:line="240" w:lineRule="auto"/>
              <w:rPr>
                <w:rFonts w:asciiTheme="minorHAnsi" w:hAnsiTheme="minorHAnsi"/>
                <w:i/>
                <w:iCs/>
                <w:sz w:val="20"/>
                <w:szCs w:val="20"/>
                <w:lang w:eastAsia="en-GB"/>
              </w:rPr>
            </w:pPr>
            <w:proofErr w:type="spellStart"/>
            <w:r>
              <w:rPr>
                <w:rFonts w:asciiTheme="minorHAnsi" w:hAnsiTheme="minorHAnsi"/>
                <w:sz w:val="20"/>
                <w:szCs w:val="20"/>
              </w:rPr>
              <w:t>Nefrotossicità</w:t>
            </w:r>
            <w:proofErr w:type="spellEnd"/>
            <w:r>
              <w:rPr>
                <w:rFonts w:asciiTheme="minorHAnsi" w:hAnsiTheme="minorHAnsi"/>
                <w:sz w:val="20"/>
                <w:szCs w:val="20"/>
              </w:rPr>
              <w:t xml:space="preserve"> </w:t>
            </w:r>
          </w:p>
        </w:tc>
      </w:tr>
      <w:tr w:rsidR="00EC6965" w:rsidRPr="001A3247" w:rsidTr="00B3428B">
        <w:trPr>
          <w:jc w:val="center"/>
        </w:trPr>
        <w:tc>
          <w:tcPr>
            <w:tcW w:w="1781" w:type="pct"/>
            <w:tcBorders>
              <w:top w:val="single" w:sz="6" w:space="0" w:color="auto"/>
              <w:left w:val="single" w:sz="4" w:space="0" w:color="auto"/>
              <w:bottom w:val="single" w:sz="6" w:space="0" w:color="auto"/>
              <w:right w:val="single" w:sz="6" w:space="0" w:color="auto"/>
            </w:tcBorders>
            <w:hideMark/>
          </w:tcPr>
          <w:p w:rsidR="00EC6965" w:rsidRDefault="00EC6965" w:rsidP="009C5FEC">
            <w:pPr>
              <w:pStyle w:val="TabletextrowsAgency"/>
              <w:spacing w:line="240" w:lineRule="auto"/>
              <w:rPr>
                <w:rFonts w:asciiTheme="minorHAnsi" w:hAnsiTheme="minorHAnsi"/>
                <w:sz w:val="20"/>
                <w:szCs w:val="20"/>
                <w:lang w:eastAsia="en-GB"/>
              </w:rPr>
            </w:pPr>
            <w:proofErr w:type="spellStart"/>
            <w:r>
              <w:rPr>
                <w:rFonts w:asciiTheme="minorHAnsi" w:hAnsiTheme="minorHAnsi"/>
                <w:sz w:val="20"/>
                <w:szCs w:val="20"/>
                <w:lang w:eastAsia="en-GB"/>
              </w:rPr>
              <w:t>Rischi</w:t>
            </w:r>
            <w:proofErr w:type="spellEnd"/>
            <w:r>
              <w:rPr>
                <w:rFonts w:asciiTheme="minorHAnsi" w:hAnsiTheme="minorHAnsi"/>
                <w:sz w:val="20"/>
                <w:szCs w:val="20"/>
                <w:lang w:eastAsia="en-GB"/>
              </w:rPr>
              <w:t xml:space="preserve"> </w:t>
            </w:r>
            <w:proofErr w:type="spellStart"/>
            <w:r>
              <w:rPr>
                <w:rFonts w:asciiTheme="minorHAnsi" w:hAnsiTheme="minorHAnsi"/>
                <w:sz w:val="20"/>
                <w:szCs w:val="20"/>
                <w:lang w:eastAsia="en-GB"/>
              </w:rPr>
              <w:t>importanti</w:t>
            </w:r>
            <w:proofErr w:type="spellEnd"/>
            <w:r>
              <w:rPr>
                <w:rFonts w:asciiTheme="minorHAnsi" w:hAnsiTheme="minorHAnsi"/>
                <w:sz w:val="20"/>
                <w:szCs w:val="20"/>
                <w:lang w:eastAsia="en-GB"/>
              </w:rPr>
              <w:t xml:space="preserve"> </w:t>
            </w:r>
            <w:proofErr w:type="spellStart"/>
            <w:r>
              <w:rPr>
                <w:rFonts w:asciiTheme="minorHAnsi" w:hAnsiTheme="minorHAnsi"/>
                <w:sz w:val="20"/>
                <w:szCs w:val="20"/>
                <w:lang w:eastAsia="en-GB"/>
              </w:rPr>
              <w:t>potenziali</w:t>
            </w:r>
            <w:proofErr w:type="spellEnd"/>
          </w:p>
        </w:tc>
        <w:tc>
          <w:tcPr>
            <w:tcW w:w="3219" w:type="pct"/>
            <w:tcBorders>
              <w:top w:val="single" w:sz="6" w:space="0" w:color="auto"/>
              <w:left w:val="single" w:sz="6" w:space="0" w:color="auto"/>
              <w:bottom w:val="single" w:sz="6" w:space="0" w:color="auto"/>
              <w:right w:val="single" w:sz="4" w:space="0" w:color="auto"/>
            </w:tcBorders>
            <w:hideMark/>
          </w:tcPr>
          <w:p w:rsidR="009C5FEC" w:rsidRPr="009C5FEC" w:rsidRDefault="009C5FEC" w:rsidP="009C5FEC">
            <w:pPr>
              <w:pStyle w:val="TabletextrowsAgency"/>
              <w:spacing w:line="240" w:lineRule="auto"/>
              <w:rPr>
                <w:rFonts w:asciiTheme="minorHAnsi" w:hAnsiTheme="minorHAnsi"/>
                <w:iCs/>
                <w:sz w:val="20"/>
                <w:szCs w:val="20"/>
                <w:lang w:val="it-IT" w:eastAsia="en-GB"/>
              </w:rPr>
            </w:pPr>
            <w:r w:rsidRPr="009C5FEC">
              <w:rPr>
                <w:rFonts w:asciiTheme="minorHAnsi" w:hAnsiTheme="minorHAnsi"/>
                <w:iCs/>
                <w:sz w:val="20"/>
                <w:szCs w:val="20"/>
                <w:lang w:val="it-IT" w:eastAsia="en-GB"/>
              </w:rPr>
              <w:t xml:space="preserve">Uso in gravidanza </w:t>
            </w:r>
          </w:p>
          <w:p w:rsidR="009C5FEC" w:rsidRDefault="009C5FEC" w:rsidP="009C5FEC">
            <w:pPr>
              <w:pStyle w:val="TabletextrowsAgency"/>
              <w:spacing w:line="240" w:lineRule="auto"/>
              <w:rPr>
                <w:rFonts w:asciiTheme="minorHAnsi" w:hAnsiTheme="minorHAnsi"/>
                <w:iCs/>
                <w:sz w:val="20"/>
                <w:szCs w:val="20"/>
                <w:lang w:val="it-IT" w:eastAsia="en-GB"/>
              </w:rPr>
            </w:pPr>
            <w:r w:rsidRPr="009C5FEC">
              <w:rPr>
                <w:rFonts w:asciiTheme="minorHAnsi" w:hAnsiTheme="minorHAnsi"/>
                <w:iCs/>
                <w:sz w:val="20"/>
                <w:szCs w:val="20"/>
                <w:lang w:val="it-IT" w:eastAsia="en-GB"/>
              </w:rPr>
              <w:t>Uso durante l’allattamento</w:t>
            </w:r>
          </w:p>
          <w:p w:rsidR="001A3247" w:rsidRDefault="001A3247" w:rsidP="001A3247">
            <w:pPr>
              <w:pStyle w:val="TabletextrowsAgency"/>
              <w:spacing w:line="240" w:lineRule="auto"/>
              <w:rPr>
                <w:rFonts w:asciiTheme="minorHAnsi" w:hAnsiTheme="minorHAnsi"/>
                <w:sz w:val="20"/>
                <w:szCs w:val="20"/>
                <w:lang w:val="it-IT"/>
              </w:rPr>
            </w:pPr>
            <w:r w:rsidRPr="009C5FEC">
              <w:rPr>
                <w:rFonts w:asciiTheme="minorHAnsi" w:hAnsiTheme="minorHAnsi"/>
                <w:sz w:val="20"/>
                <w:szCs w:val="20"/>
                <w:lang w:val="it-IT"/>
              </w:rPr>
              <w:t xml:space="preserve">Sindrome di Stevens </w:t>
            </w:r>
            <w:proofErr w:type="spellStart"/>
            <w:r w:rsidRPr="009C5FEC">
              <w:rPr>
                <w:rFonts w:asciiTheme="minorHAnsi" w:hAnsiTheme="minorHAnsi"/>
                <w:sz w:val="20"/>
                <w:szCs w:val="20"/>
                <w:lang w:val="it-IT"/>
              </w:rPr>
              <w:t>Johnson</w:t>
            </w:r>
            <w:proofErr w:type="spellEnd"/>
            <w:r w:rsidRPr="009C5FEC">
              <w:rPr>
                <w:rFonts w:asciiTheme="minorHAnsi" w:hAnsiTheme="minorHAnsi"/>
                <w:sz w:val="20"/>
                <w:szCs w:val="20"/>
                <w:lang w:val="it-IT"/>
              </w:rPr>
              <w:t xml:space="preserve"> </w:t>
            </w:r>
          </w:p>
          <w:p w:rsidR="001A3247" w:rsidRPr="001A3247" w:rsidRDefault="001A3247" w:rsidP="001A3247">
            <w:pPr>
              <w:pStyle w:val="TabletextrowsAgency"/>
              <w:spacing w:line="240" w:lineRule="auto"/>
              <w:rPr>
                <w:rFonts w:asciiTheme="minorHAnsi" w:hAnsiTheme="minorHAnsi"/>
                <w:sz w:val="20"/>
                <w:szCs w:val="20"/>
                <w:lang w:val="it-IT"/>
              </w:rPr>
            </w:pPr>
            <w:proofErr w:type="spellStart"/>
            <w:r w:rsidRPr="001A3247">
              <w:rPr>
                <w:rFonts w:asciiTheme="minorHAnsi" w:hAnsiTheme="minorHAnsi"/>
                <w:sz w:val="20"/>
                <w:szCs w:val="20"/>
                <w:lang w:val="it-IT"/>
              </w:rPr>
              <w:t>Necrolisi</w:t>
            </w:r>
            <w:proofErr w:type="spellEnd"/>
            <w:r w:rsidRPr="001A3247">
              <w:rPr>
                <w:rFonts w:asciiTheme="minorHAnsi" w:hAnsiTheme="minorHAnsi"/>
                <w:sz w:val="20"/>
                <w:szCs w:val="20"/>
                <w:lang w:val="it-IT"/>
              </w:rPr>
              <w:t xml:space="preserve"> epidermica</w:t>
            </w:r>
          </w:p>
          <w:p w:rsidR="009C5FEC" w:rsidRPr="009C5FEC" w:rsidRDefault="009C5FEC" w:rsidP="009C5FEC">
            <w:pPr>
              <w:spacing w:after="0" w:line="240" w:lineRule="auto"/>
              <w:jc w:val="both"/>
              <w:rPr>
                <w:sz w:val="20"/>
                <w:szCs w:val="20"/>
              </w:rPr>
            </w:pPr>
            <w:r w:rsidRPr="009C5FEC">
              <w:rPr>
                <w:sz w:val="20"/>
                <w:szCs w:val="20"/>
              </w:rPr>
              <w:t>Alterata capacità di guidar</w:t>
            </w:r>
            <w:r>
              <w:rPr>
                <w:sz w:val="20"/>
                <w:szCs w:val="20"/>
              </w:rPr>
              <w:t>e veicoli e di usare macchinari</w:t>
            </w:r>
          </w:p>
          <w:p w:rsidR="00EC6965" w:rsidRPr="001A3247" w:rsidRDefault="009C5FEC" w:rsidP="009C5FEC">
            <w:pPr>
              <w:pStyle w:val="TabletextrowsAgency"/>
              <w:spacing w:line="240" w:lineRule="auto"/>
              <w:rPr>
                <w:rFonts w:asciiTheme="minorHAnsi" w:hAnsiTheme="minorHAnsi"/>
                <w:iCs/>
                <w:sz w:val="20"/>
                <w:szCs w:val="20"/>
                <w:lang w:val="it-IT" w:eastAsia="en-GB"/>
              </w:rPr>
            </w:pPr>
            <w:r w:rsidRPr="009C5FEC">
              <w:rPr>
                <w:rFonts w:asciiTheme="minorHAnsi" w:hAnsiTheme="minorHAnsi"/>
                <w:iCs/>
                <w:sz w:val="20"/>
                <w:szCs w:val="20"/>
                <w:lang w:val="it-IT" w:eastAsia="en-GB"/>
              </w:rPr>
              <w:t xml:space="preserve">Sanguinamento per uso concomitante </w:t>
            </w:r>
            <w:r>
              <w:rPr>
                <w:rFonts w:asciiTheme="minorHAnsi" w:hAnsiTheme="minorHAnsi"/>
                <w:iCs/>
                <w:sz w:val="20"/>
                <w:szCs w:val="20"/>
                <w:lang w:val="it-IT" w:eastAsia="en-GB"/>
              </w:rPr>
              <w:t>con</w:t>
            </w:r>
            <w:r w:rsidRPr="009C5FEC">
              <w:rPr>
                <w:rFonts w:asciiTheme="minorHAnsi" w:hAnsiTheme="minorHAnsi"/>
                <w:iCs/>
                <w:sz w:val="20"/>
                <w:szCs w:val="20"/>
                <w:lang w:val="it-IT" w:eastAsia="en-GB"/>
              </w:rPr>
              <w:t xml:space="preserve"> anticoagulanti orali (esempio: </w:t>
            </w:r>
            <w:proofErr w:type="spellStart"/>
            <w:r>
              <w:rPr>
                <w:rFonts w:asciiTheme="minorHAnsi" w:hAnsiTheme="minorHAnsi"/>
                <w:iCs/>
                <w:sz w:val="20"/>
                <w:szCs w:val="20"/>
                <w:lang w:val="it-IT" w:eastAsia="en-GB"/>
              </w:rPr>
              <w:t>w</w:t>
            </w:r>
            <w:r w:rsidRPr="009C5FEC">
              <w:rPr>
                <w:rFonts w:asciiTheme="minorHAnsi" w:hAnsiTheme="minorHAnsi"/>
                <w:iCs/>
                <w:sz w:val="20"/>
                <w:szCs w:val="20"/>
                <w:lang w:val="it-IT" w:eastAsia="en-GB"/>
              </w:rPr>
              <w:t>arfari</w:t>
            </w:r>
            <w:r>
              <w:rPr>
                <w:rFonts w:asciiTheme="minorHAnsi" w:hAnsiTheme="minorHAnsi"/>
                <w:iCs/>
                <w:sz w:val="20"/>
                <w:szCs w:val="20"/>
                <w:lang w:val="it-IT" w:eastAsia="en-GB"/>
              </w:rPr>
              <w:t>n</w:t>
            </w:r>
            <w:proofErr w:type="spellEnd"/>
            <w:r w:rsidRPr="009C5FEC">
              <w:rPr>
                <w:rFonts w:asciiTheme="minorHAnsi" w:hAnsiTheme="minorHAnsi"/>
                <w:iCs/>
                <w:sz w:val="20"/>
                <w:szCs w:val="20"/>
                <w:lang w:val="it-IT" w:eastAsia="en-GB"/>
              </w:rPr>
              <w:t>)</w:t>
            </w:r>
            <w:r>
              <w:rPr>
                <w:rFonts w:asciiTheme="minorHAnsi" w:hAnsiTheme="minorHAnsi"/>
                <w:iCs/>
                <w:sz w:val="20"/>
                <w:szCs w:val="20"/>
                <w:lang w:val="it-IT" w:eastAsia="en-GB"/>
              </w:rPr>
              <w:t xml:space="preserve"> durante terapia a lungo termine con paracetamolo</w:t>
            </w:r>
          </w:p>
        </w:tc>
      </w:tr>
      <w:tr w:rsidR="00B3428B" w:rsidTr="00B3428B">
        <w:trPr>
          <w:jc w:val="center"/>
        </w:trPr>
        <w:tc>
          <w:tcPr>
            <w:tcW w:w="1781" w:type="pct"/>
            <w:tcBorders>
              <w:top w:val="single" w:sz="6" w:space="0" w:color="auto"/>
              <w:left w:val="single" w:sz="4" w:space="0" w:color="auto"/>
              <w:bottom w:val="single" w:sz="4" w:space="0" w:color="auto"/>
              <w:right w:val="single" w:sz="6" w:space="0" w:color="auto"/>
            </w:tcBorders>
            <w:hideMark/>
          </w:tcPr>
          <w:p w:rsidR="00B3428B" w:rsidRDefault="00B3428B" w:rsidP="009C5FEC">
            <w:pPr>
              <w:pStyle w:val="TabletextrowsAgency"/>
              <w:spacing w:line="240" w:lineRule="auto"/>
              <w:rPr>
                <w:rFonts w:asciiTheme="minorHAnsi" w:hAnsiTheme="minorHAnsi"/>
                <w:sz w:val="20"/>
                <w:szCs w:val="20"/>
                <w:lang w:eastAsia="en-GB"/>
              </w:rPr>
            </w:pPr>
            <w:proofErr w:type="spellStart"/>
            <w:r>
              <w:rPr>
                <w:rFonts w:asciiTheme="minorHAnsi" w:hAnsiTheme="minorHAnsi"/>
                <w:sz w:val="20"/>
                <w:szCs w:val="20"/>
                <w:lang w:eastAsia="en-GB"/>
              </w:rPr>
              <w:t>Informazioni</w:t>
            </w:r>
            <w:proofErr w:type="spellEnd"/>
            <w:r>
              <w:rPr>
                <w:rFonts w:asciiTheme="minorHAnsi" w:hAnsiTheme="minorHAnsi"/>
                <w:sz w:val="20"/>
                <w:szCs w:val="20"/>
                <w:lang w:eastAsia="en-GB"/>
              </w:rPr>
              <w:t xml:space="preserve"> </w:t>
            </w:r>
            <w:proofErr w:type="spellStart"/>
            <w:r>
              <w:rPr>
                <w:rFonts w:asciiTheme="minorHAnsi" w:hAnsiTheme="minorHAnsi"/>
                <w:sz w:val="20"/>
                <w:szCs w:val="20"/>
                <w:lang w:eastAsia="en-GB"/>
              </w:rPr>
              <w:t>mancanti</w:t>
            </w:r>
            <w:proofErr w:type="spellEnd"/>
          </w:p>
        </w:tc>
        <w:tc>
          <w:tcPr>
            <w:tcW w:w="3219" w:type="pct"/>
            <w:tcBorders>
              <w:top w:val="single" w:sz="6" w:space="0" w:color="auto"/>
              <w:left w:val="single" w:sz="6" w:space="0" w:color="auto"/>
              <w:bottom w:val="single" w:sz="4" w:space="0" w:color="auto"/>
              <w:right w:val="single" w:sz="4" w:space="0" w:color="auto"/>
            </w:tcBorders>
            <w:hideMark/>
          </w:tcPr>
          <w:p w:rsidR="00B3428B" w:rsidRPr="009C5FEC" w:rsidRDefault="001A3247" w:rsidP="009C5FEC">
            <w:pPr>
              <w:pStyle w:val="TabletextrowsAgency"/>
              <w:spacing w:line="240" w:lineRule="auto"/>
              <w:rPr>
                <w:rFonts w:asciiTheme="minorHAnsi" w:hAnsiTheme="minorHAnsi"/>
                <w:sz w:val="20"/>
                <w:szCs w:val="20"/>
                <w:lang w:val="it-IT" w:eastAsia="en-GB"/>
              </w:rPr>
            </w:pPr>
            <w:r>
              <w:rPr>
                <w:rFonts w:asciiTheme="minorHAnsi" w:hAnsiTheme="minorHAnsi"/>
                <w:sz w:val="20"/>
                <w:szCs w:val="20"/>
                <w:lang w:val="it-IT" w:eastAsia="en-GB"/>
              </w:rPr>
              <w:t>NA</w:t>
            </w:r>
          </w:p>
        </w:tc>
      </w:tr>
    </w:tbl>
    <w:p w:rsidR="00AF3380" w:rsidRPr="00B3428B" w:rsidRDefault="00AF3380" w:rsidP="00AF3380">
      <w:pPr>
        <w:pStyle w:val="Paragrafoelenco"/>
        <w:spacing w:after="0" w:line="240" w:lineRule="auto"/>
        <w:ind w:left="0"/>
        <w:jc w:val="both"/>
      </w:pPr>
    </w:p>
    <w:p w:rsidR="00AF3380" w:rsidRDefault="00AF3380" w:rsidP="00AF3380">
      <w:pPr>
        <w:pStyle w:val="Paragrafoelenco"/>
        <w:spacing w:after="0" w:line="240" w:lineRule="auto"/>
        <w:ind w:left="0"/>
        <w:jc w:val="both"/>
      </w:pPr>
      <w:r w:rsidRPr="009A2805">
        <w:t xml:space="preserve">Azioni </w:t>
      </w:r>
      <w:proofErr w:type="spellStart"/>
      <w:r w:rsidRPr="009A2805">
        <w:t>routinarie</w:t>
      </w:r>
      <w:proofErr w:type="spellEnd"/>
      <w:r w:rsidRPr="009A2805">
        <w:t xml:space="preserve"> di farmacovigilanza e di </w:t>
      </w:r>
      <w:r>
        <w:t>minimizzazione del rischio sono proposte per tutte le problematiche di sicurezza.</w:t>
      </w:r>
    </w:p>
    <w:p w:rsidR="00AF3380" w:rsidRDefault="00AF3380" w:rsidP="00AF3380">
      <w:pPr>
        <w:pStyle w:val="Paragrafoelenco"/>
        <w:spacing w:after="0" w:line="240" w:lineRule="auto"/>
        <w:ind w:left="0"/>
        <w:jc w:val="both"/>
      </w:pPr>
      <w:r>
        <w:t>Oltre le misure previste nel Riassunto delle caratteristiche del prodotto non sono previste attività addizionali di minimizzazione del rischio</w:t>
      </w:r>
    </w:p>
    <w:p w:rsidR="00AF3380" w:rsidRDefault="00AF3380" w:rsidP="00AF3380">
      <w:pPr>
        <w:pStyle w:val="Paragrafoelenco"/>
        <w:spacing w:after="0" w:line="240" w:lineRule="auto"/>
        <w:ind w:left="0"/>
        <w:jc w:val="both"/>
      </w:pPr>
    </w:p>
    <w:p w:rsidR="00AF3380" w:rsidRPr="002E4DCB" w:rsidRDefault="00AF3380" w:rsidP="00AF3380">
      <w:pPr>
        <w:pStyle w:val="Paragrafoelenco"/>
        <w:spacing w:after="0" w:line="240" w:lineRule="auto"/>
        <w:ind w:left="0"/>
        <w:jc w:val="both"/>
        <w:rPr>
          <w:b/>
        </w:rPr>
      </w:pPr>
      <w:r w:rsidRPr="002E4DCB">
        <w:rPr>
          <w:b/>
        </w:rPr>
        <w:t>Conclusioni</w:t>
      </w:r>
    </w:p>
    <w:p w:rsidR="00AF3380" w:rsidRDefault="00AF3380" w:rsidP="00AF3380">
      <w:pPr>
        <w:pStyle w:val="Paragrafoelenco"/>
        <w:spacing w:after="0" w:line="240" w:lineRule="auto"/>
        <w:ind w:left="0"/>
        <w:jc w:val="both"/>
      </w:pPr>
      <w:r>
        <w:t xml:space="preserve">Per la richiesta di AIC di </w:t>
      </w:r>
      <w:proofErr w:type="spellStart"/>
      <w:r>
        <w:t>Somun</w:t>
      </w:r>
      <w:proofErr w:type="spellEnd"/>
      <w:r>
        <w:t xml:space="preserve"> sono state presentate sufficienti informazioni cliniche.</w:t>
      </w:r>
    </w:p>
    <w:p w:rsidR="00AF3380" w:rsidRDefault="00AF3380" w:rsidP="00AF3380">
      <w:pPr>
        <w:pStyle w:val="Paragrafoelenco"/>
        <w:spacing w:after="0" w:line="240" w:lineRule="auto"/>
        <w:ind w:left="0"/>
        <w:jc w:val="both"/>
      </w:pPr>
      <w:r>
        <w:t xml:space="preserve">Il rapporto beneficio/rischio di </w:t>
      </w:r>
      <w:proofErr w:type="spellStart"/>
      <w:r>
        <w:t>Somun</w:t>
      </w:r>
      <w:proofErr w:type="spellEnd"/>
      <w:r>
        <w:t xml:space="preserve"> è considerato favorevole dal punto di vista clinico.</w:t>
      </w:r>
    </w:p>
    <w:p w:rsidR="00AF3380" w:rsidRDefault="00AF3380" w:rsidP="00AF3380">
      <w:pPr>
        <w:pStyle w:val="Paragrafoelenco"/>
        <w:spacing w:after="0" w:line="240" w:lineRule="auto"/>
        <w:ind w:left="0"/>
        <w:jc w:val="both"/>
      </w:pPr>
    </w:p>
    <w:p w:rsidR="00AF3380" w:rsidRDefault="00AF3380" w:rsidP="00AF3380">
      <w:pPr>
        <w:pStyle w:val="Paragrafoelenco"/>
        <w:spacing w:after="0" w:line="240" w:lineRule="auto"/>
        <w:ind w:left="0"/>
        <w:jc w:val="both"/>
      </w:pPr>
    </w:p>
    <w:p w:rsidR="00AF3380" w:rsidRPr="002E4DCB" w:rsidRDefault="00AF3380" w:rsidP="00A85A34">
      <w:pPr>
        <w:pStyle w:val="Paragrafoelenco"/>
        <w:numPr>
          <w:ilvl w:val="0"/>
          <w:numId w:val="5"/>
        </w:numPr>
        <w:spacing w:after="0" w:line="240" w:lineRule="auto"/>
        <w:jc w:val="both"/>
        <w:rPr>
          <w:b/>
        </w:rPr>
      </w:pPr>
      <w:r w:rsidRPr="002E4DCB">
        <w:rPr>
          <w:b/>
        </w:rPr>
        <w:t xml:space="preserve">CONSULTAZIONE </w:t>
      </w:r>
      <w:r>
        <w:rPr>
          <w:b/>
        </w:rPr>
        <w:t>SUL FOGLIO ILLUSTRATIVO</w:t>
      </w:r>
    </w:p>
    <w:p w:rsidR="00EC6965" w:rsidRDefault="00EC6965" w:rsidP="00EC6965">
      <w:pPr>
        <w:spacing w:after="0" w:line="240" w:lineRule="auto"/>
        <w:jc w:val="both"/>
      </w:pPr>
      <w:r w:rsidRPr="00291644">
        <w:t xml:space="preserve">In accordo alla normativa vigente, </w:t>
      </w:r>
      <w:r>
        <w:t>il</w:t>
      </w:r>
      <w:r w:rsidRPr="00EC6965">
        <w:rPr>
          <w:rFonts w:eastAsia="Calibri" w:cs="Calibri"/>
          <w:lang w:eastAsia="it-IT"/>
        </w:rPr>
        <w:t xml:space="preserve"> </w:t>
      </w:r>
      <w:r>
        <w:rPr>
          <w:rFonts w:eastAsia="Calibri" w:cs="Calibri"/>
          <w:lang w:eastAsia="it-IT"/>
        </w:rPr>
        <w:t>titolare</w:t>
      </w:r>
      <w:r w:rsidRPr="002A3F14">
        <w:rPr>
          <w:rFonts w:eastAsia="Calibri" w:cs="Calibri"/>
          <w:lang w:eastAsia="it-IT"/>
        </w:rPr>
        <w:t xml:space="preserve"> dell’autorizzazione all’immissione in commercio (AIC) </w:t>
      </w:r>
      <w:r w:rsidRPr="00291644">
        <w:t>si è impegnat</w:t>
      </w:r>
      <w:r>
        <w:t>o</w:t>
      </w:r>
      <w:r w:rsidRPr="00291644">
        <w:t xml:space="preserve"> a presentare il Foglio Illustrativo redatto in conformità al modello (modello QRD) redatto secondo il formato europeo leggibile per il paziente, confermato dai risultati del test di leggibilità che sarà condotto in accordo ai requisiti dell’art. 59(3) e 61(1)</w:t>
      </w:r>
      <w:r>
        <w:t xml:space="preserve"> della direttiva 2001/83/EU </w:t>
      </w:r>
      <w:proofErr w:type="spellStart"/>
      <w:r>
        <w:t>s.m.i.</w:t>
      </w:r>
      <w:proofErr w:type="spellEnd"/>
    </w:p>
    <w:p w:rsidR="00AF3380" w:rsidRDefault="00AF3380" w:rsidP="00A85A34">
      <w:pPr>
        <w:pStyle w:val="Paragrafoelenco"/>
        <w:spacing w:after="0" w:line="240" w:lineRule="auto"/>
        <w:ind w:left="0"/>
        <w:jc w:val="both"/>
      </w:pPr>
    </w:p>
    <w:p w:rsidR="00AF3380" w:rsidRDefault="00AF3380" w:rsidP="00A85A34">
      <w:pPr>
        <w:spacing w:after="0" w:line="240" w:lineRule="auto"/>
        <w:jc w:val="both"/>
      </w:pPr>
    </w:p>
    <w:p w:rsidR="00AF3380" w:rsidRPr="00BC23ED" w:rsidRDefault="00AF3380" w:rsidP="00A85A34">
      <w:pPr>
        <w:pStyle w:val="Paragrafoelenco"/>
        <w:numPr>
          <w:ilvl w:val="0"/>
          <w:numId w:val="5"/>
        </w:numPr>
        <w:spacing w:after="0" w:line="240" w:lineRule="auto"/>
        <w:jc w:val="both"/>
        <w:rPr>
          <w:b/>
        </w:rPr>
      </w:pPr>
      <w:r w:rsidRPr="00BC23ED">
        <w:rPr>
          <w:b/>
        </w:rPr>
        <w:t>CONCLUSIONI, VALUTAZIONE DEL RAPPORTO BENEFICIO/RISCHIO E RACCOMANDAZIONI</w:t>
      </w:r>
    </w:p>
    <w:p w:rsidR="00AF3380" w:rsidRDefault="00AF3380" w:rsidP="00A85A34">
      <w:pPr>
        <w:spacing w:after="0" w:line="240" w:lineRule="auto"/>
        <w:jc w:val="both"/>
      </w:pPr>
      <w:r>
        <w:t xml:space="preserve">La qualità di </w:t>
      </w:r>
      <w:proofErr w:type="spellStart"/>
      <w:r>
        <w:t>Somun</w:t>
      </w:r>
      <w:proofErr w:type="spellEnd"/>
      <w:r>
        <w:t xml:space="preserve"> è accettabile e non sono state rilevate criticità da un punto di vista non clinico e clinico.</w:t>
      </w:r>
    </w:p>
    <w:p w:rsidR="00AF3380" w:rsidRDefault="00AF3380" w:rsidP="00A85A34">
      <w:pPr>
        <w:spacing w:after="0" w:line="240" w:lineRule="auto"/>
        <w:jc w:val="both"/>
      </w:pPr>
      <w:r>
        <w:lastRenderedPageBreak/>
        <w:t>Il rapporto beneficio/rischio è considerato positivo.</w:t>
      </w:r>
    </w:p>
    <w:p w:rsidR="00A85A34" w:rsidRDefault="00A85A34" w:rsidP="00A85A34">
      <w:pPr>
        <w:spacing w:after="0" w:line="240" w:lineRule="auto"/>
        <w:jc w:val="both"/>
      </w:pPr>
      <w:r>
        <w:t xml:space="preserve">Il riassunto delle caratteristiche del prodotto, il foglio illustrativo e le etichette sono in linea con le correnti linee guida. Questi documenti possono essere consultati sul sito istituzionale di AIFA </w:t>
      </w:r>
      <w:r>
        <w:rPr>
          <w:rFonts w:eastAsia="Calibri" w:cs="Calibri"/>
          <w:lang w:eastAsia="it-IT"/>
        </w:rPr>
        <w:t>(</w:t>
      </w:r>
      <w:hyperlink r:id="rId9" w:history="1">
        <w:r>
          <w:rPr>
            <w:rStyle w:val="Collegamentoipertestuale"/>
            <w:rFonts w:eastAsia="Calibri" w:cs="Calibri"/>
            <w:lang w:eastAsia="it-IT"/>
          </w:rPr>
          <w:t>https://farmaci.agenziafarmaco.gov.it/bancadatifarmaci</w:t>
        </w:r>
      </w:hyperlink>
      <w:r>
        <w:rPr>
          <w:rFonts w:eastAsia="Calibri" w:cs="Calibri"/>
          <w:lang w:eastAsia="it-IT"/>
        </w:rPr>
        <w:t>).</w:t>
      </w:r>
      <w:r>
        <w:t xml:space="preserve"> </w:t>
      </w:r>
    </w:p>
    <w:p w:rsidR="00AF3380" w:rsidRDefault="00AF3380" w:rsidP="00A85A34">
      <w:pPr>
        <w:spacing w:after="0" w:line="240" w:lineRule="auto"/>
      </w:pPr>
    </w:p>
    <w:p w:rsidR="00AF3380" w:rsidRDefault="00AF3380" w:rsidP="00A85A34">
      <w:pPr>
        <w:spacing w:after="0" w:line="240" w:lineRule="auto"/>
      </w:pPr>
    </w:p>
    <w:sectPr w:rsidR="00AF3380" w:rsidSect="00B305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72114594"/>
    <w:multiLevelType w:val="hybridMultilevel"/>
    <w:tmpl w:val="6EBC97E8"/>
    <w:lvl w:ilvl="0" w:tplc="1B029450">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4241AC"/>
    <w:rsid w:val="00013020"/>
    <w:rsid w:val="00037F9B"/>
    <w:rsid w:val="00062636"/>
    <w:rsid w:val="00066E81"/>
    <w:rsid w:val="00077016"/>
    <w:rsid w:val="000B7E92"/>
    <w:rsid w:val="000E0632"/>
    <w:rsid w:val="00111E9E"/>
    <w:rsid w:val="0011250C"/>
    <w:rsid w:val="00174C87"/>
    <w:rsid w:val="0017631B"/>
    <w:rsid w:val="00180C71"/>
    <w:rsid w:val="0019182B"/>
    <w:rsid w:val="001A3247"/>
    <w:rsid w:val="0020799C"/>
    <w:rsid w:val="00246D26"/>
    <w:rsid w:val="00284133"/>
    <w:rsid w:val="002F223F"/>
    <w:rsid w:val="00313659"/>
    <w:rsid w:val="003B3BD7"/>
    <w:rsid w:val="003B7913"/>
    <w:rsid w:val="004064E4"/>
    <w:rsid w:val="004241AC"/>
    <w:rsid w:val="00437700"/>
    <w:rsid w:val="00452364"/>
    <w:rsid w:val="004843D8"/>
    <w:rsid w:val="004A1685"/>
    <w:rsid w:val="004B1E51"/>
    <w:rsid w:val="004B20A8"/>
    <w:rsid w:val="004C0BB7"/>
    <w:rsid w:val="004E4927"/>
    <w:rsid w:val="005365CF"/>
    <w:rsid w:val="0053774E"/>
    <w:rsid w:val="0054084F"/>
    <w:rsid w:val="00592263"/>
    <w:rsid w:val="005E11E9"/>
    <w:rsid w:val="00601567"/>
    <w:rsid w:val="006937DF"/>
    <w:rsid w:val="006A181E"/>
    <w:rsid w:val="006B5321"/>
    <w:rsid w:val="006C2DB6"/>
    <w:rsid w:val="006C6F14"/>
    <w:rsid w:val="006F0029"/>
    <w:rsid w:val="006F3638"/>
    <w:rsid w:val="00735026"/>
    <w:rsid w:val="007552D9"/>
    <w:rsid w:val="007664B4"/>
    <w:rsid w:val="0078085A"/>
    <w:rsid w:val="00785B6C"/>
    <w:rsid w:val="007A4597"/>
    <w:rsid w:val="00802772"/>
    <w:rsid w:val="00807926"/>
    <w:rsid w:val="00874733"/>
    <w:rsid w:val="008F7809"/>
    <w:rsid w:val="00927F53"/>
    <w:rsid w:val="009540E6"/>
    <w:rsid w:val="0098057B"/>
    <w:rsid w:val="009A260F"/>
    <w:rsid w:val="009A4251"/>
    <w:rsid w:val="009B03DB"/>
    <w:rsid w:val="009C5FEC"/>
    <w:rsid w:val="00A05212"/>
    <w:rsid w:val="00A1005E"/>
    <w:rsid w:val="00A40FF3"/>
    <w:rsid w:val="00A85A34"/>
    <w:rsid w:val="00AA69FA"/>
    <w:rsid w:val="00AF3380"/>
    <w:rsid w:val="00B01103"/>
    <w:rsid w:val="00B3428B"/>
    <w:rsid w:val="00BA7D67"/>
    <w:rsid w:val="00BB0153"/>
    <w:rsid w:val="00BB0DBA"/>
    <w:rsid w:val="00BB681F"/>
    <w:rsid w:val="00BC0F7F"/>
    <w:rsid w:val="00BC74C2"/>
    <w:rsid w:val="00BD0D80"/>
    <w:rsid w:val="00BD3508"/>
    <w:rsid w:val="00BE7E72"/>
    <w:rsid w:val="00BF1041"/>
    <w:rsid w:val="00BF4465"/>
    <w:rsid w:val="00CB3303"/>
    <w:rsid w:val="00CC7AFF"/>
    <w:rsid w:val="00D20170"/>
    <w:rsid w:val="00D52F0A"/>
    <w:rsid w:val="00D60909"/>
    <w:rsid w:val="00DB10B2"/>
    <w:rsid w:val="00E268F3"/>
    <w:rsid w:val="00E36801"/>
    <w:rsid w:val="00E41899"/>
    <w:rsid w:val="00E43089"/>
    <w:rsid w:val="00E44B75"/>
    <w:rsid w:val="00E83F8D"/>
    <w:rsid w:val="00EC6965"/>
    <w:rsid w:val="00ED2986"/>
    <w:rsid w:val="00EF062E"/>
    <w:rsid w:val="00F256BC"/>
    <w:rsid w:val="00F66767"/>
    <w:rsid w:val="00FA2702"/>
    <w:rsid w:val="00FB053D"/>
    <w:rsid w:val="00FB3235"/>
    <w:rsid w:val="00FF0EC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paragraph" w:styleId="Titolo1">
    <w:name w:val="heading 1"/>
    <w:basedOn w:val="Normale"/>
    <w:link w:val="Titolo1Carattere"/>
    <w:uiPriority w:val="9"/>
    <w:qFormat/>
    <w:rsid w:val="00AF338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character" w:styleId="Collegamentoipertestuale">
    <w:name w:val="Hyperlink"/>
    <w:basedOn w:val="Carpredefinitoparagrafo"/>
    <w:uiPriority w:val="99"/>
    <w:unhideWhenUsed/>
    <w:rsid w:val="00BB0DBA"/>
    <w:rPr>
      <w:color w:val="0000FF" w:themeColor="hyperlink"/>
      <w:u w:val="single"/>
    </w:rPr>
  </w:style>
  <w:style w:type="character" w:customStyle="1" w:styleId="Titolo1Carattere">
    <w:name w:val="Titolo 1 Carattere"/>
    <w:basedOn w:val="Carpredefinitoparagrafo"/>
    <w:link w:val="Titolo1"/>
    <w:uiPriority w:val="9"/>
    <w:rsid w:val="00AF3380"/>
    <w:rPr>
      <w:rFonts w:ascii="Times New Roman" w:eastAsia="Times New Roman" w:hAnsi="Times New Roman" w:cs="Times New Roman"/>
      <w:b/>
      <w:bCs/>
      <w:kern w:val="36"/>
      <w:sz w:val="48"/>
      <w:szCs w:val="48"/>
      <w:lang w:eastAsia="it-IT"/>
    </w:rPr>
  </w:style>
  <w:style w:type="character" w:customStyle="1" w:styleId="s1">
    <w:name w:val="s1"/>
    <w:basedOn w:val="Carpredefinitoparagrafo"/>
    <w:rsid w:val="00AF3380"/>
    <w:rPr>
      <w:rFonts w:ascii="Arial" w:hAnsi="Arial" w:cs="Arial" w:hint="default"/>
    </w:rPr>
  </w:style>
  <w:style w:type="paragraph" w:styleId="Rientrocorpodeltesto3">
    <w:name w:val="Body Text Indent 3"/>
    <w:basedOn w:val="Normale"/>
    <w:link w:val="Rientrocorpodeltesto3Carattere"/>
    <w:rsid w:val="00AF3380"/>
    <w:pPr>
      <w:tabs>
        <w:tab w:val="left" w:pos="720"/>
        <w:tab w:val="left" w:pos="1418"/>
        <w:tab w:val="left" w:pos="2880"/>
        <w:tab w:val="left" w:pos="3600"/>
        <w:tab w:val="left" w:pos="4320"/>
        <w:tab w:val="left" w:pos="5040"/>
        <w:tab w:val="left" w:pos="5760"/>
        <w:tab w:val="left" w:pos="6480"/>
        <w:tab w:val="left" w:pos="7200"/>
        <w:tab w:val="left" w:pos="7920"/>
      </w:tabs>
      <w:spacing w:after="0" w:line="240" w:lineRule="atLeast"/>
      <w:ind w:left="1418" w:hanging="720"/>
      <w:jc w:val="both"/>
    </w:pPr>
    <w:rPr>
      <w:rFonts w:ascii="Arial" w:eastAsia="Times New Roman" w:hAnsi="Arial" w:cs="Times New Roman"/>
      <w:szCs w:val="20"/>
      <w:lang w:eastAsia="it-IT"/>
    </w:rPr>
  </w:style>
  <w:style w:type="character" w:customStyle="1" w:styleId="Rientrocorpodeltesto3Carattere">
    <w:name w:val="Rientro corpo del testo 3 Carattere"/>
    <w:basedOn w:val="Carpredefinitoparagrafo"/>
    <w:link w:val="Rientrocorpodeltesto3"/>
    <w:rsid w:val="00AF3380"/>
    <w:rPr>
      <w:rFonts w:ascii="Arial" w:eastAsia="Times New Roman" w:hAnsi="Arial" w:cs="Times New Roman"/>
      <w:szCs w:val="20"/>
      <w:lang w:eastAsia="it-IT"/>
    </w:rPr>
  </w:style>
  <w:style w:type="paragraph" w:styleId="Didascalia">
    <w:name w:val="caption"/>
    <w:basedOn w:val="Normale"/>
    <w:next w:val="Normale"/>
    <w:qFormat/>
    <w:rsid w:val="00FF0EC7"/>
    <w:pPr>
      <w:spacing w:before="120" w:after="120" w:line="240" w:lineRule="auto"/>
    </w:pPr>
    <w:rPr>
      <w:rFonts w:ascii="Times New Roman" w:eastAsia="Times New Roman" w:hAnsi="Times New Roman" w:cs="Times New Roman"/>
      <w:b/>
      <w:sz w:val="24"/>
      <w:szCs w:val="20"/>
      <w:lang w:val="en-US"/>
    </w:rPr>
  </w:style>
  <w:style w:type="paragraph" w:customStyle="1" w:styleId="TabletextrowsAgency">
    <w:name w:val="Table text rows (Agency)"/>
    <w:basedOn w:val="Normale"/>
    <w:semiHidden/>
    <w:rsid w:val="00B3428B"/>
    <w:pPr>
      <w:spacing w:after="0" w:line="280" w:lineRule="exact"/>
    </w:pPr>
    <w:rPr>
      <w:rFonts w:ascii="Verdana" w:eastAsia="Times New Roman" w:hAnsi="Verdana" w:cs="Verdana"/>
      <w:sz w:val="18"/>
      <w:szCs w:val="18"/>
      <w:lang w:val="en-GB" w:eastAsia="zh-CN"/>
    </w:rPr>
  </w:style>
</w:styles>
</file>

<file path=word/webSettings.xml><?xml version="1.0" encoding="utf-8"?>
<w:webSettings xmlns:r="http://schemas.openxmlformats.org/officeDocument/2006/relationships" xmlns:w="http://schemas.openxmlformats.org/wordprocessingml/2006/main">
  <w:divs>
    <w:div w:id="74205627">
      <w:bodyDiv w:val="1"/>
      <w:marLeft w:val="0"/>
      <w:marRight w:val="0"/>
      <w:marTop w:val="0"/>
      <w:marBottom w:val="0"/>
      <w:divBdr>
        <w:top w:val="none" w:sz="0" w:space="0" w:color="auto"/>
        <w:left w:val="none" w:sz="0" w:space="0" w:color="auto"/>
        <w:bottom w:val="none" w:sz="0" w:space="0" w:color="auto"/>
        <w:right w:val="none" w:sz="0" w:space="0" w:color="auto"/>
      </w:divBdr>
      <w:divsChild>
        <w:div w:id="461729306">
          <w:marLeft w:val="0"/>
          <w:marRight w:val="0"/>
          <w:marTop w:val="0"/>
          <w:marBottom w:val="0"/>
          <w:divBdr>
            <w:top w:val="none" w:sz="0" w:space="0" w:color="auto"/>
            <w:left w:val="none" w:sz="0" w:space="0" w:color="auto"/>
            <w:bottom w:val="none" w:sz="0" w:space="0" w:color="auto"/>
            <w:right w:val="none" w:sz="0" w:space="0" w:color="auto"/>
          </w:divBdr>
        </w:div>
      </w:divsChild>
    </w:div>
    <w:div w:id="823739095">
      <w:bodyDiv w:val="1"/>
      <w:marLeft w:val="0"/>
      <w:marRight w:val="0"/>
      <w:marTop w:val="0"/>
      <w:marBottom w:val="0"/>
      <w:divBdr>
        <w:top w:val="none" w:sz="0" w:space="0" w:color="auto"/>
        <w:left w:val="none" w:sz="0" w:space="0" w:color="auto"/>
        <w:bottom w:val="none" w:sz="0" w:space="0" w:color="auto"/>
        <w:right w:val="none" w:sz="0" w:space="0" w:color="auto"/>
      </w:divBdr>
    </w:div>
    <w:div w:id="156841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8</Pages>
  <Words>2484</Words>
  <Characters>14161</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18</cp:revision>
  <dcterms:created xsi:type="dcterms:W3CDTF">2015-06-22T14:40:00Z</dcterms:created>
  <dcterms:modified xsi:type="dcterms:W3CDTF">2015-10-13T09:23:00Z</dcterms:modified>
</cp:coreProperties>
</file>