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41AC" w:rsidRPr="002A3F14" w:rsidRDefault="004241AC" w:rsidP="004241AC">
      <w:pPr>
        <w:spacing w:after="0" w:line="240" w:lineRule="auto"/>
        <w:jc w:val="center"/>
        <w:rPr>
          <w:lang w:val="en-US"/>
        </w:rPr>
      </w:pPr>
      <w:r w:rsidRPr="002A3F14">
        <w:rPr>
          <w:noProof/>
          <w:lang w:eastAsia="it-IT"/>
        </w:rPr>
        <w:drawing>
          <wp:inline distT="0" distB="0" distL="0" distR="0">
            <wp:extent cx="3422890" cy="1491591"/>
            <wp:effectExtent l="19050" t="0" r="611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6213" cy="14930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41AC" w:rsidRDefault="004241AC" w:rsidP="004241AC">
      <w:pPr>
        <w:spacing w:after="0" w:line="240" w:lineRule="auto"/>
        <w:jc w:val="center"/>
        <w:rPr>
          <w:b/>
        </w:rPr>
      </w:pPr>
    </w:p>
    <w:p w:rsidR="008F006E" w:rsidRDefault="008F006E" w:rsidP="008F006E">
      <w:pPr>
        <w:spacing w:after="0" w:line="240" w:lineRule="auto"/>
        <w:jc w:val="center"/>
        <w:rPr>
          <w:b/>
          <w:sz w:val="28"/>
        </w:rPr>
      </w:pPr>
      <w:bookmarkStart w:id="0" w:name="Text15"/>
      <w:r>
        <w:rPr>
          <w:b/>
          <w:sz w:val="28"/>
        </w:rPr>
        <w:t>Relazione Pubblica di Valutazione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8F006E" w:rsidRDefault="008F006E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4241AC" w:rsidRPr="00417C92" w:rsidRDefault="00E22875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sz w:val="32"/>
        </w:rPr>
      </w:pPr>
      <w:r>
        <w:rPr>
          <w:b/>
          <w:sz w:val="32"/>
        </w:rPr>
        <w:t>TOBRAMICINA DOC GENERICI</w:t>
      </w:r>
    </w:p>
    <w:p w:rsidR="004241AC" w:rsidRPr="003A3FEB" w:rsidRDefault="004241AC" w:rsidP="004241AC">
      <w:pPr>
        <w:widowControl w:val="0"/>
        <w:spacing w:after="0" w:line="240" w:lineRule="auto"/>
        <w:jc w:val="center"/>
        <w:rPr>
          <w:snapToGrid w:val="0"/>
        </w:rPr>
      </w:pPr>
      <w:r w:rsidRPr="003A3FEB">
        <w:rPr>
          <w:snapToGrid w:val="0"/>
        </w:rPr>
        <w:t xml:space="preserve"> (</w:t>
      </w:r>
      <w:r w:rsidR="00E22875">
        <w:rPr>
          <w:snapToGrid w:val="0"/>
        </w:rPr>
        <w:t>Tobramicina</w:t>
      </w:r>
      <w:r w:rsidRPr="003A3FEB">
        <w:rPr>
          <w:snapToGrid w:val="0"/>
        </w:rPr>
        <w:t>)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4241AC" w:rsidRPr="00062636" w:rsidRDefault="00E22875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  <w:r>
        <w:rPr>
          <w:b/>
        </w:rPr>
        <w:t>Doc Generici</w:t>
      </w:r>
    </w:p>
    <w:p w:rsidR="00257BC5" w:rsidRPr="00062636" w:rsidRDefault="00257BC5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4241AC" w:rsidRPr="00062636" w:rsidRDefault="004241AC" w:rsidP="004241AC">
      <w:pPr>
        <w:spacing w:after="0" w:line="240" w:lineRule="auto"/>
        <w:jc w:val="center"/>
        <w:rPr>
          <w:b/>
        </w:rPr>
      </w:pPr>
      <w:r w:rsidRPr="00062636">
        <w:rPr>
          <w:b/>
        </w:rPr>
        <w:t xml:space="preserve">Numero di AIC: </w:t>
      </w:r>
      <w:r w:rsidR="00B97317" w:rsidRPr="00B97317">
        <w:rPr>
          <w:rFonts w:cs="Helvetica"/>
          <w:b/>
        </w:rPr>
        <w:t>04</w:t>
      </w:r>
      <w:r w:rsidR="00E22875">
        <w:rPr>
          <w:rFonts w:cs="Helvetica"/>
          <w:b/>
        </w:rPr>
        <w:t>3324</w:t>
      </w:r>
    </w:p>
    <w:bookmarkEnd w:id="0"/>
    <w:p w:rsidR="004241AC" w:rsidRDefault="004241AC" w:rsidP="004241AC">
      <w:pPr>
        <w:spacing w:after="0" w:line="240" w:lineRule="auto"/>
        <w:jc w:val="center"/>
        <w:rPr>
          <w:b/>
        </w:rPr>
      </w:pPr>
    </w:p>
    <w:p w:rsidR="00417C92" w:rsidRDefault="00417C92" w:rsidP="004241AC">
      <w:pPr>
        <w:spacing w:after="0" w:line="240" w:lineRule="auto"/>
        <w:jc w:val="center"/>
        <w:rPr>
          <w:b/>
        </w:rPr>
      </w:pPr>
    </w:p>
    <w:p w:rsidR="00417C92" w:rsidRPr="00062636" w:rsidRDefault="00417C92" w:rsidP="004241AC">
      <w:pPr>
        <w:spacing w:after="0" w:line="240" w:lineRule="auto"/>
        <w:jc w:val="center"/>
        <w:rPr>
          <w:b/>
        </w:rPr>
      </w:pPr>
    </w:p>
    <w:p w:rsidR="00417C92" w:rsidRPr="0033523E" w:rsidRDefault="00417C92" w:rsidP="00417C92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="Calibri"/>
          <w:b/>
          <w:color w:val="000000"/>
          <w:lang w:eastAsia="it-IT"/>
        </w:rPr>
      </w:pPr>
      <w:r w:rsidRPr="0033523E">
        <w:rPr>
          <w:rFonts w:eastAsia="Calibri" w:cs="Calibri"/>
          <w:b/>
          <w:color w:val="000000"/>
          <w:lang w:eastAsia="it-IT"/>
        </w:rPr>
        <w:t>RIASSUNTO DELLA RELAZIONE PUBBLICA DI VALUTAZIONE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9F1B70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color w:val="000000"/>
          <w:lang w:eastAsia="it-IT"/>
        </w:rPr>
      </w:pPr>
      <w:r w:rsidRPr="009F1B70">
        <w:rPr>
          <w:rFonts w:eastAsia="Calibri" w:cs="Calibri"/>
          <w:color w:val="000000"/>
          <w:lang w:eastAsia="it-IT"/>
        </w:rPr>
        <w:t xml:space="preserve">Questa è la sintesi del </w:t>
      </w:r>
      <w:r w:rsidRPr="009B03DB">
        <w:rPr>
          <w:rFonts w:eastAsia="Calibri" w:cs="Calibri"/>
          <w:i/>
          <w:color w:val="000000"/>
          <w:lang w:eastAsia="it-IT"/>
        </w:rPr>
        <w:t>Public Assessment Report</w:t>
      </w:r>
      <w:r w:rsidRPr="009F1B70">
        <w:rPr>
          <w:rFonts w:eastAsia="Calibri" w:cs="Calibri"/>
          <w:color w:val="000000"/>
          <w:lang w:eastAsia="it-IT"/>
        </w:rPr>
        <w:t xml:space="preserve"> (PAR) per </w:t>
      </w:r>
      <w:r w:rsidR="00E22875">
        <w:rPr>
          <w:rFonts w:eastAsia="Calibri" w:cs="Calibri"/>
          <w:color w:val="000000"/>
          <w:lang w:eastAsia="it-IT"/>
        </w:rPr>
        <w:t>Tobramicina Doc Generici</w:t>
      </w:r>
      <w:r w:rsidRPr="009F1B70">
        <w:rPr>
          <w:rFonts w:eastAsia="Calibri" w:cs="Calibri"/>
          <w:color w:val="000000"/>
          <w:lang w:eastAsia="it-IT"/>
        </w:rPr>
        <w:t>.</w:t>
      </w:r>
      <w:r w:rsidRPr="009F1B70">
        <w:rPr>
          <w:rFonts w:eastAsia="Calibri" w:cs="Calibri"/>
          <w:bCs/>
          <w:color w:val="000000"/>
          <w:lang w:eastAsia="it-IT"/>
        </w:rPr>
        <w:t xml:space="preserve"> </w:t>
      </w:r>
      <w:r w:rsidRPr="009F1B70">
        <w:rPr>
          <w:rFonts w:eastAsia="Calibri" w:cs="Calibri"/>
          <w:color w:val="000000"/>
          <w:lang w:eastAsia="it-IT"/>
        </w:rPr>
        <w:t xml:space="preserve">Esso spiega come </w:t>
      </w:r>
      <w:r w:rsidR="00E22875">
        <w:rPr>
          <w:rFonts w:eastAsia="Calibri" w:cs="Calibri"/>
          <w:color w:val="000000"/>
          <w:lang w:eastAsia="it-IT"/>
        </w:rPr>
        <w:t>Tobramicina Doc Generici</w:t>
      </w:r>
      <w:r w:rsidR="00062636" w:rsidRPr="009F1B70">
        <w:rPr>
          <w:rFonts w:eastAsia="Calibri" w:cs="Calibri"/>
          <w:color w:val="000000"/>
          <w:lang w:eastAsia="it-IT"/>
        </w:rPr>
        <w:t xml:space="preserve"> </w:t>
      </w:r>
      <w:r w:rsidRPr="009F1B70">
        <w:rPr>
          <w:rFonts w:eastAsia="Calibri" w:cs="Calibri"/>
          <w:color w:val="000000"/>
          <w:lang w:eastAsia="it-IT"/>
        </w:rPr>
        <w:t xml:space="preserve">è stato valutato dalla Commissione Tecnico-Scientifica (CTS) e </w:t>
      </w:r>
      <w:r w:rsidR="00F33944">
        <w:rPr>
          <w:rFonts w:eastAsia="Calibri" w:cs="Calibri"/>
          <w:color w:val="000000"/>
          <w:lang w:eastAsia="it-IT"/>
        </w:rPr>
        <w:t xml:space="preserve">le </w:t>
      </w:r>
      <w:r w:rsidRPr="009F1B70">
        <w:rPr>
          <w:rFonts w:eastAsia="Calibri" w:cs="Calibri"/>
          <w:color w:val="000000"/>
          <w:lang w:eastAsia="it-IT"/>
        </w:rPr>
        <w:t xml:space="preserve">sue condizioni di impiego. Non intende fornire consigli pratici su come utilizzare </w:t>
      </w:r>
      <w:r w:rsidR="00E22875">
        <w:rPr>
          <w:rFonts w:eastAsia="Calibri" w:cs="Calibri"/>
          <w:color w:val="000000"/>
          <w:lang w:eastAsia="it-IT"/>
        </w:rPr>
        <w:t>Tobramicina Doc Generici</w:t>
      </w:r>
      <w:r w:rsidRPr="009F1B70">
        <w:rPr>
          <w:rFonts w:eastAsia="Calibri" w:cs="Calibri"/>
          <w:bCs/>
          <w:color w:val="000000"/>
          <w:lang w:eastAsia="it-IT"/>
        </w:rPr>
        <w:t>.</w:t>
      </w:r>
    </w:p>
    <w:p w:rsidR="004241AC" w:rsidRPr="009F1B70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9F1B70">
        <w:rPr>
          <w:rFonts w:eastAsia="Calibri" w:cs="Calibri"/>
          <w:color w:val="000000"/>
          <w:lang w:eastAsia="it-IT"/>
        </w:rPr>
        <w:t>Per informazioni pratiche sull'utilizzo di</w:t>
      </w:r>
      <w:r w:rsidRPr="009F1B70">
        <w:rPr>
          <w:rFonts w:eastAsia="Calibri" w:cs="Calibri"/>
          <w:bCs/>
          <w:color w:val="000000"/>
          <w:lang w:eastAsia="it-IT"/>
        </w:rPr>
        <w:t xml:space="preserve"> </w:t>
      </w:r>
      <w:r w:rsidR="00E22875">
        <w:rPr>
          <w:rFonts w:eastAsia="Calibri" w:cs="Calibri"/>
          <w:color w:val="000000"/>
          <w:lang w:eastAsia="it-IT"/>
        </w:rPr>
        <w:t>Tobramicina Doc Generici</w:t>
      </w:r>
      <w:r w:rsidR="00062636" w:rsidRPr="009F1B70">
        <w:rPr>
          <w:rFonts w:eastAsia="Calibri" w:cs="Calibri"/>
          <w:color w:val="000000"/>
          <w:lang w:eastAsia="it-IT"/>
        </w:rPr>
        <w:t xml:space="preserve"> </w:t>
      </w:r>
      <w:r w:rsidRPr="009F1B70">
        <w:rPr>
          <w:rFonts w:eastAsia="Calibri" w:cs="Calibri"/>
          <w:color w:val="000000"/>
          <w:lang w:eastAsia="it-IT"/>
        </w:rPr>
        <w:t xml:space="preserve">i pazienti devono consultare il foglio illustrativo o contattare il loro medico o </w:t>
      </w:r>
      <w:r w:rsidR="009B03DB">
        <w:rPr>
          <w:rFonts w:eastAsia="Calibri" w:cs="Calibri"/>
          <w:color w:val="000000"/>
          <w:lang w:eastAsia="it-IT"/>
        </w:rPr>
        <w:t xml:space="preserve">il </w:t>
      </w:r>
      <w:r w:rsidRPr="009F1B70">
        <w:rPr>
          <w:rFonts w:eastAsia="Calibri" w:cs="Calibri"/>
          <w:color w:val="000000"/>
          <w:lang w:eastAsia="it-IT"/>
        </w:rPr>
        <w:t xml:space="preserve">farmacista. </w:t>
      </w:r>
    </w:p>
    <w:p w:rsidR="004241AC" w:rsidRPr="009F1B70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2A3F14" w:rsidRDefault="004241AC" w:rsidP="0045236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2A3F14">
        <w:rPr>
          <w:rFonts w:eastAsia="Calibri" w:cs="Calibri"/>
          <w:b/>
          <w:bCs/>
          <w:color w:val="000000"/>
          <w:lang w:eastAsia="it-IT"/>
        </w:rPr>
        <w:t xml:space="preserve">1) CHE COS’È </w:t>
      </w:r>
      <w:proofErr w:type="spellStart"/>
      <w:r w:rsidR="00E22875">
        <w:rPr>
          <w:rFonts w:eastAsia="Calibri" w:cs="Calibri"/>
          <w:b/>
          <w:bCs/>
          <w:color w:val="000000"/>
          <w:lang w:eastAsia="it-IT"/>
        </w:rPr>
        <w:t>Tobramicina</w:t>
      </w:r>
      <w:proofErr w:type="spellEnd"/>
      <w:r w:rsidR="00E22875">
        <w:rPr>
          <w:rFonts w:eastAsia="Calibri" w:cs="Calibri"/>
          <w:b/>
          <w:bCs/>
          <w:color w:val="000000"/>
          <w:lang w:eastAsia="it-IT"/>
        </w:rPr>
        <w:t xml:space="preserve"> </w:t>
      </w:r>
      <w:proofErr w:type="spellStart"/>
      <w:r w:rsidR="00E22875">
        <w:rPr>
          <w:rFonts w:eastAsia="Calibri" w:cs="Calibri"/>
          <w:b/>
          <w:bCs/>
          <w:color w:val="000000"/>
          <w:lang w:eastAsia="it-IT"/>
        </w:rPr>
        <w:t>Doc</w:t>
      </w:r>
      <w:proofErr w:type="spellEnd"/>
      <w:r w:rsidR="00E22875">
        <w:rPr>
          <w:rFonts w:eastAsia="Calibri" w:cs="Calibri"/>
          <w:b/>
          <w:bCs/>
          <w:color w:val="000000"/>
          <w:lang w:eastAsia="it-IT"/>
        </w:rPr>
        <w:t xml:space="preserve"> Generici</w:t>
      </w:r>
      <w:r w:rsidR="00E83F8D">
        <w:rPr>
          <w:rFonts w:eastAsia="Calibri" w:cs="Calibri"/>
          <w:b/>
          <w:bCs/>
          <w:color w:val="000000"/>
          <w:lang w:eastAsia="it-IT"/>
        </w:rPr>
        <w:t xml:space="preserve"> </w:t>
      </w:r>
      <w:r w:rsidR="00C953FF" w:rsidRPr="002A3F14">
        <w:rPr>
          <w:rFonts w:eastAsia="Calibri" w:cs="Calibri"/>
          <w:b/>
          <w:bCs/>
          <w:color w:val="000000"/>
          <w:lang w:eastAsia="it-IT"/>
        </w:rPr>
        <w:t>E A COSA SERVE</w:t>
      </w:r>
      <w:r w:rsidRPr="002A3F14">
        <w:rPr>
          <w:rFonts w:eastAsia="Calibri" w:cs="Calibri"/>
          <w:b/>
          <w:bCs/>
          <w:color w:val="000000"/>
          <w:lang w:eastAsia="it-IT"/>
        </w:rPr>
        <w:t xml:space="preserve">? </w:t>
      </w:r>
    </w:p>
    <w:p w:rsidR="004241AC" w:rsidRPr="00452364" w:rsidRDefault="00E22875" w:rsidP="00452364">
      <w:pPr>
        <w:widowControl w:val="0"/>
        <w:spacing w:after="0" w:line="240" w:lineRule="auto"/>
        <w:jc w:val="both"/>
      </w:pPr>
      <w:r>
        <w:rPr>
          <w:rFonts w:eastAsia="Calibri" w:cs="Calibri"/>
          <w:bCs/>
          <w:color w:val="000000"/>
          <w:lang w:eastAsia="it-IT"/>
        </w:rPr>
        <w:t>Tobramicina Doc Generici</w:t>
      </w:r>
      <w:r w:rsidR="00E83F8D" w:rsidRPr="00E83F8D">
        <w:rPr>
          <w:rFonts w:eastAsia="Calibri" w:cs="Calibri"/>
          <w:bCs/>
          <w:color w:val="000000"/>
          <w:lang w:eastAsia="it-IT"/>
        </w:rPr>
        <w:t xml:space="preserve"> </w:t>
      </w:r>
      <w:r w:rsidR="004241AC" w:rsidRPr="00E83F8D">
        <w:rPr>
          <w:rFonts w:eastAsia="Calibri" w:cs="Calibri"/>
          <w:color w:val="000000"/>
          <w:lang w:eastAsia="it-IT"/>
        </w:rPr>
        <w:t xml:space="preserve">è un medicinale contenente </w:t>
      </w:r>
      <w:r w:rsidR="00062636" w:rsidRPr="00E83F8D">
        <w:rPr>
          <w:rFonts w:eastAsia="Calibri" w:cs="Calibri"/>
          <w:color w:val="000000"/>
          <w:lang w:eastAsia="it-IT"/>
        </w:rPr>
        <w:t>i</w:t>
      </w:r>
      <w:r w:rsidR="00E83F8D" w:rsidRPr="00E83F8D">
        <w:rPr>
          <w:rFonts w:eastAsia="Calibri" w:cs="Calibri"/>
          <w:color w:val="000000"/>
          <w:lang w:eastAsia="it-IT"/>
        </w:rPr>
        <w:t>l</w:t>
      </w:r>
      <w:r w:rsidR="004241AC" w:rsidRPr="00E83F8D">
        <w:rPr>
          <w:rFonts w:eastAsia="Calibri" w:cs="Calibri"/>
          <w:color w:val="000000"/>
          <w:lang w:eastAsia="it-IT"/>
        </w:rPr>
        <w:t xml:space="preserve"> principi</w:t>
      </w:r>
      <w:r w:rsidR="00E83F8D" w:rsidRPr="00E83F8D">
        <w:rPr>
          <w:rFonts w:eastAsia="Calibri" w:cs="Calibri"/>
          <w:color w:val="000000"/>
          <w:lang w:eastAsia="it-IT"/>
        </w:rPr>
        <w:t>o</w:t>
      </w:r>
      <w:r w:rsidR="004241AC" w:rsidRPr="00E83F8D">
        <w:rPr>
          <w:rFonts w:eastAsia="Calibri" w:cs="Calibri"/>
          <w:color w:val="000000"/>
          <w:lang w:eastAsia="it-IT"/>
        </w:rPr>
        <w:t xml:space="preserve"> attiv</w:t>
      </w:r>
      <w:r w:rsidR="00E83F8D" w:rsidRPr="00E83F8D">
        <w:rPr>
          <w:rFonts w:eastAsia="Calibri" w:cs="Calibri"/>
          <w:color w:val="000000"/>
          <w:lang w:eastAsia="it-IT"/>
        </w:rPr>
        <w:t>o</w:t>
      </w:r>
      <w:r w:rsidR="004241AC" w:rsidRPr="00E83F8D">
        <w:rPr>
          <w:rFonts w:eastAsia="Calibri" w:cs="Calibri"/>
          <w:color w:val="000000"/>
          <w:lang w:eastAsia="it-IT"/>
        </w:rPr>
        <w:t xml:space="preserve"> </w:t>
      </w:r>
      <w:r>
        <w:rPr>
          <w:rFonts w:eastAsia="Calibri" w:cs="Calibri"/>
          <w:color w:val="000000"/>
          <w:lang w:eastAsia="it-IT"/>
        </w:rPr>
        <w:t>tobramicina</w:t>
      </w:r>
      <w:r w:rsidR="00257BC5">
        <w:rPr>
          <w:rFonts w:eastAsia="Calibri" w:cs="Calibri"/>
          <w:color w:val="000000"/>
          <w:lang w:eastAsia="it-IT"/>
        </w:rPr>
        <w:t xml:space="preserve"> ed </w:t>
      </w:r>
      <w:r w:rsidR="004241AC" w:rsidRPr="00452364">
        <w:rPr>
          <w:rFonts w:eastAsia="Calibri" w:cs="Calibri"/>
          <w:color w:val="000000"/>
          <w:lang w:eastAsia="it-IT"/>
        </w:rPr>
        <w:t xml:space="preserve">è disponibile in </w:t>
      </w:r>
      <w:r w:rsidR="00E3743F">
        <w:rPr>
          <w:rFonts w:eastAsia="Calibri" w:cs="Calibri"/>
          <w:color w:val="000000"/>
          <w:lang w:eastAsia="it-IT"/>
        </w:rPr>
        <w:t>collirio</w:t>
      </w:r>
      <w:r>
        <w:rPr>
          <w:rFonts w:eastAsia="Calibri" w:cs="Calibri"/>
          <w:color w:val="000000"/>
          <w:lang w:eastAsia="it-IT"/>
        </w:rPr>
        <w:t xml:space="preserve"> </w:t>
      </w:r>
      <w:r w:rsidR="00E3743F">
        <w:rPr>
          <w:rFonts w:eastAsia="Calibri" w:cs="Calibri"/>
          <w:color w:val="000000"/>
          <w:lang w:eastAsia="it-IT"/>
        </w:rPr>
        <w:t>(</w:t>
      </w:r>
      <w:r>
        <w:rPr>
          <w:rFonts w:eastAsia="Calibri" w:cs="Calibri"/>
          <w:color w:val="000000"/>
          <w:lang w:eastAsia="it-IT"/>
        </w:rPr>
        <w:t>soluzione</w:t>
      </w:r>
      <w:r w:rsidR="00FB053D">
        <w:rPr>
          <w:rFonts w:eastAsia="Calibri" w:cs="Calibri"/>
          <w:color w:val="000000"/>
          <w:lang w:eastAsia="it-IT"/>
        </w:rPr>
        <w:t xml:space="preserve"> </w:t>
      </w:r>
      <w:r w:rsidR="00E3743F">
        <w:rPr>
          <w:rFonts w:eastAsia="Calibri" w:cs="Calibri"/>
          <w:color w:val="000000"/>
          <w:lang w:eastAsia="it-IT"/>
        </w:rPr>
        <w:t xml:space="preserve">oftalmica) </w:t>
      </w:r>
      <w:r w:rsidR="00FB053D">
        <w:rPr>
          <w:rFonts w:eastAsia="Calibri" w:cs="Calibri"/>
          <w:color w:val="000000"/>
          <w:lang w:eastAsia="it-IT"/>
        </w:rPr>
        <w:t xml:space="preserve">ad una concentrazione di </w:t>
      </w:r>
      <w:r w:rsidR="004241AC" w:rsidRPr="00452364">
        <w:rPr>
          <w:rFonts w:eastAsia="Calibri" w:cs="Calibri"/>
          <w:color w:val="000000"/>
          <w:lang w:eastAsia="it-IT"/>
        </w:rPr>
        <w:t>principi</w:t>
      </w:r>
      <w:r w:rsidR="00E83F8D" w:rsidRPr="00452364">
        <w:rPr>
          <w:rFonts w:eastAsia="Calibri" w:cs="Calibri"/>
          <w:color w:val="000000"/>
          <w:lang w:eastAsia="it-IT"/>
        </w:rPr>
        <w:t>o attivo</w:t>
      </w:r>
      <w:r w:rsidR="00FB053D">
        <w:rPr>
          <w:rFonts w:eastAsia="Calibri" w:cs="Calibri"/>
          <w:color w:val="000000"/>
          <w:lang w:eastAsia="it-IT"/>
        </w:rPr>
        <w:t xml:space="preserve"> d</w:t>
      </w:r>
      <w:r w:rsidR="002C0350">
        <w:rPr>
          <w:rFonts w:eastAsia="Calibri" w:cs="Calibri"/>
          <w:color w:val="000000"/>
          <w:lang w:eastAsia="it-IT"/>
        </w:rPr>
        <w:t xml:space="preserve">i </w:t>
      </w:r>
      <w:r>
        <w:rPr>
          <w:rFonts w:eastAsia="Calibri" w:cs="Calibri"/>
          <w:color w:val="000000"/>
          <w:lang w:eastAsia="it-IT"/>
        </w:rPr>
        <w:t>3</w:t>
      </w:r>
      <w:r w:rsidR="002C0350">
        <w:rPr>
          <w:rFonts w:eastAsia="Calibri" w:cs="Calibri"/>
          <w:color w:val="000000"/>
          <w:lang w:eastAsia="it-IT"/>
        </w:rPr>
        <w:t xml:space="preserve"> mg/ml</w:t>
      </w:r>
      <w:r w:rsidR="004241AC" w:rsidRPr="00452364">
        <w:t>.</w:t>
      </w:r>
    </w:p>
    <w:p w:rsidR="00013020" w:rsidRPr="00E22875" w:rsidRDefault="00E22875" w:rsidP="00452364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>
        <w:rPr>
          <w:rFonts w:eastAsia="Calibri" w:cs="Calibri"/>
          <w:color w:val="000000"/>
          <w:lang w:eastAsia="it-IT"/>
        </w:rPr>
        <w:t>Tobramicina Doc Generici</w:t>
      </w:r>
      <w:r w:rsidR="00E83F8D" w:rsidRPr="00452364">
        <w:rPr>
          <w:rFonts w:eastAsia="Calibri" w:cs="Calibri"/>
          <w:color w:val="000000"/>
          <w:lang w:eastAsia="it-IT"/>
        </w:rPr>
        <w:t xml:space="preserve"> </w:t>
      </w:r>
      <w:r w:rsidR="00013020" w:rsidRPr="00452364">
        <w:rPr>
          <w:rFonts w:eastAsia="Calibri" w:cs="Calibri"/>
          <w:color w:val="000000"/>
          <w:lang w:eastAsia="it-IT"/>
        </w:rPr>
        <w:t xml:space="preserve">è un “medicinale generico”, cioè è analogo ad un “medicinale di riferimento”, già autorizzato in </w:t>
      </w:r>
      <w:r w:rsidR="00E83F8D" w:rsidRPr="00452364">
        <w:rPr>
          <w:rFonts w:eastAsia="Calibri" w:cs="Calibri"/>
          <w:color w:val="000000"/>
          <w:lang w:eastAsia="it-IT"/>
        </w:rPr>
        <w:t>Italia</w:t>
      </w:r>
      <w:r w:rsidR="00013020" w:rsidRPr="00452364">
        <w:rPr>
          <w:rFonts w:eastAsia="Calibri" w:cs="Calibri"/>
          <w:color w:val="000000"/>
          <w:lang w:eastAsia="it-IT"/>
        </w:rPr>
        <w:t xml:space="preserve">, </w:t>
      </w:r>
      <w:r>
        <w:rPr>
          <w:rFonts w:eastAsia="Calibri" w:cs="Calibri"/>
          <w:color w:val="000000"/>
          <w:lang w:eastAsia="it-IT"/>
        </w:rPr>
        <w:t>Tobral</w:t>
      </w:r>
      <w:r w:rsidR="00013020" w:rsidRPr="00452364">
        <w:rPr>
          <w:rFonts w:eastAsia="Calibri" w:cs="Calibri"/>
          <w:color w:val="000000"/>
          <w:lang w:eastAsia="it-IT"/>
        </w:rPr>
        <w:t>.</w:t>
      </w:r>
    </w:p>
    <w:p w:rsidR="00E22875" w:rsidRPr="00E22875" w:rsidRDefault="00E22875" w:rsidP="00E22875">
      <w:pPr>
        <w:autoSpaceDE w:val="0"/>
        <w:autoSpaceDN w:val="0"/>
        <w:adjustRightInd w:val="0"/>
        <w:spacing w:after="0" w:line="240" w:lineRule="auto"/>
        <w:rPr>
          <w:rFonts w:eastAsia="Calibri" w:cs="Calibri"/>
          <w:color w:val="000000"/>
          <w:lang w:eastAsia="it-IT"/>
        </w:rPr>
      </w:pPr>
      <w:r>
        <w:rPr>
          <w:rFonts w:eastAsia="Calibri" w:cs="Calibri"/>
          <w:color w:val="000000"/>
          <w:lang w:eastAsia="it-IT"/>
        </w:rPr>
        <w:t>Tobramicina Doc Generici</w:t>
      </w:r>
      <w:r w:rsidR="00E83F8D" w:rsidRPr="0023693E">
        <w:rPr>
          <w:rFonts w:eastAsia="Calibri" w:cs="Calibri"/>
          <w:color w:val="000000"/>
          <w:lang w:eastAsia="it-IT"/>
        </w:rPr>
        <w:t xml:space="preserve"> </w:t>
      </w:r>
      <w:r w:rsidR="00257BC5" w:rsidRPr="0023693E">
        <w:rPr>
          <w:rFonts w:eastAsia="Calibri" w:cs="Calibri"/>
          <w:color w:val="000000"/>
          <w:lang w:eastAsia="it-IT"/>
        </w:rPr>
        <w:t xml:space="preserve">è utilizzato </w:t>
      </w:r>
      <w:r w:rsidR="00F62DEB" w:rsidRPr="00E22875">
        <w:rPr>
          <w:rFonts w:eastAsia="Calibri" w:cs="Calibri"/>
          <w:color w:val="000000"/>
          <w:lang w:eastAsia="it-IT"/>
        </w:rPr>
        <w:t xml:space="preserve">negli adulti e nei bambini da un anno di età in poi </w:t>
      </w:r>
      <w:r w:rsidRPr="00E22875">
        <w:rPr>
          <w:rFonts w:eastAsia="Calibri" w:cs="Calibri"/>
          <w:color w:val="000000"/>
          <w:lang w:eastAsia="it-IT"/>
        </w:rPr>
        <w:t xml:space="preserve">nel trattamento di infezioni batteriche della superficie dell’occhio </w:t>
      </w:r>
      <w:r>
        <w:rPr>
          <w:rFonts w:eastAsia="Calibri" w:cs="Calibri"/>
          <w:color w:val="000000"/>
          <w:lang w:eastAsia="it-IT"/>
        </w:rPr>
        <w:t>o delle palpebre</w:t>
      </w:r>
      <w:r w:rsidRPr="00E22875">
        <w:rPr>
          <w:rFonts w:eastAsia="Calibri" w:cs="Calibri"/>
          <w:color w:val="000000"/>
          <w:lang w:eastAsia="it-IT"/>
        </w:rPr>
        <w:t xml:space="preserve"> </w:t>
      </w:r>
      <w:r>
        <w:rPr>
          <w:rFonts w:eastAsia="Calibri" w:cs="Calibri"/>
          <w:color w:val="000000"/>
          <w:lang w:eastAsia="it-IT"/>
        </w:rPr>
        <w:t>(</w:t>
      </w:r>
      <w:r w:rsidRPr="00E22875">
        <w:rPr>
          <w:rFonts w:eastAsia="Calibri" w:cs="Calibri"/>
          <w:color w:val="000000"/>
          <w:lang w:eastAsia="it-IT"/>
        </w:rPr>
        <w:t>come ad esempio congiuntivite</w:t>
      </w:r>
      <w:r w:rsidR="00F62DEB">
        <w:rPr>
          <w:rFonts w:eastAsia="Calibri" w:cs="Calibri"/>
          <w:color w:val="000000"/>
          <w:lang w:eastAsia="it-IT"/>
        </w:rPr>
        <w:t>).</w:t>
      </w:r>
    </w:p>
    <w:p w:rsidR="004241AC" w:rsidRPr="00452364" w:rsidRDefault="004241AC" w:rsidP="0045236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  <w:lang w:eastAsia="it-IT"/>
        </w:rPr>
      </w:pPr>
    </w:p>
    <w:p w:rsidR="00E83F8D" w:rsidRPr="00452364" w:rsidRDefault="00E83F8D" w:rsidP="0045236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  <w:lang w:eastAsia="it-IT"/>
        </w:rPr>
      </w:pPr>
    </w:p>
    <w:p w:rsidR="004241AC" w:rsidRPr="00E83F8D" w:rsidRDefault="004241AC" w:rsidP="0045236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E83F8D">
        <w:rPr>
          <w:rFonts w:eastAsia="Calibri" w:cs="Calibri"/>
          <w:b/>
          <w:bCs/>
          <w:color w:val="000000"/>
          <w:lang w:eastAsia="it-IT"/>
        </w:rPr>
        <w:t xml:space="preserve">2) COME E’ PRESCRITTO/USATO </w:t>
      </w:r>
      <w:r w:rsidR="00E22875">
        <w:rPr>
          <w:rFonts w:eastAsia="Calibri" w:cs="Calibri"/>
          <w:b/>
          <w:bCs/>
          <w:color w:val="000000"/>
          <w:lang w:eastAsia="it-IT"/>
        </w:rPr>
        <w:t>Tobramicina Doc Generici</w:t>
      </w:r>
      <w:r w:rsidRPr="00E83F8D">
        <w:rPr>
          <w:rFonts w:eastAsia="Calibri" w:cs="Calibri"/>
          <w:b/>
          <w:bCs/>
          <w:color w:val="000000"/>
          <w:lang w:eastAsia="it-IT"/>
        </w:rPr>
        <w:t>?</w:t>
      </w:r>
    </w:p>
    <w:p w:rsidR="004241AC" w:rsidRPr="00257BC5" w:rsidRDefault="00E22875" w:rsidP="0045236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>
        <w:rPr>
          <w:rFonts w:eastAsia="Calibri" w:cs="Calibri"/>
          <w:bCs/>
          <w:color w:val="000000"/>
          <w:lang w:eastAsia="it-IT"/>
        </w:rPr>
        <w:t>Tobramicina Doc Generici</w:t>
      </w:r>
      <w:r w:rsidR="00257BC5" w:rsidRPr="00BA7D67">
        <w:rPr>
          <w:rFonts w:eastAsia="DejaVuSans" w:cs="DejaVuSans"/>
        </w:rPr>
        <w:t xml:space="preserve"> </w:t>
      </w:r>
      <w:r w:rsidR="004241AC" w:rsidRPr="00257BC5">
        <w:rPr>
          <w:rFonts w:eastAsia="Calibri" w:cs="Calibri"/>
          <w:color w:val="000000"/>
          <w:lang w:eastAsia="it-IT"/>
        </w:rPr>
        <w:t xml:space="preserve">può essere ottenuto solo dietro prescrizione da parte del medico </w:t>
      </w:r>
      <w:r w:rsidR="004241AC" w:rsidRPr="004C761F">
        <w:rPr>
          <w:rFonts w:eastAsia="Calibri" w:cs="Calibri"/>
          <w:color w:val="000000"/>
          <w:lang w:eastAsia="it-IT"/>
        </w:rPr>
        <w:t>(ricetta ripetibile).</w:t>
      </w:r>
    </w:p>
    <w:p w:rsidR="004241AC" w:rsidRDefault="00257BC5" w:rsidP="00257BC5">
      <w:pPr>
        <w:tabs>
          <w:tab w:val="left" w:pos="0"/>
        </w:tabs>
        <w:spacing w:after="0" w:line="240" w:lineRule="auto"/>
        <w:jc w:val="both"/>
        <w:rPr>
          <w:rFonts w:eastAsia="Calibri" w:cs="Verdana"/>
          <w:color w:val="000000"/>
          <w:lang w:eastAsia="it-IT"/>
        </w:rPr>
      </w:pPr>
      <w:r w:rsidRPr="00257BC5">
        <w:t>L</w:t>
      </w:r>
      <w:r w:rsidR="004241AC" w:rsidRPr="00257BC5">
        <w:t xml:space="preserve">a dose </w:t>
      </w:r>
      <w:r w:rsidR="00874733" w:rsidRPr="00257BC5">
        <w:t>raccomandata</w:t>
      </w:r>
      <w:r>
        <w:t xml:space="preserve"> per </w:t>
      </w:r>
      <w:r w:rsidR="00E22875">
        <w:t xml:space="preserve">gli </w:t>
      </w:r>
      <w:r>
        <w:t xml:space="preserve">adulti </w:t>
      </w:r>
      <w:r w:rsidR="00C46FEB">
        <w:t xml:space="preserve">e per i bambini di età superiore a 1 anno </w:t>
      </w:r>
      <w:r w:rsidRPr="00257BC5">
        <w:t>è di</w:t>
      </w:r>
      <w:r w:rsidR="00874733" w:rsidRPr="00257BC5">
        <w:t xml:space="preserve"> </w:t>
      </w:r>
      <w:r w:rsidR="00E22875" w:rsidRPr="00E22875">
        <w:t xml:space="preserve">due gocce </w:t>
      </w:r>
      <w:r w:rsidR="00E22875">
        <w:t>di collirio</w:t>
      </w:r>
      <w:r w:rsidR="00C46FEB">
        <w:t xml:space="preserve"> nel/negli occhi</w:t>
      </w:r>
      <w:r w:rsidR="00E22875">
        <w:t xml:space="preserve"> </w:t>
      </w:r>
      <w:r w:rsidR="00E22875" w:rsidRPr="00E22875">
        <w:t>quattro volte al giorno</w:t>
      </w:r>
      <w:r w:rsidR="00C46FEB">
        <w:t>; per</w:t>
      </w:r>
      <w:r w:rsidR="00C46FEB" w:rsidRPr="00C46FEB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 w:rsidR="00C46FEB" w:rsidRPr="00C46FEB">
        <w:t>il trattamento delle infezioni croniche, la dose è 2 gocce nel/negli occhi 3 volte al giorno</w:t>
      </w:r>
      <w:r w:rsidR="00765464">
        <w:t xml:space="preserve"> secondo prescrizione medica</w:t>
      </w:r>
      <w:r w:rsidRPr="00E22875">
        <w:t xml:space="preserve">. </w:t>
      </w:r>
    </w:p>
    <w:p w:rsidR="00257BC5" w:rsidRDefault="00257BC5" w:rsidP="00257BC5">
      <w:pPr>
        <w:tabs>
          <w:tab w:val="left" w:pos="0"/>
        </w:tabs>
        <w:spacing w:after="0" w:line="240" w:lineRule="auto"/>
        <w:jc w:val="both"/>
        <w:rPr>
          <w:rFonts w:eastAsia="Calibri" w:cs="Verdana"/>
          <w:color w:val="000000"/>
          <w:lang w:eastAsia="it-IT"/>
        </w:rPr>
      </w:pPr>
    </w:p>
    <w:p w:rsidR="00E80C9F" w:rsidRPr="00BA7D67" w:rsidRDefault="00E80C9F" w:rsidP="00257BC5">
      <w:pPr>
        <w:tabs>
          <w:tab w:val="left" w:pos="0"/>
        </w:tabs>
        <w:spacing w:after="0" w:line="240" w:lineRule="auto"/>
        <w:jc w:val="both"/>
        <w:rPr>
          <w:rFonts w:eastAsia="Calibri" w:cs="Verdana"/>
          <w:color w:val="000000"/>
          <w:lang w:eastAsia="it-IT"/>
        </w:rPr>
      </w:pPr>
    </w:p>
    <w:p w:rsidR="004241AC" w:rsidRPr="00BA7D67" w:rsidRDefault="004241AC" w:rsidP="00BA7D67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BA7D67">
        <w:rPr>
          <w:rFonts w:eastAsia="Calibri" w:cs="Calibri"/>
          <w:b/>
          <w:bCs/>
          <w:color w:val="000000"/>
          <w:lang w:eastAsia="it-IT"/>
        </w:rPr>
        <w:t xml:space="preserve">3) COME FUNZIONA </w:t>
      </w:r>
      <w:r w:rsidR="00C46FEB">
        <w:rPr>
          <w:rFonts w:eastAsia="Calibri" w:cs="Calibri"/>
          <w:b/>
          <w:bCs/>
          <w:color w:val="000000"/>
          <w:lang w:eastAsia="it-IT"/>
        </w:rPr>
        <w:t>Tobramicina Doc Generici</w:t>
      </w:r>
      <w:r w:rsidRPr="00BA7D67">
        <w:rPr>
          <w:rFonts w:eastAsia="Calibri" w:cs="Calibri"/>
          <w:b/>
          <w:bCs/>
          <w:color w:val="000000"/>
          <w:lang w:eastAsia="it-IT"/>
        </w:rPr>
        <w:t xml:space="preserve">? </w:t>
      </w:r>
    </w:p>
    <w:p w:rsidR="00894CF1" w:rsidRPr="00BA7D67" w:rsidRDefault="00C46FEB" w:rsidP="00894CF1">
      <w:pPr>
        <w:autoSpaceDE w:val="0"/>
        <w:autoSpaceDN w:val="0"/>
        <w:adjustRightInd w:val="0"/>
        <w:spacing w:after="0" w:line="240" w:lineRule="auto"/>
        <w:jc w:val="both"/>
        <w:rPr>
          <w:rFonts w:eastAsia="DejaVuSans" w:cs="DejaVuSans"/>
        </w:rPr>
      </w:pPr>
      <w:r>
        <w:rPr>
          <w:rFonts w:eastAsia="Calibri" w:cs="Calibri"/>
          <w:bCs/>
          <w:color w:val="000000"/>
          <w:lang w:eastAsia="it-IT"/>
        </w:rPr>
        <w:t>Tobramicina Doc Generici</w:t>
      </w:r>
      <w:r w:rsidR="00E43089" w:rsidRPr="00BA7D67">
        <w:rPr>
          <w:rFonts w:eastAsia="DejaVuSans" w:cs="DejaVuSans"/>
        </w:rPr>
        <w:t xml:space="preserve"> </w:t>
      </w:r>
      <w:r w:rsidR="00894CF1" w:rsidRPr="00BA7D67">
        <w:rPr>
          <w:rFonts w:eastAsia="Calibri" w:cs="Calibri"/>
          <w:bCs/>
          <w:color w:val="000000"/>
          <w:lang w:eastAsia="it-IT"/>
        </w:rPr>
        <w:t xml:space="preserve">il </w:t>
      </w:r>
      <w:r w:rsidR="00894CF1">
        <w:rPr>
          <w:rFonts w:eastAsia="Calibri" w:cs="Calibri"/>
          <w:bCs/>
          <w:color w:val="000000"/>
          <w:lang w:eastAsia="it-IT"/>
        </w:rPr>
        <w:t xml:space="preserve">cui </w:t>
      </w:r>
      <w:r w:rsidR="00894CF1" w:rsidRPr="00BA7D67">
        <w:rPr>
          <w:rFonts w:eastAsia="Calibri" w:cs="Calibri"/>
          <w:bCs/>
          <w:color w:val="000000"/>
          <w:lang w:eastAsia="it-IT"/>
        </w:rPr>
        <w:t xml:space="preserve">codice ATC è </w:t>
      </w:r>
      <w:r w:rsidRPr="00C46FEB">
        <w:rPr>
          <w:rFonts w:ascii="Calibri" w:hAnsi="Calibri"/>
          <w:iCs/>
        </w:rPr>
        <w:t>S01AA12</w:t>
      </w:r>
      <w:r w:rsidR="00894CF1">
        <w:rPr>
          <w:rFonts w:ascii="Calibri" w:hAnsi="Calibri"/>
          <w:iCs/>
        </w:rPr>
        <w:t>,</w:t>
      </w:r>
      <w:r w:rsidR="00894CF1" w:rsidRPr="00BA7D67">
        <w:rPr>
          <w:rFonts w:eastAsia="DejaVuSans" w:cs="DejaVuSans"/>
        </w:rPr>
        <w:t xml:space="preserve"> </w:t>
      </w:r>
      <w:r w:rsidR="00894CF1" w:rsidRPr="00BA7D67">
        <w:rPr>
          <w:rFonts w:eastAsia="Calibri" w:cs="Calibri"/>
          <w:color w:val="000000"/>
          <w:lang w:eastAsia="it-IT"/>
        </w:rPr>
        <w:t xml:space="preserve">contiene il principio attivo </w:t>
      </w:r>
      <w:r>
        <w:rPr>
          <w:rFonts w:eastAsia="Calibri" w:cs="Calibri"/>
          <w:color w:val="000000"/>
          <w:lang w:eastAsia="it-IT"/>
        </w:rPr>
        <w:t>tobramicina,</w:t>
      </w:r>
      <w:r w:rsidR="00894CF1">
        <w:rPr>
          <w:rFonts w:eastAsia="Calibri" w:cs="Calibri"/>
          <w:color w:val="000000"/>
          <w:lang w:eastAsia="it-IT"/>
        </w:rPr>
        <w:t xml:space="preserve"> </w:t>
      </w:r>
      <w:r w:rsidRPr="00C46FEB">
        <w:rPr>
          <w:rFonts w:eastAsia="Calibri" w:cs="Calibri"/>
          <w:color w:val="000000"/>
          <w:lang w:eastAsia="it-IT"/>
        </w:rPr>
        <w:t xml:space="preserve">un antibiotico aminoglicosidico a rapida attività battericida </w:t>
      </w:r>
      <w:r w:rsidR="00894CF1">
        <w:rPr>
          <w:rFonts w:eastAsia="Calibri" w:cs="Calibri"/>
          <w:color w:val="000000"/>
          <w:lang w:eastAsia="it-IT"/>
        </w:rPr>
        <w:t xml:space="preserve">che </w:t>
      </w:r>
      <w:r>
        <w:rPr>
          <w:rFonts w:eastAsia="DejaVuSans" w:cs="DejaVuSans"/>
        </w:rPr>
        <w:t xml:space="preserve">inibisce l’assemblaggio e </w:t>
      </w:r>
      <w:r w:rsidRPr="00C46FEB">
        <w:rPr>
          <w:rFonts w:eastAsia="DejaVuSans" w:cs="DejaVuSans"/>
        </w:rPr>
        <w:t>la sintesi dei polipeptidi da parte dei ribosomi</w:t>
      </w:r>
      <w:r>
        <w:rPr>
          <w:rFonts w:eastAsia="DejaVuSans" w:cs="DejaVuSans"/>
        </w:rPr>
        <w:t xml:space="preserve"> delle cellule batteriche</w:t>
      </w:r>
      <w:r w:rsidR="00894CF1" w:rsidRPr="00BA7D67">
        <w:rPr>
          <w:rFonts w:eastAsia="DejaVuSans" w:cs="DejaVuSans"/>
        </w:rPr>
        <w:t>.</w:t>
      </w:r>
    </w:p>
    <w:p w:rsidR="004241AC" w:rsidRDefault="004241AC" w:rsidP="00894CF1">
      <w:pPr>
        <w:autoSpaceDE w:val="0"/>
        <w:autoSpaceDN w:val="0"/>
        <w:adjustRightInd w:val="0"/>
        <w:spacing w:after="0" w:line="240" w:lineRule="auto"/>
        <w:jc w:val="both"/>
        <w:rPr>
          <w:iCs/>
        </w:rPr>
      </w:pPr>
    </w:p>
    <w:p w:rsidR="00417C92" w:rsidRDefault="00417C92" w:rsidP="00BA7D67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4241AC" w:rsidRPr="00BA7D67" w:rsidRDefault="004241AC" w:rsidP="00BA7D67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BA7D67">
        <w:rPr>
          <w:rFonts w:eastAsia="Calibri" w:cs="Calibri"/>
          <w:b/>
          <w:bCs/>
          <w:lang w:eastAsia="it-IT"/>
        </w:rPr>
        <w:t xml:space="preserve">4) COME È STATO STUDIATO </w:t>
      </w:r>
      <w:r w:rsidR="00C46FEB">
        <w:rPr>
          <w:rFonts w:eastAsia="Calibri" w:cs="Calibri"/>
          <w:b/>
          <w:bCs/>
          <w:color w:val="000000"/>
          <w:lang w:eastAsia="it-IT"/>
        </w:rPr>
        <w:t>Tobramicina Doc Generici</w:t>
      </w:r>
      <w:r w:rsidRPr="00BA7D67">
        <w:rPr>
          <w:rFonts w:eastAsia="Calibri" w:cs="Calibri"/>
          <w:b/>
          <w:bCs/>
          <w:lang w:eastAsia="it-IT"/>
        </w:rPr>
        <w:t xml:space="preserve">? </w:t>
      </w:r>
    </w:p>
    <w:p w:rsidR="0023693E" w:rsidRDefault="0023693E" w:rsidP="0023693E">
      <w:pPr>
        <w:spacing w:after="0" w:line="240" w:lineRule="auto"/>
        <w:jc w:val="both"/>
        <w:rPr>
          <w:rFonts w:cs="Arial"/>
        </w:rPr>
      </w:pPr>
      <w:r w:rsidRPr="0023693E">
        <w:rPr>
          <w:rFonts w:cs="Arial"/>
        </w:rPr>
        <w:t xml:space="preserve">Poiché </w:t>
      </w:r>
      <w:r w:rsidR="00C46FEB">
        <w:rPr>
          <w:rFonts w:cs="Arial"/>
        </w:rPr>
        <w:t>Tobramicina Doc Generici</w:t>
      </w:r>
      <w:r w:rsidRPr="0023693E">
        <w:rPr>
          <w:rFonts w:cs="Arial"/>
        </w:rPr>
        <w:t xml:space="preserve"> è un medicinale generico ed è somministrato come </w:t>
      </w:r>
      <w:r w:rsidR="005D152C">
        <w:rPr>
          <w:rFonts w:cs="Arial"/>
        </w:rPr>
        <w:t>collirio</w:t>
      </w:r>
      <w:r w:rsidR="00DE4E62">
        <w:rPr>
          <w:rFonts w:cs="Arial"/>
        </w:rPr>
        <w:t xml:space="preserve"> </w:t>
      </w:r>
      <w:r w:rsidR="00E3743F">
        <w:rPr>
          <w:rFonts w:cs="Arial"/>
        </w:rPr>
        <w:t>(</w:t>
      </w:r>
      <w:r w:rsidRPr="0023693E">
        <w:rPr>
          <w:rFonts w:cs="Arial"/>
        </w:rPr>
        <w:t>soluzione</w:t>
      </w:r>
      <w:r w:rsidR="00E3743F">
        <w:rPr>
          <w:rFonts w:cs="Arial"/>
        </w:rPr>
        <w:t xml:space="preserve"> oftalmica)</w:t>
      </w:r>
      <w:r w:rsidRPr="0023693E">
        <w:rPr>
          <w:rFonts w:cs="Arial"/>
        </w:rPr>
        <w:t xml:space="preserve"> </w:t>
      </w:r>
      <w:r w:rsidR="005D152C">
        <w:rPr>
          <w:rFonts w:cs="Arial"/>
        </w:rPr>
        <w:t>con</w:t>
      </w:r>
      <w:r w:rsidRPr="00B21EAE">
        <w:rPr>
          <w:rFonts w:cs="Arial"/>
        </w:rPr>
        <w:t xml:space="preserve"> stessa composizione del medicinale di rifer</w:t>
      </w:r>
      <w:r w:rsidR="005D152C">
        <w:rPr>
          <w:rFonts w:cs="Arial"/>
        </w:rPr>
        <w:t>i</w:t>
      </w:r>
      <w:r w:rsidRPr="00B21EAE">
        <w:rPr>
          <w:rFonts w:cs="Arial"/>
        </w:rPr>
        <w:t>mento, non è stato necessario effettuare ulteriori studi clinici.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257BC5" w:rsidRPr="002A3F14" w:rsidRDefault="00257BC5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b/>
          <w:bCs/>
          <w:lang w:eastAsia="it-IT"/>
        </w:rPr>
        <w:t xml:space="preserve">5) QUAL È IL RAPPORTO BENEFICIO/RISCHIO di </w:t>
      </w:r>
      <w:r w:rsidR="00C46FEB">
        <w:rPr>
          <w:rFonts w:eastAsia="Calibri" w:cs="Calibri"/>
          <w:b/>
          <w:bCs/>
          <w:color w:val="000000"/>
          <w:lang w:eastAsia="it-IT"/>
        </w:rPr>
        <w:t>Tobramicina Doc Generici</w:t>
      </w:r>
      <w:r w:rsidRPr="009B03DB">
        <w:rPr>
          <w:rFonts w:eastAsia="Calibri" w:cs="Calibri"/>
          <w:b/>
          <w:lang w:eastAsia="it-IT"/>
        </w:rPr>
        <w:t>?</w:t>
      </w:r>
      <w:r w:rsidRPr="002A3F14">
        <w:rPr>
          <w:rFonts w:eastAsia="Calibri" w:cs="Calibri"/>
          <w:lang w:eastAsia="it-IT"/>
        </w:rPr>
        <w:t xml:space="preserve"> </w:t>
      </w:r>
    </w:p>
    <w:p w:rsidR="004241AC" w:rsidRPr="002A3F14" w:rsidRDefault="00C46FEB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>
        <w:rPr>
          <w:rFonts w:eastAsia="Calibri" w:cs="Calibri"/>
          <w:bCs/>
          <w:color w:val="000000"/>
          <w:lang w:eastAsia="it-IT"/>
        </w:rPr>
        <w:t>Tobramicina Doc Generici</w:t>
      </w:r>
      <w:r w:rsidR="009B03DB">
        <w:rPr>
          <w:rFonts w:eastAsia="Calibri" w:cs="Calibri"/>
          <w:bCs/>
          <w:color w:val="000000"/>
          <w:lang w:eastAsia="it-IT"/>
        </w:rPr>
        <w:t xml:space="preserve"> </w:t>
      </w:r>
      <w:r w:rsidR="004241AC" w:rsidRPr="004241AC">
        <w:rPr>
          <w:rFonts w:eastAsia="Calibri" w:cs="Calibri"/>
          <w:lang w:eastAsia="it-IT"/>
        </w:rPr>
        <w:t xml:space="preserve">è un medicinale </w:t>
      </w:r>
      <w:r w:rsidR="00013020">
        <w:rPr>
          <w:rFonts w:eastAsia="Calibri" w:cs="Calibri"/>
          <w:lang w:eastAsia="it-IT"/>
        </w:rPr>
        <w:t>generico ed è bioequivale</w:t>
      </w:r>
      <w:r w:rsidR="009B03DB">
        <w:rPr>
          <w:rFonts w:eastAsia="Calibri" w:cs="Calibri"/>
          <w:lang w:eastAsia="it-IT"/>
        </w:rPr>
        <w:t>n</w:t>
      </w:r>
      <w:r w:rsidR="00013020">
        <w:rPr>
          <w:rFonts w:eastAsia="Calibri" w:cs="Calibri"/>
          <w:lang w:eastAsia="it-IT"/>
        </w:rPr>
        <w:t>te al medicinale di riferimento</w:t>
      </w:r>
      <w:r w:rsidR="00BA7D67">
        <w:rPr>
          <w:rFonts w:eastAsia="Calibri" w:cs="Calibri"/>
          <w:lang w:eastAsia="it-IT"/>
        </w:rPr>
        <w:t>; pertanto,</w:t>
      </w:r>
      <w:r w:rsidR="00BA7D67" w:rsidRPr="002A3F14">
        <w:rPr>
          <w:rFonts w:eastAsia="Calibri" w:cs="Calibri"/>
          <w:lang w:eastAsia="it-IT"/>
        </w:rPr>
        <w:t xml:space="preserve"> </w:t>
      </w:r>
      <w:r w:rsidR="00013020">
        <w:rPr>
          <w:rFonts w:eastAsia="Calibri" w:cs="Calibri"/>
          <w:lang w:eastAsia="it-IT"/>
        </w:rPr>
        <w:t>i suoi</w:t>
      </w:r>
      <w:r w:rsidR="004241AC" w:rsidRPr="002A3F14">
        <w:rPr>
          <w:rFonts w:eastAsia="Calibri" w:cs="Calibri"/>
          <w:lang w:eastAsia="it-IT"/>
        </w:rPr>
        <w:t xml:space="preserve"> benefici e rischi sono sovrapponibili a quelli de</w:t>
      </w:r>
      <w:r w:rsidR="00013020">
        <w:rPr>
          <w:rFonts w:eastAsia="Calibri" w:cs="Calibri"/>
          <w:lang w:eastAsia="it-IT"/>
        </w:rPr>
        <w:t>l</w:t>
      </w:r>
      <w:r w:rsidR="004241AC" w:rsidRPr="002A3F14">
        <w:rPr>
          <w:rFonts w:eastAsia="Calibri" w:cs="Calibri"/>
          <w:lang w:eastAsia="it-IT"/>
        </w:rPr>
        <w:t xml:space="preserve"> </w:t>
      </w:r>
      <w:r w:rsidR="004241AC">
        <w:rPr>
          <w:rFonts w:eastAsia="Calibri" w:cs="Calibri"/>
          <w:lang w:eastAsia="it-IT"/>
        </w:rPr>
        <w:t>medicinal</w:t>
      </w:r>
      <w:r w:rsidR="00013020">
        <w:rPr>
          <w:rFonts w:eastAsia="Calibri" w:cs="Calibri"/>
          <w:lang w:eastAsia="it-IT"/>
        </w:rPr>
        <w:t>e</w:t>
      </w:r>
      <w:r w:rsidR="004241AC" w:rsidRPr="002A3F14">
        <w:rPr>
          <w:rFonts w:eastAsia="Calibri" w:cs="Calibri"/>
          <w:lang w:eastAsia="it-IT"/>
        </w:rPr>
        <w:t xml:space="preserve"> di riferimento. 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CA3A1E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CA3A1E">
        <w:rPr>
          <w:rFonts w:eastAsia="Calibri" w:cs="Calibri"/>
          <w:b/>
          <w:bCs/>
          <w:lang w:eastAsia="it-IT"/>
        </w:rPr>
        <w:t xml:space="preserve">6) PERCHE’ </w:t>
      </w:r>
      <w:r w:rsidR="00C46FEB">
        <w:rPr>
          <w:rFonts w:eastAsia="Calibri" w:cs="Calibri"/>
          <w:b/>
          <w:bCs/>
          <w:color w:val="000000"/>
          <w:lang w:eastAsia="it-IT"/>
        </w:rPr>
        <w:t>Tobramicina Doc Generici</w:t>
      </w:r>
      <w:r w:rsidR="009B03DB">
        <w:rPr>
          <w:rFonts w:eastAsia="Calibri" w:cs="Calibri"/>
          <w:b/>
          <w:bCs/>
          <w:color w:val="000000"/>
          <w:lang w:eastAsia="it-IT"/>
        </w:rPr>
        <w:t xml:space="preserve"> </w:t>
      </w:r>
      <w:r w:rsidRPr="00CA3A1E">
        <w:rPr>
          <w:rFonts w:eastAsia="Calibri" w:cs="Calibri"/>
          <w:b/>
          <w:bCs/>
          <w:lang w:eastAsia="it-IT"/>
        </w:rPr>
        <w:t xml:space="preserve">E’ STATO APPROVATO? 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3693E">
        <w:rPr>
          <w:rFonts w:eastAsia="Calibri" w:cs="Calibri"/>
          <w:lang w:eastAsia="it-IT"/>
        </w:rPr>
        <w:t xml:space="preserve">La Commissione Tecnico Scientifica (CTS), nella seduta del </w:t>
      </w:r>
      <w:r w:rsidR="004C761F" w:rsidRPr="004C761F">
        <w:rPr>
          <w:rFonts w:eastAsia="Calibri" w:cs="Calibri"/>
          <w:lang w:eastAsia="it-IT"/>
        </w:rPr>
        <w:t>16-17-18</w:t>
      </w:r>
      <w:r w:rsidR="0023693E" w:rsidRPr="004C761F">
        <w:rPr>
          <w:rFonts w:eastAsia="Calibri" w:cs="Calibri"/>
          <w:lang w:eastAsia="it-IT"/>
        </w:rPr>
        <w:t xml:space="preserve"> </w:t>
      </w:r>
      <w:r w:rsidR="004C761F" w:rsidRPr="004C761F">
        <w:rPr>
          <w:rFonts w:eastAsia="Calibri" w:cs="Calibri"/>
          <w:lang w:eastAsia="it-IT"/>
        </w:rPr>
        <w:t>febbraio</w:t>
      </w:r>
      <w:r w:rsidRPr="004C761F">
        <w:rPr>
          <w:rFonts w:eastAsia="Calibri" w:cs="Calibri"/>
          <w:lang w:eastAsia="it-IT"/>
        </w:rPr>
        <w:t xml:space="preserve"> 201</w:t>
      </w:r>
      <w:r w:rsidR="004C761F" w:rsidRPr="004C761F">
        <w:rPr>
          <w:rFonts w:eastAsia="Calibri" w:cs="Calibri"/>
          <w:lang w:eastAsia="it-IT"/>
        </w:rPr>
        <w:t>5</w:t>
      </w:r>
      <w:r w:rsidRPr="0023693E">
        <w:rPr>
          <w:rFonts w:eastAsia="Calibri" w:cs="Calibri"/>
          <w:lang w:eastAsia="it-IT"/>
        </w:rPr>
        <w:t>, ha concluso che,</w:t>
      </w:r>
      <w:r>
        <w:rPr>
          <w:rFonts w:eastAsia="Calibri" w:cs="Calibri"/>
          <w:lang w:eastAsia="it-IT"/>
        </w:rPr>
        <w:t xml:space="preserve"> conformemente ai requisiti della normativa vigente, come nel caso </w:t>
      </w:r>
      <w:r w:rsidR="00D20170">
        <w:rPr>
          <w:rFonts w:eastAsia="Calibri" w:cs="Calibri"/>
          <w:lang w:eastAsia="it-IT"/>
        </w:rPr>
        <w:t>del</w:t>
      </w:r>
      <w:r>
        <w:rPr>
          <w:rFonts w:eastAsia="Calibri" w:cs="Calibri"/>
          <w:lang w:eastAsia="it-IT"/>
        </w:rPr>
        <w:t xml:space="preserve"> medicinal</w:t>
      </w:r>
      <w:r w:rsidR="00D20170">
        <w:rPr>
          <w:rFonts w:eastAsia="Calibri" w:cs="Calibri"/>
          <w:lang w:eastAsia="it-IT"/>
        </w:rPr>
        <w:t>e</w:t>
      </w:r>
      <w:r>
        <w:rPr>
          <w:rFonts w:eastAsia="Calibri" w:cs="Calibri"/>
          <w:lang w:eastAsia="it-IT"/>
        </w:rPr>
        <w:t xml:space="preserve"> di riferimento </w:t>
      </w:r>
      <w:r w:rsidR="00C46FEB">
        <w:rPr>
          <w:rFonts w:eastAsia="Calibri" w:cs="Calibri"/>
          <w:lang w:eastAsia="it-IT"/>
        </w:rPr>
        <w:t>Tobral</w:t>
      </w:r>
      <w:r w:rsidR="00BD3508">
        <w:rPr>
          <w:rFonts w:eastAsia="Calibri" w:cs="Calibri"/>
          <w:lang w:eastAsia="it-IT"/>
        </w:rPr>
        <w:t>,</w:t>
      </w:r>
      <w:r>
        <w:rPr>
          <w:rFonts w:eastAsia="Calibri" w:cs="Calibri"/>
          <w:lang w:eastAsia="it-IT"/>
        </w:rPr>
        <w:t xml:space="preserve"> i benefici di </w:t>
      </w:r>
      <w:r w:rsidR="00C46FEB">
        <w:rPr>
          <w:rFonts w:eastAsia="Calibri" w:cs="Calibri"/>
          <w:lang w:eastAsia="it-IT"/>
        </w:rPr>
        <w:t>Tobramicina D</w:t>
      </w:r>
      <w:r w:rsidR="004C761F">
        <w:rPr>
          <w:rFonts w:eastAsia="Calibri" w:cs="Calibri"/>
          <w:lang w:eastAsia="it-IT"/>
        </w:rPr>
        <w:t>o</w:t>
      </w:r>
      <w:r w:rsidR="00C46FEB">
        <w:rPr>
          <w:rFonts w:eastAsia="Calibri" w:cs="Calibri"/>
          <w:lang w:eastAsia="it-IT"/>
        </w:rPr>
        <w:t>c Generici</w:t>
      </w:r>
      <w:r w:rsidR="009B03DB">
        <w:rPr>
          <w:rFonts w:eastAsia="Calibri" w:cs="Calibri"/>
          <w:lang w:eastAsia="it-IT"/>
        </w:rPr>
        <w:t xml:space="preserve"> </w:t>
      </w:r>
      <w:r w:rsidR="006737C1">
        <w:rPr>
          <w:rFonts w:eastAsia="Calibri" w:cs="Calibri"/>
          <w:lang w:eastAsia="it-IT"/>
        </w:rPr>
        <w:t>sono</w:t>
      </w:r>
      <w:r>
        <w:rPr>
          <w:rFonts w:eastAsia="Calibri" w:cs="Calibri"/>
          <w:lang w:eastAsia="it-IT"/>
        </w:rPr>
        <w:t xml:space="preserve"> superiori ai rischi individuati. La CTS </w:t>
      </w:r>
      <w:r w:rsidRPr="002A3F14">
        <w:rPr>
          <w:rFonts w:eastAsia="Calibri" w:cs="Calibri"/>
          <w:lang w:eastAsia="it-IT"/>
        </w:rPr>
        <w:t>ha</w:t>
      </w:r>
      <w:r>
        <w:rPr>
          <w:rFonts w:eastAsia="Calibri" w:cs="Calibri"/>
          <w:lang w:eastAsia="it-IT"/>
        </w:rPr>
        <w:t>, inoltre,</w:t>
      </w:r>
      <w:r w:rsidRPr="002A3F14">
        <w:rPr>
          <w:rFonts w:eastAsia="Calibri" w:cs="Calibri"/>
          <w:lang w:eastAsia="it-IT"/>
        </w:rPr>
        <w:t xml:space="preserve"> </w:t>
      </w:r>
      <w:r>
        <w:rPr>
          <w:rFonts w:eastAsia="Calibri" w:cs="Calibri"/>
          <w:lang w:eastAsia="it-IT"/>
        </w:rPr>
        <w:t>definito</w:t>
      </w:r>
      <w:r w:rsidRPr="002A3F14">
        <w:rPr>
          <w:rFonts w:eastAsia="Calibri" w:cs="Calibri"/>
          <w:lang w:eastAsia="it-IT"/>
        </w:rPr>
        <w:t xml:space="preserve"> le modalità </w:t>
      </w:r>
      <w:r w:rsidRPr="0011250C">
        <w:rPr>
          <w:rFonts w:eastAsia="Calibri" w:cs="Calibri"/>
          <w:lang w:eastAsia="it-IT"/>
        </w:rPr>
        <w:t>d</w:t>
      </w:r>
      <w:r w:rsidR="00257BC5">
        <w:rPr>
          <w:rFonts w:eastAsia="Calibri" w:cs="Calibri"/>
          <w:lang w:eastAsia="it-IT"/>
        </w:rPr>
        <w:t xml:space="preserve">i prescrizione di cui al punto </w:t>
      </w:r>
      <w:r w:rsidRPr="0011250C">
        <w:rPr>
          <w:rFonts w:eastAsia="Calibri" w:cs="Calibri"/>
          <w:lang w:eastAsia="it-IT"/>
        </w:rPr>
        <w:t>2) di questo Riassunto e la classe di rimborsabilità del medicinale</w:t>
      </w:r>
      <w:r w:rsidR="00D20170" w:rsidRPr="0011250C">
        <w:rPr>
          <w:rFonts w:eastAsia="Calibri" w:cs="Calibri"/>
          <w:lang w:eastAsia="it-IT"/>
        </w:rPr>
        <w:t xml:space="preserve"> </w:t>
      </w:r>
      <w:r w:rsidRPr="0011250C">
        <w:rPr>
          <w:rFonts w:eastAsia="Calibri" w:cs="Calibri"/>
          <w:lang w:eastAsia="it-IT"/>
        </w:rPr>
        <w:t>(</w:t>
      </w:r>
      <w:r w:rsidR="00BD3508">
        <w:rPr>
          <w:rFonts w:eastAsia="Calibri" w:cs="Calibri"/>
          <w:lang w:eastAsia="it-IT"/>
        </w:rPr>
        <w:t>C</w:t>
      </w:r>
      <w:r w:rsidR="00A327C0">
        <w:rPr>
          <w:rFonts w:eastAsia="Calibri" w:cs="Calibri"/>
          <w:lang w:eastAsia="it-IT"/>
        </w:rPr>
        <w:t>nn</w:t>
      </w:r>
      <w:r w:rsidRPr="0011250C">
        <w:rPr>
          <w:rFonts w:eastAsia="Calibri" w:cs="Calibri"/>
          <w:lang w:eastAsia="it-IT"/>
        </w:rPr>
        <w:t>).</w:t>
      </w:r>
      <w:r w:rsidRPr="002A3F14">
        <w:rPr>
          <w:rFonts w:eastAsia="Calibri" w:cs="Calibri"/>
          <w:lang w:eastAsia="it-IT"/>
        </w:rPr>
        <w:t xml:space="preserve"> 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b/>
          <w:bCs/>
          <w:lang w:eastAsia="it-IT"/>
        </w:rPr>
        <w:t xml:space="preserve">7) QUALI MISURE SONO STATE PRESE PER ASSICURARE LA SICUREZZA E L’EFFICACIA NELL’USO DI </w:t>
      </w:r>
      <w:r w:rsidR="00C46FEB">
        <w:rPr>
          <w:rFonts w:eastAsia="Calibri" w:cs="Calibri"/>
          <w:b/>
          <w:bCs/>
          <w:color w:val="000000"/>
          <w:lang w:eastAsia="it-IT"/>
        </w:rPr>
        <w:t>Tobramicina Doc Generici</w:t>
      </w:r>
      <w:r w:rsidRPr="002A3F14">
        <w:rPr>
          <w:rFonts w:eastAsia="Calibri" w:cs="Calibri"/>
          <w:b/>
          <w:bCs/>
          <w:color w:val="000000"/>
          <w:lang w:eastAsia="it-IT"/>
        </w:rPr>
        <w:t>?</w:t>
      </w:r>
    </w:p>
    <w:p w:rsidR="004241AC" w:rsidRPr="002A3F14" w:rsidRDefault="003F270A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 xml:space="preserve">Il </w:t>
      </w:r>
      <w:r>
        <w:rPr>
          <w:rFonts w:eastAsia="Calibri" w:cs="Calibri"/>
          <w:lang w:eastAsia="it-IT"/>
        </w:rPr>
        <w:t>titolare</w:t>
      </w:r>
      <w:r w:rsidRPr="002A3F14">
        <w:rPr>
          <w:rFonts w:eastAsia="Calibri" w:cs="Calibri"/>
          <w:lang w:eastAsia="it-IT"/>
        </w:rPr>
        <w:t xml:space="preserve"> </w:t>
      </w:r>
      <w:r w:rsidR="004241AC" w:rsidRPr="002A3F14">
        <w:rPr>
          <w:rFonts w:eastAsia="Calibri" w:cs="Calibri"/>
          <w:lang w:eastAsia="it-IT"/>
        </w:rPr>
        <w:t>dell’autorizzazione all’immissione in commercio (AIC) ha presentato u</w:t>
      </w:r>
      <w:r w:rsidR="004241AC">
        <w:rPr>
          <w:rFonts w:eastAsia="Calibri" w:cs="Calibri"/>
          <w:lang w:eastAsia="it-IT"/>
        </w:rPr>
        <w:t>n Piano di Gestione del Rischio</w:t>
      </w:r>
      <w:r w:rsidR="004241AC" w:rsidRPr="002A3F14">
        <w:rPr>
          <w:rFonts w:eastAsia="Calibri" w:cs="Calibri"/>
          <w:lang w:eastAsia="it-IT"/>
        </w:rPr>
        <w:t xml:space="preserve">, in accordo con quanto richiesto dalla Direttiva 2001/83/CE e successivi emendamenti, descrivendo le attività di Farmacovigilanza e gli interventi finalizzati ad identificare, caratterizzare, prevenire o minimizzare i rischi correlati a </w:t>
      </w:r>
      <w:r w:rsidR="00C46FEB">
        <w:rPr>
          <w:rFonts w:eastAsia="Calibri" w:cs="Calibri"/>
          <w:lang w:eastAsia="it-IT"/>
        </w:rPr>
        <w:t>Tobramicina Doc Generici</w:t>
      </w:r>
      <w:r w:rsidR="004241AC" w:rsidRPr="002A3F14">
        <w:rPr>
          <w:rFonts w:eastAsia="Calibri" w:cs="Calibri"/>
          <w:lang w:eastAsia="it-IT"/>
        </w:rPr>
        <w:t>.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b/>
          <w:bCs/>
          <w:lang w:eastAsia="it-IT"/>
        </w:rPr>
        <w:t xml:space="preserve">8) ALTRE INFORMAZIONI RELATIVE A </w:t>
      </w:r>
      <w:r w:rsidR="00C46FEB">
        <w:rPr>
          <w:rFonts w:eastAsia="Calibri" w:cs="Calibri"/>
          <w:b/>
          <w:bCs/>
          <w:color w:val="000000"/>
          <w:lang w:eastAsia="it-IT"/>
        </w:rPr>
        <w:t>Tobramicina Doc Generici</w:t>
      </w:r>
    </w:p>
    <w:p w:rsidR="004241AC" w:rsidRPr="00CA3A1E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lang w:eastAsia="it-IT"/>
        </w:rPr>
      </w:pPr>
      <w:r w:rsidRPr="0023693E">
        <w:rPr>
          <w:rFonts w:eastAsia="Calibri" w:cs="Calibri"/>
          <w:bCs/>
          <w:iCs/>
          <w:lang w:eastAsia="it-IT"/>
        </w:rPr>
        <w:t xml:space="preserve">Il </w:t>
      </w:r>
      <w:r w:rsidR="00955CB5" w:rsidRPr="00955CB5">
        <w:rPr>
          <w:rFonts w:eastAsia="Calibri" w:cs="Calibri"/>
          <w:bCs/>
          <w:iCs/>
          <w:lang w:eastAsia="it-IT"/>
        </w:rPr>
        <w:t>16</w:t>
      </w:r>
      <w:r w:rsidR="00B97317" w:rsidRPr="00955CB5">
        <w:rPr>
          <w:rFonts w:eastAsia="Calibri" w:cs="Calibri"/>
          <w:bCs/>
          <w:iCs/>
          <w:lang w:eastAsia="it-IT"/>
        </w:rPr>
        <w:t xml:space="preserve"> </w:t>
      </w:r>
      <w:r w:rsidR="00955CB5" w:rsidRPr="00955CB5">
        <w:rPr>
          <w:rFonts w:eastAsia="Calibri" w:cs="Calibri"/>
          <w:bCs/>
          <w:iCs/>
          <w:lang w:eastAsia="it-IT"/>
        </w:rPr>
        <w:t>luglio</w:t>
      </w:r>
      <w:r w:rsidR="00B97317" w:rsidRPr="00955CB5">
        <w:rPr>
          <w:rFonts w:eastAsia="Calibri" w:cs="Calibri"/>
          <w:bCs/>
          <w:iCs/>
          <w:lang w:eastAsia="it-IT"/>
        </w:rPr>
        <w:t xml:space="preserve"> 201</w:t>
      </w:r>
      <w:r w:rsidR="00955CB5" w:rsidRPr="00955CB5">
        <w:rPr>
          <w:rFonts w:eastAsia="Calibri" w:cs="Calibri"/>
          <w:bCs/>
          <w:iCs/>
          <w:lang w:eastAsia="it-IT"/>
        </w:rPr>
        <w:t>5</w:t>
      </w:r>
      <w:r w:rsidRPr="0023693E">
        <w:rPr>
          <w:rFonts w:eastAsia="Calibri" w:cs="Calibri"/>
          <w:bCs/>
          <w:iCs/>
          <w:lang w:eastAsia="it-IT"/>
        </w:rPr>
        <w:t xml:space="preserve"> l’AIFA ha rilasciato l’autorizzazione all’immissione in commercio di </w:t>
      </w:r>
      <w:r w:rsidR="00C46FEB">
        <w:rPr>
          <w:rFonts w:eastAsia="Calibri" w:cs="Calibri"/>
          <w:bCs/>
          <w:color w:val="000000"/>
          <w:lang w:eastAsia="it-IT"/>
        </w:rPr>
        <w:t>Tobramicina Doc Generici</w:t>
      </w:r>
      <w:r w:rsidRPr="00CA3A1E">
        <w:rPr>
          <w:rFonts w:eastAsia="Calibri" w:cs="Calibri"/>
          <w:bCs/>
          <w:lang w:eastAsia="it-IT"/>
        </w:rPr>
        <w:t xml:space="preserve">. </w:t>
      </w:r>
    </w:p>
    <w:p w:rsidR="00417C92" w:rsidRDefault="00417C92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17C92" w:rsidRDefault="00417C92" w:rsidP="00417C92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>
        <w:rPr>
          <w:rFonts w:eastAsia="Calibri" w:cs="Calibri"/>
          <w:lang w:eastAsia="it-IT"/>
        </w:rPr>
        <w:t xml:space="preserve">La Relazione Pubblica di Valutazione completa segue questo Riassunto. </w:t>
      </w: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 xml:space="preserve">Per maggiori informazioni riguardo il trattamento </w:t>
      </w:r>
      <w:r w:rsidRPr="00CA3A1E">
        <w:rPr>
          <w:rFonts w:eastAsia="Calibri" w:cs="Calibri"/>
          <w:lang w:eastAsia="it-IT"/>
        </w:rPr>
        <w:t xml:space="preserve">con </w:t>
      </w:r>
      <w:r w:rsidR="00C46FEB">
        <w:rPr>
          <w:rFonts w:eastAsia="Calibri" w:cs="Calibri"/>
          <w:bCs/>
          <w:color w:val="000000"/>
          <w:lang w:eastAsia="it-IT"/>
        </w:rPr>
        <w:t>Tobramicina Doc Generici</w:t>
      </w:r>
      <w:r>
        <w:rPr>
          <w:rFonts w:eastAsia="Calibri" w:cs="Calibri"/>
          <w:bCs/>
          <w:color w:val="000000"/>
          <w:lang w:eastAsia="it-IT"/>
        </w:rPr>
        <w:t xml:space="preserve"> </w:t>
      </w:r>
      <w:r w:rsidRPr="00CA3A1E">
        <w:rPr>
          <w:rFonts w:eastAsia="Calibri" w:cs="Calibri"/>
          <w:lang w:eastAsia="it-IT"/>
        </w:rPr>
        <w:t>si</w:t>
      </w:r>
      <w:r w:rsidRPr="002A3F14">
        <w:rPr>
          <w:rFonts w:eastAsia="Calibri" w:cs="Calibri"/>
          <w:lang w:eastAsia="it-IT"/>
        </w:rPr>
        <w:t xml:space="preserve"> può leggere il </w:t>
      </w:r>
      <w:r>
        <w:rPr>
          <w:rFonts w:eastAsia="Calibri" w:cs="Calibri"/>
          <w:lang w:eastAsia="it-IT"/>
        </w:rPr>
        <w:t>f</w:t>
      </w:r>
      <w:r w:rsidRPr="002A3F14">
        <w:rPr>
          <w:rFonts w:eastAsia="Calibri" w:cs="Calibri"/>
          <w:lang w:eastAsia="it-IT"/>
        </w:rPr>
        <w:t xml:space="preserve">oglio </w:t>
      </w:r>
      <w:r>
        <w:rPr>
          <w:rFonts w:eastAsia="Calibri" w:cs="Calibri"/>
          <w:lang w:eastAsia="it-IT"/>
        </w:rPr>
        <w:t>i</w:t>
      </w:r>
      <w:r w:rsidRPr="002A3F14">
        <w:rPr>
          <w:rFonts w:eastAsia="Calibri" w:cs="Calibri"/>
          <w:lang w:eastAsia="it-IT"/>
        </w:rPr>
        <w:t>llustrativo</w:t>
      </w:r>
      <w:r w:rsidR="00D20170">
        <w:rPr>
          <w:rFonts w:eastAsia="Calibri" w:cs="Calibri"/>
          <w:lang w:eastAsia="it-IT"/>
        </w:rPr>
        <w:t xml:space="preserve"> </w:t>
      </w:r>
      <w:r w:rsidR="00F33944">
        <w:rPr>
          <w:rFonts w:eastAsia="Calibri" w:cs="Calibri"/>
          <w:lang w:eastAsia="it-IT"/>
        </w:rPr>
        <w:t>(</w:t>
      </w:r>
      <w:hyperlink r:id="rId6" w:history="1">
        <w:r w:rsidR="00F33944"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 w:rsidR="00F33944">
        <w:rPr>
          <w:rFonts w:eastAsia="Calibri" w:cs="Calibri"/>
          <w:lang w:eastAsia="it-IT"/>
        </w:rPr>
        <w:t>)</w:t>
      </w:r>
      <w:r w:rsidR="00F33944" w:rsidRPr="002A3F14">
        <w:rPr>
          <w:rFonts w:eastAsia="Calibri" w:cs="Calibri"/>
          <w:lang w:eastAsia="it-IT"/>
        </w:rPr>
        <w:t xml:space="preserve"> </w:t>
      </w:r>
      <w:r w:rsidRPr="002A3F14">
        <w:rPr>
          <w:rFonts w:eastAsia="Calibri" w:cs="Calibri"/>
          <w:lang w:eastAsia="it-IT"/>
        </w:rPr>
        <w:t xml:space="preserve">o contattare il medico o </w:t>
      </w:r>
      <w:r w:rsidR="009B03DB">
        <w:rPr>
          <w:rFonts w:eastAsia="Calibri" w:cs="Calibri"/>
          <w:lang w:eastAsia="it-IT"/>
        </w:rPr>
        <w:t xml:space="preserve">il </w:t>
      </w:r>
      <w:r w:rsidRPr="002A3F14">
        <w:rPr>
          <w:rFonts w:eastAsia="Calibri" w:cs="Calibri"/>
          <w:lang w:eastAsia="it-IT"/>
        </w:rPr>
        <w:t xml:space="preserve">farmacista. </w:t>
      </w:r>
    </w:p>
    <w:p w:rsidR="004241AC" w:rsidRDefault="004241AC" w:rsidP="004241AC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Default="004241AC" w:rsidP="004241AC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4241AC">
      <w:pPr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 xml:space="preserve">Questo riassunto è stato redatto in data </w:t>
      </w:r>
      <w:r w:rsidR="00E80C9F">
        <w:rPr>
          <w:rFonts w:eastAsia="Calibri" w:cs="Calibri"/>
          <w:lang w:eastAsia="it-IT"/>
        </w:rPr>
        <w:t>04.09</w:t>
      </w:r>
      <w:r w:rsidR="00910137" w:rsidRPr="00955CB5">
        <w:rPr>
          <w:rFonts w:eastAsia="Calibri" w:cs="Calibri"/>
          <w:lang w:eastAsia="it-IT"/>
        </w:rPr>
        <w:t>.2015</w:t>
      </w:r>
      <w:r w:rsidRPr="00955CB5">
        <w:rPr>
          <w:rFonts w:eastAsia="Calibri" w:cs="Calibri"/>
          <w:lang w:eastAsia="it-IT"/>
        </w:rPr>
        <w:t>.</w:t>
      </w:r>
      <w:r w:rsidRPr="002A3F14">
        <w:rPr>
          <w:rFonts w:eastAsia="Calibri" w:cs="Calibri"/>
          <w:lang w:eastAsia="it-IT"/>
        </w:rPr>
        <w:t xml:space="preserve"> </w:t>
      </w:r>
    </w:p>
    <w:p w:rsidR="004241AC" w:rsidRDefault="004241AC" w:rsidP="004241AC">
      <w:pPr>
        <w:spacing w:after="0" w:line="240" w:lineRule="auto"/>
        <w:jc w:val="both"/>
      </w:pPr>
    </w:p>
    <w:p w:rsidR="004241AC" w:rsidRPr="002A3F14" w:rsidRDefault="004241AC" w:rsidP="004241AC">
      <w:pPr>
        <w:spacing w:after="0" w:line="240" w:lineRule="auto"/>
        <w:jc w:val="both"/>
      </w:pPr>
    </w:p>
    <w:p w:rsidR="009A260F" w:rsidRDefault="009A260F"/>
    <w:p w:rsidR="00417C92" w:rsidRDefault="00417C92"/>
    <w:p w:rsidR="00417C92" w:rsidRDefault="00417C92"/>
    <w:p w:rsidR="00580D86" w:rsidRDefault="00580D86"/>
    <w:p w:rsidR="00580D86" w:rsidRDefault="00580D86"/>
    <w:p w:rsidR="00580D86" w:rsidRDefault="00580D86"/>
    <w:p w:rsidR="00417C92" w:rsidRDefault="00417C92"/>
    <w:p w:rsidR="00417C92" w:rsidRDefault="00417C92"/>
    <w:p w:rsidR="00417C92" w:rsidRDefault="00417C92" w:rsidP="00417C92">
      <w:pPr>
        <w:spacing w:after="0" w:line="240" w:lineRule="auto"/>
        <w:jc w:val="center"/>
        <w:rPr>
          <w:b/>
          <w:sz w:val="28"/>
        </w:rPr>
      </w:pPr>
      <w:r>
        <w:rPr>
          <w:b/>
          <w:sz w:val="28"/>
        </w:rPr>
        <w:t>RELAZIONE PUBBLICA DI VALUTAZIONE</w:t>
      </w:r>
    </w:p>
    <w:p w:rsidR="00417C92" w:rsidRDefault="00417C92" w:rsidP="00417C92">
      <w:pPr>
        <w:spacing w:after="0" w:line="240" w:lineRule="auto"/>
        <w:jc w:val="center"/>
        <w:rPr>
          <w:b/>
        </w:rPr>
      </w:pPr>
    </w:p>
    <w:p w:rsidR="00417C92" w:rsidRDefault="00417C92" w:rsidP="00417C92">
      <w:pPr>
        <w:spacing w:after="0" w:line="240" w:lineRule="auto"/>
        <w:jc w:val="center"/>
        <w:rPr>
          <w:b/>
        </w:rPr>
      </w:pPr>
    </w:p>
    <w:p w:rsidR="00417C92" w:rsidRDefault="00417C92" w:rsidP="00417C92">
      <w:pPr>
        <w:spacing w:after="0" w:line="240" w:lineRule="auto"/>
        <w:jc w:val="center"/>
        <w:rPr>
          <w:b/>
        </w:rPr>
      </w:pPr>
    </w:p>
    <w:p w:rsidR="00417C92" w:rsidRDefault="00417C92" w:rsidP="00417C92">
      <w:pPr>
        <w:spacing w:after="0" w:line="240" w:lineRule="auto"/>
        <w:jc w:val="center"/>
        <w:rPr>
          <w:b/>
        </w:rPr>
      </w:pPr>
    </w:p>
    <w:p w:rsidR="00417C92" w:rsidRPr="0033523E" w:rsidRDefault="00417C92" w:rsidP="00417C92">
      <w:pPr>
        <w:spacing w:after="0" w:line="240" w:lineRule="auto"/>
        <w:jc w:val="center"/>
        <w:rPr>
          <w:b/>
        </w:rPr>
      </w:pPr>
      <w:r w:rsidRPr="0033523E">
        <w:rPr>
          <w:b/>
        </w:rPr>
        <w:t>INDICE</w:t>
      </w:r>
    </w:p>
    <w:p w:rsidR="00417C92" w:rsidRDefault="00417C92" w:rsidP="00417C92">
      <w:pPr>
        <w:spacing w:after="0" w:line="240" w:lineRule="auto"/>
        <w:jc w:val="both"/>
      </w:pPr>
    </w:p>
    <w:p w:rsidR="00417C92" w:rsidRDefault="00417C92" w:rsidP="00417C92">
      <w:pPr>
        <w:spacing w:after="0" w:line="240" w:lineRule="auto"/>
        <w:jc w:val="both"/>
      </w:pPr>
    </w:p>
    <w:p w:rsidR="00417C92" w:rsidRDefault="00417C92" w:rsidP="00417C92">
      <w:pPr>
        <w:spacing w:after="0" w:line="240" w:lineRule="auto"/>
        <w:jc w:val="both"/>
      </w:pPr>
    </w:p>
    <w:p w:rsidR="00417C92" w:rsidRPr="008206E7" w:rsidRDefault="00417C92" w:rsidP="00417C92">
      <w:pPr>
        <w:pStyle w:val="Paragrafoelenco"/>
        <w:numPr>
          <w:ilvl w:val="0"/>
          <w:numId w:val="4"/>
        </w:numPr>
        <w:spacing w:after="0" w:line="240" w:lineRule="auto"/>
        <w:rPr>
          <w:b/>
        </w:rPr>
      </w:pPr>
      <w:r w:rsidRPr="008206E7">
        <w:rPr>
          <w:b/>
        </w:rPr>
        <w:t>INTRODUZIONE</w:t>
      </w:r>
    </w:p>
    <w:p w:rsidR="00417C92" w:rsidRPr="002A3F14" w:rsidRDefault="00417C92" w:rsidP="00417C92">
      <w:pPr>
        <w:spacing w:after="0" w:line="240" w:lineRule="auto"/>
        <w:jc w:val="both"/>
      </w:pPr>
    </w:p>
    <w:p w:rsidR="00417C92" w:rsidRDefault="00417C92" w:rsidP="00417C92">
      <w:pPr>
        <w:pStyle w:val="Paragrafoelenco"/>
        <w:numPr>
          <w:ilvl w:val="0"/>
          <w:numId w:val="4"/>
        </w:numPr>
        <w:spacing w:after="0" w:line="240" w:lineRule="auto"/>
        <w:jc w:val="both"/>
        <w:rPr>
          <w:b/>
        </w:rPr>
      </w:pPr>
      <w:r>
        <w:rPr>
          <w:b/>
        </w:rPr>
        <w:t xml:space="preserve">ASPETTI DI </w:t>
      </w:r>
      <w:r w:rsidRPr="006B2CC3">
        <w:rPr>
          <w:b/>
        </w:rPr>
        <w:t>QUALITA’</w:t>
      </w:r>
    </w:p>
    <w:p w:rsidR="00417C92" w:rsidRPr="0033523E" w:rsidRDefault="00417C92" w:rsidP="00417C92">
      <w:pPr>
        <w:pStyle w:val="Paragrafoelenco"/>
        <w:rPr>
          <w:b/>
        </w:rPr>
      </w:pPr>
    </w:p>
    <w:p w:rsidR="00417C92" w:rsidRDefault="00417C92" w:rsidP="00417C92">
      <w:pPr>
        <w:pStyle w:val="Paragrafoelenco"/>
        <w:numPr>
          <w:ilvl w:val="0"/>
          <w:numId w:val="4"/>
        </w:numPr>
        <w:spacing w:after="0" w:line="240" w:lineRule="auto"/>
        <w:jc w:val="both"/>
        <w:rPr>
          <w:b/>
        </w:rPr>
      </w:pPr>
      <w:r w:rsidRPr="00DF7B22">
        <w:rPr>
          <w:b/>
        </w:rPr>
        <w:t>ASPETTI NON CLINICI</w:t>
      </w:r>
    </w:p>
    <w:p w:rsidR="00417C92" w:rsidRPr="0033523E" w:rsidRDefault="00417C92" w:rsidP="00417C92">
      <w:pPr>
        <w:pStyle w:val="Paragrafoelenco"/>
        <w:rPr>
          <w:b/>
        </w:rPr>
      </w:pPr>
    </w:p>
    <w:p w:rsidR="00417C92" w:rsidRDefault="00417C92" w:rsidP="00417C92">
      <w:pPr>
        <w:pStyle w:val="Paragrafoelenco"/>
        <w:numPr>
          <w:ilvl w:val="0"/>
          <w:numId w:val="4"/>
        </w:numPr>
        <w:spacing w:after="0" w:line="240" w:lineRule="auto"/>
        <w:jc w:val="both"/>
        <w:rPr>
          <w:b/>
        </w:rPr>
      </w:pPr>
      <w:r w:rsidRPr="005A38F5">
        <w:rPr>
          <w:b/>
        </w:rPr>
        <w:t>A</w:t>
      </w:r>
      <w:r>
        <w:rPr>
          <w:b/>
        </w:rPr>
        <w:t>S</w:t>
      </w:r>
      <w:r w:rsidRPr="005A38F5">
        <w:rPr>
          <w:b/>
        </w:rPr>
        <w:t>PETTI CLINICI</w:t>
      </w:r>
    </w:p>
    <w:p w:rsidR="00417C92" w:rsidRPr="0033523E" w:rsidRDefault="00417C92" w:rsidP="00417C92">
      <w:pPr>
        <w:pStyle w:val="Paragrafoelenco"/>
        <w:rPr>
          <w:b/>
        </w:rPr>
      </w:pPr>
    </w:p>
    <w:p w:rsidR="00417C92" w:rsidRPr="002E4DCB" w:rsidRDefault="00417C92" w:rsidP="00417C92">
      <w:pPr>
        <w:pStyle w:val="Paragrafoelenco"/>
        <w:numPr>
          <w:ilvl w:val="0"/>
          <w:numId w:val="4"/>
        </w:numPr>
        <w:spacing w:after="0" w:line="240" w:lineRule="auto"/>
        <w:jc w:val="both"/>
        <w:rPr>
          <w:b/>
        </w:rPr>
      </w:pPr>
      <w:r w:rsidRPr="002E4DCB">
        <w:rPr>
          <w:b/>
        </w:rPr>
        <w:t xml:space="preserve">CONSULTAZIONE </w:t>
      </w:r>
      <w:r>
        <w:rPr>
          <w:b/>
        </w:rPr>
        <w:t>SUL FOGLIO ILLUSTRATIVO</w:t>
      </w:r>
    </w:p>
    <w:p w:rsidR="00417C92" w:rsidRDefault="00417C92" w:rsidP="00417C92">
      <w:pPr>
        <w:pStyle w:val="Paragrafoelenco"/>
        <w:spacing w:after="0" w:line="240" w:lineRule="auto"/>
        <w:ind w:left="1080"/>
        <w:jc w:val="both"/>
        <w:rPr>
          <w:b/>
        </w:rPr>
      </w:pPr>
    </w:p>
    <w:p w:rsidR="00417C92" w:rsidRPr="00BC23ED" w:rsidRDefault="00417C92" w:rsidP="00417C92">
      <w:pPr>
        <w:pStyle w:val="Paragrafoelenco"/>
        <w:numPr>
          <w:ilvl w:val="0"/>
          <w:numId w:val="4"/>
        </w:numPr>
        <w:spacing w:after="0" w:line="240" w:lineRule="auto"/>
        <w:jc w:val="both"/>
        <w:rPr>
          <w:b/>
        </w:rPr>
      </w:pPr>
      <w:r w:rsidRPr="00BC23ED">
        <w:rPr>
          <w:b/>
        </w:rPr>
        <w:t>CONCLUSIONI, VALUTAZIONE DEL RAPPORTO BENEFICIO/RISCHIO E RACCOMANDAZIONI</w:t>
      </w:r>
    </w:p>
    <w:p w:rsidR="00417C92" w:rsidRDefault="00417C92" w:rsidP="00417C92"/>
    <w:p w:rsidR="00417C92" w:rsidRDefault="00417C92" w:rsidP="00417C92"/>
    <w:p w:rsidR="00417C92" w:rsidRDefault="00417C92" w:rsidP="00417C92"/>
    <w:p w:rsidR="00417C92" w:rsidRDefault="00417C92" w:rsidP="00417C92"/>
    <w:p w:rsidR="00417C92" w:rsidRDefault="00417C92" w:rsidP="00417C92"/>
    <w:p w:rsidR="00417C92" w:rsidRDefault="00417C92" w:rsidP="00417C92"/>
    <w:p w:rsidR="00417C92" w:rsidRDefault="00417C92" w:rsidP="00417C92"/>
    <w:p w:rsidR="00417C92" w:rsidRDefault="00417C92" w:rsidP="00417C92"/>
    <w:p w:rsidR="00417C92" w:rsidRDefault="00417C92" w:rsidP="00417C92"/>
    <w:p w:rsidR="00417C92" w:rsidRDefault="00417C92" w:rsidP="00417C92"/>
    <w:p w:rsidR="00417C92" w:rsidRDefault="00417C92" w:rsidP="00417C92"/>
    <w:p w:rsidR="00417C92" w:rsidRDefault="00417C92" w:rsidP="00417C92"/>
    <w:p w:rsidR="00417C92" w:rsidRDefault="00417C92" w:rsidP="00417C92"/>
    <w:p w:rsidR="00417C92" w:rsidRDefault="00417C92" w:rsidP="00417C92"/>
    <w:p w:rsidR="00417C92" w:rsidRDefault="00417C92" w:rsidP="00417C92"/>
    <w:p w:rsidR="00417C92" w:rsidRPr="008206E7" w:rsidRDefault="00910137" w:rsidP="00417C92">
      <w:pPr>
        <w:pStyle w:val="Paragrafoelenco"/>
        <w:numPr>
          <w:ilvl w:val="0"/>
          <w:numId w:val="5"/>
        </w:numPr>
        <w:spacing w:after="0" w:line="240" w:lineRule="auto"/>
        <w:rPr>
          <w:b/>
        </w:rPr>
      </w:pPr>
      <w:r>
        <w:rPr>
          <w:b/>
        </w:rPr>
        <w:lastRenderedPageBreak/>
        <w:t>I</w:t>
      </w:r>
      <w:r w:rsidR="00417C92" w:rsidRPr="008206E7">
        <w:rPr>
          <w:b/>
        </w:rPr>
        <w:t>NTRODUZIONE</w:t>
      </w:r>
    </w:p>
    <w:p w:rsidR="00417C92" w:rsidRPr="0008314C" w:rsidRDefault="00417C92" w:rsidP="00417C92">
      <w:pPr>
        <w:autoSpaceDE w:val="0"/>
        <w:autoSpaceDN w:val="0"/>
        <w:adjustRightInd w:val="0"/>
        <w:spacing w:after="0" w:line="240" w:lineRule="auto"/>
        <w:jc w:val="both"/>
      </w:pPr>
      <w:r w:rsidRPr="0008314C">
        <w:t xml:space="preserve">Sulla base dei dati di qualità, sicurezza ed efficacia, l’AIFA ha rilasciato a </w:t>
      </w:r>
      <w:r w:rsidR="000A7147">
        <w:t>Doc Generici</w:t>
      </w:r>
      <w:r w:rsidRPr="0008314C">
        <w:t xml:space="preserve"> l’autorizzazione all’immissione in commercio (AIC) per il medicinale </w:t>
      </w:r>
      <w:r w:rsidR="000A7147">
        <w:t>Tobramicina Doc Generici</w:t>
      </w:r>
      <w:r w:rsidRPr="0008314C">
        <w:t xml:space="preserve"> </w:t>
      </w:r>
      <w:r w:rsidRPr="0008314C">
        <w:rPr>
          <w:rFonts w:eastAsia="Calibri" w:cs="Calibri"/>
          <w:bCs/>
          <w:iCs/>
          <w:lang w:eastAsia="it-IT"/>
        </w:rPr>
        <w:t xml:space="preserve">il </w:t>
      </w:r>
      <w:r w:rsidR="00955CB5">
        <w:rPr>
          <w:rFonts w:eastAsia="Calibri" w:cs="Calibri"/>
          <w:bCs/>
          <w:iCs/>
          <w:lang w:eastAsia="it-IT"/>
        </w:rPr>
        <w:t>16 luglio 2015</w:t>
      </w:r>
      <w:r w:rsidRPr="0008314C">
        <w:t xml:space="preserve">.  </w:t>
      </w:r>
    </w:p>
    <w:p w:rsidR="00417C92" w:rsidRPr="0008314C" w:rsidRDefault="00417C92" w:rsidP="00417C92">
      <w:pPr>
        <w:spacing w:after="0" w:line="240" w:lineRule="auto"/>
        <w:jc w:val="both"/>
      </w:pPr>
    </w:p>
    <w:p w:rsidR="00417C92" w:rsidRPr="0008314C" w:rsidRDefault="000A7147" w:rsidP="00417C92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>
        <w:rPr>
          <w:rFonts w:eastAsia="Calibri" w:cs="Calibri"/>
          <w:color w:val="000000"/>
          <w:lang w:eastAsia="it-IT"/>
        </w:rPr>
        <w:t>Tobramicina Doc Generici</w:t>
      </w:r>
      <w:r w:rsidR="00417C92" w:rsidRPr="0008314C">
        <w:rPr>
          <w:rFonts w:eastAsia="Calibri" w:cs="Calibri"/>
          <w:color w:val="000000"/>
          <w:lang w:eastAsia="it-IT"/>
        </w:rPr>
        <w:t xml:space="preserve"> può essere ottenuto solo dietro prescrizione da parte del medico </w:t>
      </w:r>
      <w:r w:rsidR="00417C92" w:rsidRPr="00955CB5">
        <w:rPr>
          <w:rFonts w:eastAsia="Calibri" w:cs="Calibri"/>
          <w:color w:val="000000"/>
          <w:lang w:eastAsia="it-IT"/>
        </w:rPr>
        <w:t>(ricetta ripetibile).</w:t>
      </w:r>
    </w:p>
    <w:p w:rsidR="00417C92" w:rsidRPr="0008314C" w:rsidRDefault="00417C92" w:rsidP="00417C92">
      <w:pPr>
        <w:spacing w:after="0" w:line="240" w:lineRule="auto"/>
        <w:jc w:val="both"/>
      </w:pPr>
    </w:p>
    <w:p w:rsidR="00417C92" w:rsidRPr="0008314C" w:rsidRDefault="00417C92" w:rsidP="00417C92">
      <w:pPr>
        <w:spacing w:after="0" w:line="240" w:lineRule="auto"/>
        <w:jc w:val="both"/>
      </w:pPr>
      <w:r w:rsidRPr="0008314C">
        <w:t xml:space="preserve">Questa procedura è stata presentata ai </w:t>
      </w:r>
      <w:r w:rsidRPr="00BA43B9">
        <w:t>sensi dell’art. 10(</w:t>
      </w:r>
      <w:r w:rsidR="00BA43B9" w:rsidRPr="00BA43B9">
        <w:t>3</w:t>
      </w:r>
      <w:r w:rsidRPr="00BA43B9">
        <w:t>) della</w:t>
      </w:r>
      <w:r w:rsidRPr="0008314C">
        <w:t xml:space="preserve"> Direttiva 2001/83/EU s.m.i.</w:t>
      </w:r>
    </w:p>
    <w:p w:rsidR="00417C92" w:rsidRPr="0008314C" w:rsidRDefault="00417C92" w:rsidP="00417C92">
      <w:pPr>
        <w:widowControl w:val="0"/>
        <w:spacing w:after="0" w:line="240" w:lineRule="auto"/>
        <w:jc w:val="both"/>
        <w:rPr>
          <w:rFonts w:eastAsia="Calibri" w:cs="Calibri"/>
          <w:bCs/>
          <w:color w:val="000000"/>
          <w:lang w:eastAsia="it-IT"/>
        </w:rPr>
      </w:pPr>
    </w:p>
    <w:p w:rsidR="00417C92" w:rsidRPr="0008314C" w:rsidRDefault="000A7147" w:rsidP="00417C92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>
        <w:rPr>
          <w:rFonts w:eastAsia="Calibri" w:cs="Calibri"/>
          <w:bCs/>
          <w:color w:val="000000"/>
          <w:lang w:eastAsia="it-IT"/>
        </w:rPr>
        <w:t>Tobramicina Doc Generici</w:t>
      </w:r>
      <w:r w:rsidR="00417C92" w:rsidRPr="0008314C">
        <w:rPr>
          <w:rFonts w:eastAsia="Calibri" w:cs="Calibri"/>
          <w:bCs/>
          <w:color w:val="000000"/>
          <w:lang w:eastAsia="it-IT"/>
        </w:rPr>
        <w:t xml:space="preserve"> </w:t>
      </w:r>
      <w:r w:rsidR="00417C92" w:rsidRPr="0008314C">
        <w:rPr>
          <w:rFonts w:eastAsia="Calibri" w:cs="Calibri"/>
          <w:color w:val="000000"/>
          <w:lang w:eastAsia="it-IT"/>
        </w:rPr>
        <w:t xml:space="preserve">è un medicinale </w:t>
      </w:r>
      <w:r w:rsidR="00894CF1">
        <w:rPr>
          <w:rFonts w:eastAsia="Calibri" w:cs="Calibri"/>
          <w:color w:val="000000"/>
          <w:lang w:eastAsia="it-IT"/>
        </w:rPr>
        <w:t xml:space="preserve">generico </w:t>
      </w:r>
      <w:r w:rsidR="00417C92" w:rsidRPr="0008314C">
        <w:rPr>
          <w:rFonts w:eastAsia="Calibri" w:cs="Calibri"/>
          <w:color w:val="000000"/>
          <w:lang w:eastAsia="it-IT"/>
        </w:rPr>
        <w:t xml:space="preserve">contenente il principio attivo </w:t>
      </w:r>
      <w:r>
        <w:rPr>
          <w:rFonts w:eastAsia="Calibri" w:cs="Calibri"/>
          <w:color w:val="000000"/>
          <w:lang w:eastAsia="it-IT"/>
        </w:rPr>
        <w:t>tobramicina</w:t>
      </w:r>
      <w:r w:rsidR="00417C92" w:rsidRPr="0008314C">
        <w:rPr>
          <w:rFonts w:eastAsia="Calibri" w:cs="Calibri"/>
          <w:color w:val="000000"/>
          <w:lang w:eastAsia="it-IT"/>
        </w:rPr>
        <w:t xml:space="preserve"> presente nel medicinale di riferimento </w:t>
      </w:r>
      <w:r>
        <w:rPr>
          <w:rFonts w:eastAsia="Calibri" w:cs="Calibri"/>
          <w:color w:val="000000"/>
          <w:lang w:eastAsia="it-IT"/>
        </w:rPr>
        <w:t>Tobral</w:t>
      </w:r>
      <w:r w:rsidR="00417C92" w:rsidRPr="0008314C">
        <w:rPr>
          <w:rFonts w:eastAsia="Calibri" w:cs="Calibri"/>
          <w:color w:val="000000"/>
          <w:lang w:eastAsia="it-IT"/>
        </w:rPr>
        <w:t>, autorizzato in Italia da più di 10 anni.</w:t>
      </w:r>
    </w:p>
    <w:p w:rsidR="00417C92" w:rsidRPr="0008314C" w:rsidRDefault="00417C92" w:rsidP="00417C92">
      <w:pPr>
        <w:spacing w:after="0" w:line="240" w:lineRule="auto"/>
        <w:jc w:val="both"/>
        <w:rPr>
          <w:highlight w:val="yellow"/>
        </w:rPr>
      </w:pPr>
    </w:p>
    <w:p w:rsidR="00417C92" w:rsidRPr="0008314C" w:rsidRDefault="000A7147" w:rsidP="00417C92">
      <w:pPr>
        <w:spacing w:after="0" w:line="240" w:lineRule="auto"/>
        <w:jc w:val="both"/>
        <w:rPr>
          <w:rFonts w:ascii="Calibri" w:hAnsi="Calibri"/>
          <w:iCs/>
        </w:rPr>
      </w:pPr>
      <w:r>
        <w:rPr>
          <w:rFonts w:eastAsia="Calibri" w:cs="Calibri"/>
          <w:bCs/>
          <w:color w:val="000000"/>
          <w:lang w:eastAsia="it-IT"/>
        </w:rPr>
        <w:t>Tobramicina Doc Generici</w:t>
      </w:r>
      <w:r w:rsidR="00417C92" w:rsidRPr="0008314C">
        <w:rPr>
          <w:rFonts w:eastAsia="Calibri" w:cs="Calibri"/>
          <w:bCs/>
          <w:color w:val="000000"/>
          <w:lang w:eastAsia="it-IT"/>
        </w:rPr>
        <w:t xml:space="preserve">, </w:t>
      </w:r>
      <w:r w:rsidR="00417C92" w:rsidRPr="0008314C">
        <w:rPr>
          <w:color w:val="000000"/>
        </w:rPr>
        <w:t>il cui c</w:t>
      </w:r>
      <w:r w:rsidR="00417C92" w:rsidRPr="0008314C">
        <w:rPr>
          <w:iCs/>
        </w:rPr>
        <w:t xml:space="preserve">odice ATC è </w:t>
      </w:r>
      <w:r w:rsidRPr="000A7147">
        <w:rPr>
          <w:rFonts w:ascii="Calibri" w:hAnsi="Calibri"/>
          <w:iCs/>
        </w:rPr>
        <w:t>S01AA12</w:t>
      </w:r>
      <w:r w:rsidR="00417C92" w:rsidRPr="0008314C">
        <w:rPr>
          <w:rFonts w:eastAsia="DejaVuSans" w:cs="DejaVuSans"/>
        </w:rPr>
        <w:t>,</w:t>
      </w:r>
      <w:r w:rsidR="00417C92" w:rsidRPr="0008314C">
        <w:rPr>
          <w:rFonts w:eastAsia="Calibri" w:cs="Calibri"/>
          <w:bCs/>
          <w:color w:val="000000"/>
          <w:lang w:eastAsia="it-IT"/>
        </w:rPr>
        <w:t xml:space="preserve"> </w:t>
      </w:r>
      <w:r w:rsidR="00417C92" w:rsidRPr="0008314C">
        <w:rPr>
          <w:rFonts w:eastAsia="Calibri" w:cs="Calibri"/>
          <w:color w:val="000000"/>
          <w:lang w:eastAsia="it-IT"/>
        </w:rPr>
        <w:t xml:space="preserve">contiene il principio attivo </w:t>
      </w:r>
      <w:r>
        <w:rPr>
          <w:rFonts w:eastAsia="Calibri" w:cs="Calibri"/>
          <w:color w:val="000000"/>
          <w:lang w:eastAsia="it-IT"/>
        </w:rPr>
        <w:t>tobramicina</w:t>
      </w:r>
      <w:r w:rsidR="00417C92" w:rsidRPr="0008314C">
        <w:rPr>
          <w:rFonts w:eastAsia="Calibri" w:cs="Calibri"/>
          <w:bCs/>
          <w:color w:val="000000"/>
          <w:lang w:eastAsia="it-IT"/>
        </w:rPr>
        <w:t xml:space="preserve"> </w:t>
      </w:r>
      <w:r w:rsidR="00417C92" w:rsidRPr="0008314C">
        <w:rPr>
          <w:rFonts w:eastAsia="Calibri" w:cs="Calibri"/>
          <w:color w:val="000000"/>
          <w:lang w:eastAsia="it-IT"/>
        </w:rPr>
        <w:t xml:space="preserve">che </w:t>
      </w:r>
      <w:r w:rsidR="00417C92" w:rsidRPr="0008314C">
        <w:rPr>
          <w:rFonts w:eastAsia="Times New Roman"/>
          <w:lang w:eastAsia="it-IT"/>
        </w:rPr>
        <w:t xml:space="preserve">è un </w:t>
      </w:r>
      <w:r w:rsidRPr="000A7147">
        <w:rPr>
          <w:rFonts w:ascii="Calibri" w:hAnsi="Calibri"/>
          <w:iCs/>
        </w:rPr>
        <w:t>antibiotico aminoglicosidico a rapida attività battericida</w:t>
      </w:r>
      <w:r w:rsidR="00417C92" w:rsidRPr="0008314C">
        <w:rPr>
          <w:rFonts w:ascii="Calibri" w:hAnsi="Calibri"/>
          <w:iCs/>
        </w:rPr>
        <w:t>.</w:t>
      </w:r>
    </w:p>
    <w:p w:rsidR="00417C92" w:rsidRPr="0008314C" w:rsidRDefault="00417C92" w:rsidP="00417C92">
      <w:pPr>
        <w:spacing w:after="0" w:line="240" w:lineRule="auto"/>
        <w:jc w:val="both"/>
        <w:rPr>
          <w:rFonts w:ascii="Calibri" w:hAnsi="Calibri"/>
          <w:iCs/>
        </w:rPr>
      </w:pPr>
    </w:p>
    <w:p w:rsidR="00894CF1" w:rsidRPr="0008314C" w:rsidRDefault="000A7147" w:rsidP="00894CF1">
      <w:pPr>
        <w:tabs>
          <w:tab w:val="left" w:pos="-1985"/>
          <w:tab w:val="left" w:pos="-1843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jc w:val="both"/>
        <w:rPr>
          <w:rFonts w:ascii="Calibri" w:hAnsi="Calibri"/>
        </w:rPr>
      </w:pPr>
      <w:r>
        <w:rPr>
          <w:rFonts w:ascii="Calibri" w:hAnsi="Calibri"/>
        </w:rPr>
        <w:t>La tobramicina</w:t>
      </w:r>
      <w:r w:rsidR="00894CF1" w:rsidRPr="0008314C">
        <w:rPr>
          <w:rFonts w:ascii="Calibri" w:hAnsi="Calibri"/>
        </w:rPr>
        <w:t xml:space="preserve"> </w:t>
      </w:r>
      <w:r>
        <w:rPr>
          <w:rFonts w:ascii="Calibri" w:hAnsi="Calibri"/>
        </w:rPr>
        <w:t xml:space="preserve">esplica la sua attività battericida </w:t>
      </w:r>
      <w:r>
        <w:rPr>
          <w:rFonts w:eastAsia="DejaVuSans" w:cs="DejaVuSans"/>
        </w:rPr>
        <w:t xml:space="preserve">inibendo l’assemblaggio e </w:t>
      </w:r>
      <w:r w:rsidRPr="00C46FEB">
        <w:rPr>
          <w:rFonts w:eastAsia="DejaVuSans" w:cs="DejaVuSans"/>
        </w:rPr>
        <w:t>la sintesi dei polipeptidi da parte dei ribosomi</w:t>
      </w:r>
      <w:r>
        <w:rPr>
          <w:rFonts w:eastAsia="DejaVuSans" w:cs="DejaVuSans"/>
        </w:rPr>
        <w:t xml:space="preserve"> delle cellule batteriche</w:t>
      </w:r>
      <w:r w:rsidR="00894CF1" w:rsidRPr="0008314C">
        <w:rPr>
          <w:rFonts w:ascii="Calibri" w:hAnsi="Calibri"/>
        </w:rPr>
        <w:t>.</w:t>
      </w:r>
    </w:p>
    <w:p w:rsidR="00894CF1" w:rsidRPr="0008314C" w:rsidRDefault="000A7147" w:rsidP="00894CF1">
      <w:pPr>
        <w:pStyle w:val="Rientrocorpodeltesto3"/>
        <w:tabs>
          <w:tab w:val="clear" w:pos="720"/>
          <w:tab w:val="clear" w:pos="1418"/>
          <w:tab w:val="clear" w:pos="2880"/>
          <w:tab w:val="left" w:pos="-1985"/>
          <w:tab w:val="left" w:pos="-1843"/>
        </w:tabs>
        <w:spacing w:line="240" w:lineRule="auto"/>
        <w:ind w:left="0" w:firstLine="0"/>
        <w:rPr>
          <w:rFonts w:ascii="Calibri" w:hAnsi="Calibri"/>
          <w:szCs w:val="22"/>
        </w:rPr>
      </w:pPr>
      <w:r w:rsidRPr="00955CB5">
        <w:rPr>
          <w:rFonts w:ascii="Calibri" w:hAnsi="Calibri"/>
          <w:szCs w:val="22"/>
        </w:rPr>
        <w:t>Una lista di microrganismi potenzialmente suscettibili al trattamento con tobramicina nelle infezioni dell’occhio (ad esempio congiuntiviti) è riportato nel Riassunto delle Caratteristiche del Prodotto di Tobramicina Doc Generici.</w:t>
      </w:r>
    </w:p>
    <w:p w:rsidR="00417C92" w:rsidRPr="0008314C" w:rsidRDefault="00417C92" w:rsidP="00417C92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Cs/>
          <w:highlight w:val="yellow"/>
        </w:rPr>
      </w:pPr>
    </w:p>
    <w:p w:rsidR="00417C92" w:rsidRDefault="000A7147" w:rsidP="000A7147">
      <w:pPr>
        <w:spacing w:after="0" w:line="240" w:lineRule="auto"/>
        <w:jc w:val="both"/>
        <w:rPr>
          <w:rFonts w:eastAsia="Times New Roman"/>
          <w:lang w:eastAsia="it-IT"/>
        </w:rPr>
      </w:pPr>
      <w:r>
        <w:rPr>
          <w:rFonts w:eastAsia="Calibri" w:cs="Calibri"/>
          <w:color w:val="000000"/>
          <w:lang w:eastAsia="it-IT"/>
        </w:rPr>
        <w:t xml:space="preserve">Tobramicina Doc Generici </w:t>
      </w:r>
      <w:r w:rsidR="00417C92" w:rsidRPr="0008314C">
        <w:rPr>
          <w:rFonts w:cs="Helvetica"/>
        </w:rPr>
        <w:t xml:space="preserve">è indicato </w:t>
      </w:r>
      <w:r w:rsidRPr="000A7147">
        <w:rPr>
          <w:rFonts w:eastAsia="Times New Roman"/>
          <w:lang w:eastAsia="it-IT"/>
        </w:rPr>
        <w:t>nel trattamento di infezioni batteriche della superficie dell’occhio o delle palpebre (come ad esempio congiuntivite), negli adulti e nei bambini da un anno di età in poi.</w:t>
      </w:r>
    </w:p>
    <w:p w:rsidR="000A7147" w:rsidRPr="00775284" w:rsidRDefault="000A7147" w:rsidP="000A7147">
      <w:pPr>
        <w:spacing w:after="0" w:line="240" w:lineRule="auto"/>
        <w:jc w:val="both"/>
        <w:rPr>
          <w:rFonts w:ascii="Calibri" w:hAnsi="Calibri"/>
        </w:rPr>
      </w:pPr>
    </w:p>
    <w:p w:rsidR="00417C92" w:rsidRDefault="00417C92" w:rsidP="00417C92">
      <w:pPr>
        <w:spacing w:after="0" w:line="240" w:lineRule="auto"/>
        <w:jc w:val="both"/>
        <w:rPr>
          <w:rFonts w:cs="Arial"/>
        </w:rPr>
      </w:pPr>
      <w:r w:rsidRPr="0002468C">
        <w:t xml:space="preserve">Poiché </w:t>
      </w:r>
      <w:r w:rsidR="000A7147">
        <w:t>Tobramicina Doc Generici</w:t>
      </w:r>
      <w:r w:rsidRPr="0002468C">
        <w:t xml:space="preserve"> contiene </w:t>
      </w:r>
      <w:r>
        <w:t xml:space="preserve">un </w:t>
      </w:r>
      <w:r w:rsidRPr="0002468C">
        <w:t>principi</w:t>
      </w:r>
      <w:r>
        <w:t>o</w:t>
      </w:r>
      <w:r w:rsidRPr="0002468C">
        <w:t xml:space="preserve"> attiv</w:t>
      </w:r>
      <w:r>
        <w:t>o</w:t>
      </w:r>
      <w:r w:rsidRPr="0002468C">
        <w:t xml:space="preserve"> not</w:t>
      </w:r>
      <w:r>
        <w:t>o</w:t>
      </w:r>
      <w:r w:rsidRPr="0002468C">
        <w:t xml:space="preserve"> non sono stati forniti nuovi dati non clinici e clinici: questo approccio è accettabile poiché il medicinale di riferimento </w:t>
      </w:r>
      <w:r w:rsidR="000A7147">
        <w:t>Tobral</w:t>
      </w:r>
      <w:r w:rsidRPr="0002468C">
        <w:t xml:space="preserve"> è autorizzato in Italia da oltre 10 anni</w:t>
      </w:r>
      <w:r w:rsidR="008F6138">
        <w:t xml:space="preserve">; poiché </w:t>
      </w:r>
      <w:r w:rsidR="000A7147">
        <w:t>Tobramicina Doc Generici</w:t>
      </w:r>
      <w:r w:rsidR="008F6138" w:rsidRPr="0002468C">
        <w:t xml:space="preserve"> </w:t>
      </w:r>
      <w:r w:rsidR="008F6138" w:rsidRPr="00B21EAE">
        <w:rPr>
          <w:rFonts w:cs="Arial"/>
        </w:rPr>
        <w:t xml:space="preserve">è somministrato come </w:t>
      </w:r>
      <w:r w:rsidR="00E3743F">
        <w:rPr>
          <w:rFonts w:cs="Arial"/>
        </w:rPr>
        <w:t>collirio</w:t>
      </w:r>
      <w:r w:rsidR="000A7147">
        <w:rPr>
          <w:rFonts w:cs="Arial"/>
        </w:rPr>
        <w:t xml:space="preserve"> </w:t>
      </w:r>
      <w:r w:rsidR="00E3743F">
        <w:rPr>
          <w:rFonts w:cs="Arial"/>
        </w:rPr>
        <w:t>(</w:t>
      </w:r>
      <w:r w:rsidR="000A7147">
        <w:rPr>
          <w:rFonts w:cs="Arial"/>
        </w:rPr>
        <w:t>soluzione</w:t>
      </w:r>
      <w:r w:rsidR="008F6138" w:rsidRPr="00B21EAE">
        <w:rPr>
          <w:rFonts w:cs="Arial"/>
        </w:rPr>
        <w:t xml:space="preserve"> </w:t>
      </w:r>
      <w:r w:rsidR="00E3743F">
        <w:rPr>
          <w:rFonts w:cs="Arial"/>
        </w:rPr>
        <w:t>oftalmica) con l</w:t>
      </w:r>
      <w:r w:rsidR="008F6138" w:rsidRPr="00B21EAE">
        <w:rPr>
          <w:rFonts w:cs="Arial"/>
        </w:rPr>
        <w:t>a stessa composizione del medicinale di rifer</w:t>
      </w:r>
      <w:r w:rsidR="002A0377">
        <w:rPr>
          <w:rFonts w:cs="Arial"/>
        </w:rPr>
        <w:t>i</w:t>
      </w:r>
      <w:r w:rsidR="008F6138" w:rsidRPr="00B21EAE">
        <w:rPr>
          <w:rFonts w:cs="Arial"/>
        </w:rPr>
        <w:t>mento</w:t>
      </w:r>
      <w:r w:rsidR="008F6138">
        <w:rPr>
          <w:rFonts w:cs="Arial"/>
        </w:rPr>
        <w:t>, è stata concessa l’esenzione dalla conduzione di studi clinici di confronto con il medicinale di riferimento.</w:t>
      </w:r>
    </w:p>
    <w:p w:rsidR="00417C92" w:rsidRPr="0002468C" w:rsidRDefault="00417C92" w:rsidP="00417C92">
      <w:pPr>
        <w:spacing w:after="0" w:line="240" w:lineRule="auto"/>
        <w:jc w:val="both"/>
      </w:pPr>
    </w:p>
    <w:p w:rsidR="00375CAA" w:rsidRDefault="00417C92" w:rsidP="00375CAA">
      <w:pPr>
        <w:spacing w:after="0" w:line="240" w:lineRule="auto"/>
        <w:jc w:val="both"/>
      </w:pPr>
      <w:r w:rsidRPr="00900C91">
        <w:t>Le officine coinvolte nella produzione sono conformi alle linee guida di Buona Pratica di Fabbricazione (</w:t>
      </w:r>
      <w:r w:rsidRPr="00900C91">
        <w:rPr>
          <w:i/>
        </w:rPr>
        <w:t>Good Manufacturing Practice</w:t>
      </w:r>
      <w:r w:rsidRPr="00900C91">
        <w:t xml:space="preserve"> - GMP). </w:t>
      </w:r>
      <w:r w:rsidR="00375CAA">
        <w:t xml:space="preserve">Le autorità </w:t>
      </w:r>
      <w:r w:rsidR="00702312">
        <w:t>regolatorie</w:t>
      </w:r>
      <w:r w:rsidR="00375CAA">
        <w:t xml:space="preserve"> europee competenti hanno rilasciato i certificati GMP per i siti di produzione.</w:t>
      </w:r>
    </w:p>
    <w:p w:rsidR="00417C92" w:rsidRPr="00900C91" w:rsidRDefault="00417C92" w:rsidP="00417C92">
      <w:pPr>
        <w:spacing w:after="0" w:line="240" w:lineRule="auto"/>
        <w:jc w:val="both"/>
        <w:rPr>
          <w:highlight w:val="yellow"/>
        </w:rPr>
      </w:pPr>
    </w:p>
    <w:p w:rsidR="00417C92" w:rsidRPr="00900C91" w:rsidRDefault="00417C92" w:rsidP="00417C92">
      <w:pPr>
        <w:spacing w:after="0" w:line="240" w:lineRule="auto"/>
        <w:jc w:val="both"/>
      </w:pPr>
      <w:r w:rsidRPr="00900C91">
        <w:t>Il sistema di Farmacovigilanza descritto dal titolare dell’AIC è conforme ai requisiti previsti dalla normativa corrente. E’ stato presentato un Piano di gestione del rischio (</w:t>
      </w:r>
      <w:r w:rsidRPr="00900C91">
        <w:rPr>
          <w:i/>
        </w:rPr>
        <w:t>Risk Management Plan</w:t>
      </w:r>
      <w:r w:rsidRPr="00900C91">
        <w:t xml:space="preserve"> – RMP) accettabile.</w:t>
      </w:r>
    </w:p>
    <w:p w:rsidR="00417C92" w:rsidRPr="00900C91" w:rsidRDefault="00417C92" w:rsidP="00417C92">
      <w:pPr>
        <w:spacing w:after="0" w:line="240" w:lineRule="auto"/>
        <w:jc w:val="both"/>
      </w:pPr>
    </w:p>
    <w:p w:rsidR="00417C92" w:rsidRDefault="00417C92" w:rsidP="00417C92">
      <w:pPr>
        <w:spacing w:after="0" w:line="240" w:lineRule="auto"/>
        <w:jc w:val="both"/>
      </w:pPr>
      <w:r w:rsidRPr="00955CB5">
        <w:t xml:space="preserve">Il titolare di AIC ha presentato una adeguata giustificazione della non presentazione della Valutazione del Rischio ambientale; questo approccio è accettabile in quanto </w:t>
      </w:r>
      <w:r w:rsidR="00A03E52" w:rsidRPr="00955CB5">
        <w:t>Tobramicina Doc Generici</w:t>
      </w:r>
      <w:r w:rsidRPr="00955CB5">
        <w:t xml:space="preserve"> contiene </w:t>
      </w:r>
      <w:r w:rsidR="00894CF1" w:rsidRPr="00955CB5">
        <w:t xml:space="preserve">un </w:t>
      </w:r>
      <w:r w:rsidRPr="00955CB5">
        <w:t>principi</w:t>
      </w:r>
      <w:r w:rsidR="00894CF1" w:rsidRPr="00955CB5">
        <w:t>o</w:t>
      </w:r>
      <w:r w:rsidRPr="00955CB5">
        <w:t xml:space="preserve"> attiv</w:t>
      </w:r>
      <w:r w:rsidR="00894CF1" w:rsidRPr="00955CB5">
        <w:t>o noto</w:t>
      </w:r>
      <w:r w:rsidRPr="00955CB5">
        <w:t xml:space="preserve"> present</w:t>
      </w:r>
      <w:r w:rsidR="00894CF1" w:rsidRPr="00955CB5">
        <w:t>e</w:t>
      </w:r>
      <w:r w:rsidRPr="00955CB5">
        <w:t xml:space="preserve"> in medicinali autorizzati; inoltre, non sono presenti componenti geneticamente modificati; il metodo di produzione e la formulazione del medicinale non presentano problematiche di carattere ambientale.</w:t>
      </w:r>
    </w:p>
    <w:p w:rsidR="008F6138" w:rsidRDefault="008F6138" w:rsidP="00417C92">
      <w:pPr>
        <w:spacing w:after="0" w:line="240" w:lineRule="auto"/>
        <w:jc w:val="both"/>
      </w:pPr>
    </w:p>
    <w:p w:rsidR="008F6138" w:rsidRDefault="008F6138" w:rsidP="00417C92">
      <w:pPr>
        <w:spacing w:after="0" w:line="240" w:lineRule="auto"/>
        <w:jc w:val="both"/>
      </w:pPr>
    </w:p>
    <w:p w:rsidR="00417C92" w:rsidRPr="00845AF1" w:rsidRDefault="00417C92" w:rsidP="00417C92">
      <w:pPr>
        <w:pStyle w:val="Paragrafoelenco"/>
        <w:numPr>
          <w:ilvl w:val="0"/>
          <w:numId w:val="5"/>
        </w:numPr>
        <w:spacing w:after="0" w:line="240" w:lineRule="auto"/>
        <w:jc w:val="both"/>
        <w:rPr>
          <w:b/>
        </w:rPr>
      </w:pPr>
      <w:r w:rsidRPr="00845AF1">
        <w:rPr>
          <w:b/>
        </w:rPr>
        <w:t>ASPETTI DI QUALITA’</w:t>
      </w:r>
    </w:p>
    <w:p w:rsidR="00417C92" w:rsidRPr="00845AF1" w:rsidRDefault="00417C92" w:rsidP="00417C92">
      <w:pPr>
        <w:spacing w:after="0" w:line="240" w:lineRule="auto"/>
        <w:jc w:val="both"/>
      </w:pPr>
      <w:r w:rsidRPr="00845AF1">
        <w:rPr>
          <w:b/>
        </w:rPr>
        <w:t>II.1 PRINCIPIO ATTIVO SALBUTAMOLO</w:t>
      </w:r>
    </w:p>
    <w:p w:rsidR="00417C92" w:rsidRDefault="00417C92" w:rsidP="00417C92">
      <w:pPr>
        <w:autoSpaceDE w:val="0"/>
        <w:autoSpaceDN w:val="0"/>
        <w:adjustRightInd w:val="0"/>
        <w:spacing w:after="0" w:line="240" w:lineRule="auto"/>
        <w:rPr>
          <w:rStyle w:val="s1"/>
          <w:rFonts w:asciiTheme="minorHAnsi" w:hAnsiTheme="minorHAnsi"/>
        </w:rPr>
      </w:pPr>
      <w:r w:rsidRPr="00845AF1">
        <w:rPr>
          <w:u w:val="single"/>
        </w:rPr>
        <w:t>Nome chimico</w:t>
      </w:r>
      <w:r w:rsidRPr="00845AF1">
        <w:t xml:space="preserve">: </w:t>
      </w:r>
      <w:r w:rsidR="00A03E52" w:rsidRPr="00A03E52">
        <w:rPr>
          <w:rStyle w:val="s1"/>
          <w:rFonts w:asciiTheme="minorHAnsi" w:hAnsiTheme="minorHAnsi"/>
        </w:rPr>
        <w:t>4-O-(3-amino-3-deoxy-α-D-glucopyranosyl)-2-deoxy-6-O-(2,6-diamino-2,3,6-trideoxy-α-D-ribo-hexopyranosyl)-L-streptamine</w:t>
      </w:r>
      <w:r w:rsidRPr="00845AF1">
        <w:rPr>
          <w:rStyle w:val="s1"/>
          <w:rFonts w:asciiTheme="minorHAnsi" w:hAnsiTheme="minorHAnsi"/>
        </w:rPr>
        <w:t>.</w:t>
      </w:r>
    </w:p>
    <w:p w:rsidR="00E80C9F" w:rsidRDefault="00E80C9F" w:rsidP="00417C92">
      <w:pPr>
        <w:spacing w:after="0" w:line="240" w:lineRule="auto"/>
        <w:jc w:val="both"/>
        <w:rPr>
          <w:u w:val="single"/>
        </w:rPr>
      </w:pPr>
    </w:p>
    <w:p w:rsidR="00E80C9F" w:rsidRDefault="00E80C9F" w:rsidP="00417C92">
      <w:pPr>
        <w:spacing w:after="0" w:line="240" w:lineRule="auto"/>
        <w:jc w:val="both"/>
        <w:rPr>
          <w:u w:val="single"/>
        </w:rPr>
      </w:pPr>
    </w:p>
    <w:p w:rsidR="00E80C9F" w:rsidRDefault="00E80C9F" w:rsidP="00417C92">
      <w:pPr>
        <w:spacing w:after="0" w:line="240" w:lineRule="auto"/>
        <w:jc w:val="both"/>
        <w:rPr>
          <w:u w:val="single"/>
        </w:rPr>
      </w:pPr>
    </w:p>
    <w:p w:rsidR="00E80C9F" w:rsidRDefault="00E80C9F" w:rsidP="00417C92">
      <w:pPr>
        <w:spacing w:after="0" w:line="240" w:lineRule="auto"/>
        <w:jc w:val="both"/>
        <w:rPr>
          <w:u w:val="single"/>
        </w:rPr>
      </w:pPr>
    </w:p>
    <w:p w:rsidR="00E80C9F" w:rsidRDefault="00E80C9F" w:rsidP="00417C92">
      <w:pPr>
        <w:spacing w:after="0" w:line="240" w:lineRule="auto"/>
        <w:jc w:val="both"/>
        <w:rPr>
          <w:u w:val="single"/>
        </w:rPr>
      </w:pPr>
    </w:p>
    <w:p w:rsidR="00417C92" w:rsidRPr="00845AF1" w:rsidRDefault="00417C92" w:rsidP="00417C92">
      <w:pPr>
        <w:spacing w:after="0" w:line="240" w:lineRule="auto"/>
        <w:jc w:val="both"/>
        <w:rPr>
          <w:noProof/>
          <w:highlight w:val="yellow"/>
          <w:lang w:eastAsia="it-IT"/>
        </w:rPr>
      </w:pPr>
      <w:r w:rsidRPr="00845AF1">
        <w:rPr>
          <w:u w:val="single"/>
        </w:rPr>
        <w:lastRenderedPageBreak/>
        <w:t>Struttura</w:t>
      </w:r>
      <w:r w:rsidRPr="00845AF1">
        <w:t>:</w:t>
      </w:r>
    </w:p>
    <w:p w:rsidR="00417C92" w:rsidRPr="00845AF1" w:rsidRDefault="00A03E52" w:rsidP="00417C92">
      <w:pPr>
        <w:spacing w:after="0" w:line="240" w:lineRule="auto"/>
        <w:jc w:val="center"/>
        <w:rPr>
          <w:highlight w:val="yellow"/>
        </w:rPr>
      </w:pPr>
      <w:r>
        <w:rPr>
          <w:noProof/>
          <w:lang w:eastAsia="it-IT"/>
        </w:rPr>
        <w:drawing>
          <wp:inline distT="0" distB="0" distL="0" distR="0">
            <wp:extent cx="1152525" cy="1164226"/>
            <wp:effectExtent l="19050" t="0" r="9525" b="0"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56084" cy="11678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17C92" w:rsidRPr="00845AF1" w:rsidRDefault="00417C92" w:rsidP="00417C92">
      <w:pPr>
        <w:spacing w:after="0" w:line="240" w:lineRule="auto"/>
        <w:jc w:val="both"/>
        <w:rPr>
          <w:rFonts w:cs="Arial"/>
          <w:color w:val="252525"/>
          <w:shd w:val="clear" w:color="auto" w:fill="F9F9F9"/>
          <w:vertAlign w:val="subscript"/>
        </w:rPr>
      </w:pPr>
      <w:r w:rsidRPr="00845AF1">
        <w:rPr>
          <w:u w:val="single"/>
        </w:rPr>
        <w:t>Formula molecolare</w:t>
      </w:r>
      <w:r w:rsidRPr="00845AF1">
        <w:t>:</w:t>
      </w:r>
      <w:r w:rsidRPr="00845AF1">
        <w:rPr>
          <w:rStyle w:val="s1"/>
          <w:rFonts w:asciiTheme="minorHAnsi" w:hAnsiTheme="minorHAnsi"/>
        </w:rPr>
        <w:t xml:space="preserve"> </w:t>
      </w:r>
      <w:r w:rsidR="00A03E52" w:rsidRPr="00A03E52">
        <w:rPr>
          <w:rStyle w:val="s1"/>
          <w:rFonts w:asciiTheme="minorHAnsi" w:hAnsiTheme="minorHAnsi"/>
        </w:rPr>
        <w:t>C</w:t>
      </w:r>
      <w:r w:rsidR="00A03E52" w:rsidRPr="00A03E52">
        <w:rPr>
          <w:rStyle w:val="s1"/>
          <w:rFonts w:asciiTheme="minorHAnsi" w:hAnsiTheme="minorHAnsi"/>
          <w:vertAlign w:val="subscript"/>
        </w:rPr>
        <w:t>18</w:t>
      </w:r>
      <w:r w:rsidR="00A03E52" w:rsidRPr="00A03E52">
        <w:rPr>
          <w:rStyle w:val="s1"/>
          <w:rFonts w:asciiTheme="minorHAnsi" w:hAnsiTheme="minorHAnsi"/>
        </w:rPr>
        <w:t>H</w:t>
      </w:r>
      <w:r w:rsidR="00A03E52" w:rsidRPr="00A03E52">
        <w:rPr>
          <w:rStyle w:val="s1"/>
          <w:rFonts w:asciiTheme="minorHAnsi" w:hAnsiTheme="minorHAnsi"/>
          <w:vertAlign w:val="subscript"/>
        </w:rPr>
        <w:t>37</w:t>
      </w:r>
      <w:r w:rsidR="00A03E52" w:rsidRPr="00A03E52">
        <w:rPr>
          <w:rStyle w:val="s1"/>
          <w:rFonts w:asciiTheme="minorHAnsi" w:hAnsiTheme="minorHAnsi"/>
        </w:rPr>
        <w:t>N</w:t>
      </w:r>
      <w:r w:rsidR="00A03E52" w:rsidRPr="00A03E52">
        <w:rPr>
          <w:rStyle w:val="s1"/>
          <w:rFonts w:asciiTheme="minorHAnsi" w:hAnsiTheme="minorHAnsi"/>
          <w:vertAlign w:val="subscript"/>
        </w:rPr>
        <w:t>5</w:t>
      </w:r>
      <w:r w:rsidR="00A03E52" w:rsidRPr="00A03E52">
        <w:rPr>
          <w:rStyle w:val="s1"/>
          <w:rFonts w:asciiTheme="minorHAnsi" w:hAnsiTheme="minorHAnsi"/>
        </w:rPr>
        <w:t>O</w:t>
      </w:r>
      <w:r w:rsidR="00A03E52" w:rsidRPr="00A03E52">
        <w:rPr>
          <w:rStyle w:val="s1"/>
          <w:rFonts w:asciiTheme="minorHAnsi" w:hAnsiTheme="minorHAnsi"/>
          <w:vertAlign w:val="subscript"/>
        </w:rPr>
        <w:t>9</w:t>
      </w:r>
    </w:p>
    <w:p w:rsidR="00417C92" w:rsidRPr="00845AF1" w:rsidRDefault="00417C92" w:rsidP="00417C92">
      <w:pPr>
        <w:spacing w:after="0" w:line="240" w:lineRule="auto"/>
        <w:jc w:val="both"/>
      </w:pPr>
      <w:r w:rsidRPr="00845AF1">
        <w:rPr>
          <w:u w:val="single"/>
        </w:rPr>
        <w:t>Peso molecolare</w:t>
      </w:r>
      <w:r w:rsidRPr="00845AF1">
        <w:t>:</w:t>
      </w:r>
      <w:r w:rsidRPr="00845AF1">
        <w:rPr>
          <w:rFonts w:cs="Arial"/>
          <w:color w:val="252525"/>
          <w:shd w:val="clear" w:color="auto" w:fill="F9F9F9"/>
        </w:rPr>
        <w:t xml:space="preserve"> </w:t>
      </w:r>
      <w:r w:rsidR="00A03E52">
        <w:rPr>
          <w:rStyle w:val="s1"/>
          <w:rFonts w:asciiTheme="minorHAnsi" w:hAnsiTheme="minorHAnsi"/>
        </w:rPr>
        <w:t>467.</w:t>
      </w:r>
      <w:r w:rsidR="00A03E52" w:rsidRPr="00955CB5">
        <w:rPr>
          <w:rStyle w:val="s1"/>
          <w:rFonts w:asciiTheme="minorHAnsi" w:hAnsiTheme="minorHAnsi"/>
        </w:rPr>
        <w:t>5</w:t>
      </w:r>
      <w:r w:rsidRPr="00955CB5">
        <w:rPr>
          <w:rStyle w:val="s1"/>
          <w:rFonts w:asciiTheme="minorHAnsi" w:hAnsiTheme="minorHAnsi"/>
        </w:rPr>
        <w:t xml:space="preserve"> g/mol</w:t>
      </w:r>
    </w:p>
    <w:p w:rsidR="00417C92" w:rsidRPr="00845AF1" w:rsidRDefault="00417C92" w:rsidP="00417C92">
      <w:pPr>
        <w:pStyle w:val="Titolo1"/>
        <w:shd w:val="clear" w:color="auto" w:fill="FFFFFF"/>
        <w:spacing w:before="0" w:beforeAutospacing="0" w:after="0" w:afterAutospacing="0"/>
        <w:rPr>
          <w:rFonts w:asciiTheme="minorHAnsi" w:hAnsiTheme="minorHAnsi"/>
          <w:b w:val="0"/>
          <w:sz w:val="22"/>
          <w:szCs w:val="22"/>
        </w:rPr>
      </w:pPr>
      <w:r w:rsidRPr="00845AF1">
        <w:rPr>
          <w:rFonts w:asciiTheme="minorHAnsi" w:hAnsiTheme="minorHAnsi"/>
          <w:b w:val="0"/>
          <w:sz w:val="22"/>
          <w:szCs w:val="22"/>
          <w:u w:val="single"/>
        </w:rPr>
        <w:t>CAS</w:t>
      </w:r>
      <w:r w:rsidRPr="00845AF1">
        <w:rPr>
          <w:rFonts w:asciiTheme="minorHAnsi" w:hAnsiTheme="minorHAnsi"/>
          <w:b w:val="0"/>
          <w:sz w:val="22"/>
          <w:szCs w:val="22"/>
        </w:rPr>
        <w:t xml:space="preserve">: </w:t>
      </w:r>
      <w:r w:rsidRPr="00845AF1">
        <w:rPr>
          <w:rStyle w:val="s1"/>
          <w:rFonts w:asciiTheme="minorHAnsi" w:hAnsiTheme="minorHAnsi"/>
          <w:b w:val="0"/>
          <w:sz w:val="22"/>
          <w:szCs w:val="22"/>
        </w:rPr>
        <w:t>[</w:t>
      </w:r>
      <w:r w:rsidR="00A03E52" w:rsidRPr="00A03E52">
        <w:rPr>
          <w:rFonts w:asciiTheme="minorHAnsi" w:hAnsiTheme="minorHAnsi"/>
          <w:b w:val="0"/>
          <w:color w:val="333333"/>
          <w:sz w:val="22"/>
          <w:szCs w:val="22"/>
        </w:rPr>
        <w:t>32986-56-4</w:t>
      </w:r>
      <w:r w:rsidRPr="00845AF1">
        <w:rPr>
          <w:rStyle w:val="s1"/>
          <w:rFonts w:asciiTheme="minorHAnsi" w:hAnsiTheme="minorHAnsi"/>
          <w:b w:val="0"/>
          <w:sz w:val="22"/>
          <w:szCs w:val="22"/>
        </w:rPr>
        <w:t>]</w:t>
      </w:r>
    </w:p>
    <w:p w:rsidR="00417C92" w:rsidRPr="00845AF1" w:rsidRDefault="00417C92" w:rsidP="00417C92">
      <w:pPr>
        <w:spacing w:after="0" w:line="240" w:lineRule="auto"/>
        <w:jc w:val="both"/>
      </w:pPr>
      <w:r w:rsidRPr="00845AF1">
        <w:rPr>
          <w:u w:val="single"/>
        </w:rPr>
        <w:t>Aspetto</w:t>
      </w:r>
      <w:r w:rsidRPr="00845AF1">
        <w:t>: polvere bianca o quasi bianca</w:t>
      </w:r>
    </w:p>
    <w:p w:rsidR="00417C92" w:rsidRPr="00845AF1" w:rsidRDefault="00417C92" w:rsidP="00417C92">
      <w:pPr>
        <w:spacing w:after="0" w:line="240" w:lineRule="auto"/>
        <w:jc w:val="both"/>
      </w:pPr>
      <w:r w:rsidRPr="00845AF1">
        <w:rPr>
          <w:u w:val="single"/>
        </w:rPr>
        <w:t>Solubilità</w:t>
      </w:r>
      <w:r w:rsidRPr="00845AF1">
        <w:t xml:space="preserve">: </w:t>
      </w:r>
      <w:r w:rsidR="00A03E52">
        <w:t>molto</w:t>
      </w:r>
      <w:r w:rsidRPr="00845AF1">
        <w:t xml:space="preserve"> solubile in acqua</w:t>
      </w:r>
      <w:r w:rsidRPr="00845AF1">
        <w:rPr>
          <w:rStyle w:val="s1"/>
          <w:rFonts w:asciiTheme="minorHAnsi" w:hAnsiTheme="minorHAnsi"/>
        </w:rPr>
        <w:t xml:space="preserve">, </w:t>
      </w:r>
      <w:r w:rsidR="00A03E52">
        <w:rPr>
          <w:rStyle w:val="s1"/>
          <w:rFonts w:asciiTheme="minorHAnsi" w:hAnsiTheme="minorHAnsi"/>
        </w:rPr>
        <w:t xml:space="preserve">molto poco solubile </w:t>
      </w:r>
      <w:r w:rsidRPr="00845AF1">
        <w:rPr>
          <w:rStyle w:val="s1"/>
          <w:rFonts w:asciiTheme="minorHAnsi" w:hAnsiTheme="minorHAnsi"/>
        </w:rPr>
        <w:t>in etanolo 96%</w:t>
      </w:r>
    </w:p>
    <w:p w:rsidR="00417C92" w:rsidRPr="00845AF1" w:rsidRDefault="00417C92" w:rsidP="00417C92">
      <w:pPr>
        <w:spacing w:after="0" w:line="240" w:lineRule="auto"/>
        <w:jc w:val="both"/>
        <w:rPr>
          <w:highlight w:val="cyan"/>
        </w:rPr>
      </w:pPr>
    </w:p>
    <w:p w:rsidR="00417C92" w:rsidRPr="00845AF1" w:rsidRDefault="00417C92" w:rsidP="00417C92">
      <w:pPr>
        <w:spacing w:after="0" w:line="240" w:lineRule="auto"/>
        <w:jc w:val="both"/>
      </w:pPr>
      <w:r w:rsidRPr="00845AF1">
        <w:t xml:space="preserve">Il principio attivo </w:t>
      </w:r>
      <w:r w:rsidR="00A03E52">
        <w:t>tobramicina</w:t>
      </w:r>
      <w:r w:rsidRPr="00845AF1">
        <w:t xml:space="preserve"> è presente in Farmacopea Europea e il Direttorato Europeo per la Qualità dei Medicinali (</w:t>
      </w:r>
      <w:r w:rsidRPr="00845AF1">
        <w:rPr>
          <w:i/>
        </w:rPr>
        <w:t>European Directorate for Quality of Medicnals</w:t>
      </w:r>
      <w:r w:rsidRPr="00845AF1">
        <w:t xml:space="preserve"> – EDQM) ha rilasciato al produttore il certificato di conformità alla Farmacopea Europea</w:t>
      </w:r>
      <w:r w:rsidR="00A03E52">
        <w:t xml:space="preserve"> (CEP)</w:t>
      </w:r>
      <w:r w:rsidRPr="00845AF1">
        <w:t>.</w:t>
      </w:r>
    </w:p>
    <w:p w:rsidR="00417C92" w:rsidRPr="00845AF1" w:rsidRDefault="00A03E52" w:rsidP="00417C92">
      <w:pPr>
        <w:spacing w:after="0" w:line="240" w:lineRule="auto"/>
        <w:jc w:val="both"/>
      </w:pPr>
      <w:r>
        <w:t>T</w:t>
      </w:r>
      <w:r w:rsidR="00417C92" w:rsidRPr="00845AF1">
        <w:t xml:space="preserve">utti gli aspetti di produzione e controllo sono coperti dal certificato di conformità alla Farmacopea Europea. </w:t>
      </w:r>
      <w:r w:rsidRPr="00A03E52">
        <w:t>Il CEP riporta un retest period di 60 mesi quando la tobramicina è conservata in un sacchetto di polietilene a sua volta incluso in una busta in lamina di alluminio. Gel di silice come essiccante è posto tra le due buste.</w:t>
      </w:r>
    </w:p>
    <w:p w:rsidR="00417C92" w:rsidRPr="00845AF1" w:rsidRDefault="00417C92" w:rsidP="00417C92">
      <w:pPr>
        <w:spacing w:after="0" w:line="240" w:lineRule="auto"/>
        <w:jc w:val="both"/>
      </w:pPr>
    </w:p>
    <w:p w:rsidR="00417C92" w:rsidRPr="00845AF1" w:rsidRDefault="00417C92" w:rsidP="00417C92">
      <w:pPr>
        <w:spacing w:after="0" w:line="240" w:lineRule="auto"/>
        <w:jc w:val="both"/>
      </w:pPr>
    </w:p>
    <w:p w:rsidR="00417C92" w:rsidRPr="00845AF1" w:rsidRDefault="00417C92" w:rsidP="00417C92">
      <w:pPr>
        <w:spacing w:after="0" w:line="240" w:lineRule="auto"/>
        <w:jc w:val="both"/>
        <w:rPr>
          <w:b/>
        </w:rPr>
      </w:pPr>
      <w:r w:rsidRPr="00845AF1">
        <w:rPr>
          <w:b/>
        </w:rPr>
        <w:t>II.2 PRODOTTO FINITO</w:t>
      </w:r>
    </w:p>
    <w:p w:rsidR="00417C92" w:rsidRPr="00845AF1" w:rsidRDefault="00417C92" w:rsidP="00417C92">
      <w:pPr>
        <w:spacing w:after="0" w:line="240" w:lineRule="auto"/>
        <w:jc w:val="both"/>
        <w:rPr>
          <w:b/>
        </w:rPr>
      </w:pPr>
      <w:r w:rsidRPr="00845AF1">
        <w:rPr>
          <w:b/>
        </w:rPr>
        <w:t>Descrizione e composizione</w:t>
      </w:r>
    </w:p>
    <w:p w:rsidR="00417C92" w:rsidRPr="00845AF1" w:rsidRDefault="00A03E52" w:rsidP="00417C92">
      <w:pPr>
        <w:widowControl w:val="0"/>
        <w:spacing w:after="0" w:line="240" w:lineRule="auto"/>
        <w:jc w:val="both"/>
      </w:pPr>
      <w:r>
        <w:rPr>
          <w:rFonts w:eastAsia="Calibri" w:cs="Calibri"/>
          <w:color w:val="000000"/>
          <w:lang w:eastAsia="it-IT"/>
        </w:rPr>
        <w:t>Tobramicina Doc Generici</w:t>
      </w:r>
      <w:r w:rsidR="00417C92" w:rsidRPr="00845AF1">
        <w:rPr>
          <w:rFonts w:eastAsia="Calibri" w:cs="Calibri"/>
          <w:color w:val="000000"/>
          <w:lang w:eastAsia="it-IT"/>
        </w:rPr>
        <w:t xml:space="preserve"> è disponibile </w:t>
      </w:r>
      <w:r w:rsidR="00894CF1">
        <w:rPr>
          <w:rFonts w:eastAsia="Calibri" w:cs="Calibri"/>
          <w:color w:val="000000"/>
          <w:lang w:eastAsia="it-IT"/>
        </w:rPr>
        <w:t>come</w:t>
      </w:r>
      <w:r w:rsidR="00417C92" w:rsidRPr="00845AF1">
        <w:rPr>
          <w:rFonts w:eastAsia="Calibri" w:cs="Calibri"/>
          <w:color w:val="000000"/>
          <w:lang w:eastAsia="it-IT"/>
        </w:rPr>
        <w:t xml:space="preserve"> </w:t>
      </w:r>
      <w:r w:rsidR="00E3743F">
        <w:rPr>
          <w:rFonts w:eastAsia="Calibri" w:cs="Calibri"/>
          <w:color w:val="000000"/>
          <w:lang w:eastAsia="it-IT"/>
        </w:rPr>
        <w:t>collirio</w:t>
      </w:r>
      <w:r>
        <w:rPr>
          <w:rFonts w:eastAsia="Calibri" w:cs="Calibri"/>
          <w:color w:val="000000"/>
          <w:lang w:eastAsia="it-IT"/>
        </w:rPr>
        <w:t xml:space="preserve"> </w:t>
      </w:r>
      <w:r w:rsidR="00E3743F">
        <w:rPr>
          <w:rFonts w:eastAsia="Calibri" w:cs="Calibri"/>
          <w:color w:val="000000"/>
          <w:lang w:eastAsia="it-IT"/>
        </w:rPr>
        <w:t>(</w:t>
      </w:r>
      <w:r>
        <w:rPr>
          <w:rFonts w:eastAsia="Calibri" w:cs="Calibri"/>
          <w:color w:val="000000"/>
          <w:lang w:eastAsia="it-IT"/>
        </w:rPr>
        <w:t>soluzione</w:t>
      </w:r>
      <w:r w:rsidR="00417C92" w:rsidRPr="00845AF1">
        <w:rPr>
          <w:rFonts w:eastAsia="Calibri" w:cs="Calibri"/>
          <w:color w:val="000000"/>
          <w:lang w:eastAsia="it-IT"/>
        </w:rPr>
        <w:t xml:space="preserve"> </w:t>
      </w:r>
      <w:r w:rsidR="00E3743F">
        <w:rPr>
          <w:rFonts w:eastAsia="Calibri" w:cs="Calibri"/>
          <w:color w:val="000000"/>
          <w:lang w:eastAsia="it-IT"/>
        </w:rPr>
        <w:t xml:space="preserve">oftalmica) </w:t>
      </w:r>
      <w:r w:rsidR="00417C92" w:rsidRPr="00845AF1">
        <w:rPr>
          <w:rFonts w:eastAsia="Calibri" w:cs="Calibri"/>
          <w:color w:val="000000"/>
          <w:lang w:eastAsia="it-IT"/>
        </w:rPr>
        <w:t xml:space="preserve">contenente </w:t>
      </w:r>
      <w:r>
        <w:rPr>
          <w:rFonts w:eastAsia="Calibri" w:cs="Calibri"/>
          <w:color w:val="000000"/>
          <w:lang w:eastAsia="it-IT"/>
        </w:rPr>
        <w:t>tobramicina</w:t>
      </w:r>
      <w:r w:rsidR="00417C92" w:rsidRPr="00845AF1">
        <w:rPr>
          <w:rFonts w:eastAsia="Calibri" w:cs="Calibri"/>
          <w:color w:val="000000"/>
          <w:lang w:eastAsia="it-IT"/>
        </w:rPr>
        <w:t xml:space="preserve"> alla concentrazione dello 0,</w:t>
      </w:r>
      <w:r>
        <w:rPr>
          <w:rFonts w:eastAsia="Calibri" w:cs="Calibri"/>
          <w:color w:val="000000"/>
          <w:lang w:eastAsia="it-IT"/>
        </w:rPr>
        <w:t>3</w:t>
      </w:r>
      <w:r w:rsidR="00417C92" w:rsidRPr="00845AF1">
        <w:rPr>
          <w:rFonts w:eastAsia="Calibri" w:cs="Calibri"/>
          <w:color w:val="000000"/>
          <w:lang w:eastAsia="it-IT"/>
        </w:rPr>
        <w:t>%.</w:t>
      </w:r>
    </w:p>
    <w:p w:rsidR="00417C92" w:rsidRPr="00845AF1" w:rsidRDefault="00417C92" w:rsidP="001B34EF">
      <w:pPr>
        <w:tabs>
          <w:tab w:val="left" w:pos="-1985"/>
          <w:tab w:val="left" w:pos="-1843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ind w:right="-142"/>
        <w:jc w:val="both"/>
      </w:pPr>
      <w:r w:rsidRPr="00845AF1">
        <w:t xml:space="preserve">Gli eccipienti sono i seguenti: </w:t>
      </w:r>
      <w:r w:rsidR="001B34EF">
        <w:t>tyloxapol, benzalconio cloruro, acido borico, sodio solfato anidro, sodio cloruro, acqua per preparazioni iniettabili</w:t>
      </w:r>
      <w:r w:rsidRPr="00845AF1">
        <w:t>.</w:t>
      </w:r>
    </w:p>
    <w:p w:rsidR="00417C92" w:rsidRPr="00845AF1" w:rsidRDefault="00417C92" w:rsidP="00417C92">
      <w:pPr>
        <w:spacing w:after="0" w:line="240" w:lineRule="auto"/>
        <w:jc w:val="both"/>
      </w:pPr>
      <w:r w:rsidRPr="00845AF1">
        <w:t>Tutti gli eccipienti</w:t>
      </w:r>
      <w:r w:rsidR="001B34EF">
        <w:t>, eccetto il tyloxapol,</w:t>
      </w:r>
      <w:r w:rsidRPr="00845AF1">
        <w:t xml:space="preserve"> sono conformi alla relativa monografia di Farmacopea Europea.</w:t>
      </w:r>
      <w:r w:rsidR="001B34EF">
        <w:t xml:space="preserve"> Il tyloxapol, per il quale non esiste una monografia nella Farmacopea Europea, viene controllato in conformità alla Farmacopea Statunitense (USP).</w:t>
      </w:r>
    </w:p>
    <w:p w:rsidR="00417C92" w:rsidRPr="00845AF1" w:rsidRDefault="00417C92" w:rsidP="00417C92">
      <w:pPr>
        <w:spacing w:after="0" w:line="240" w:lineRule="auto"/>
        <w:jc w:val="both"/>
      </w:pPr>
      <w:r w:rsidRPr="00845AF1">
        <w:t>Nessun eccipiente è ottenuto da organismi geneticamente modificati; non sono presenti eccipienti mai utilizzati nell’uomo.</w:t>
      </w:r>
    </w:p>
    <w:p w:rsidR="00417C92" w:rsidRPr="00845AF1" w:rsidRDefault="00417C92" w:rsidP="00417C92">
      <w:pPr>
        <w:spacing w:after="0" w:line="240" w:lineRule="auto"/>
        <w:jc w:val="both"/>
      </w:pPr>
    </w:p>
    <w:p w:rsidR="00417C92" w:rsidRPr="00845AF1" w:rsidRDefault="00417C92" w:rsidP="00417C92">
      <w:pPr>
        <w:spacing w:after="0" w:line="240" w:lineRule="auto"/>
        <w:jc w:val="both"/>
        <w:rPr>
          <w:b/>
        </w:rPr>
      </w:pPr>
      <w:r w:rsidRPr="00845AF1">
        <w:rPr>
          <w:b/>
        </w:rPr>
        <w:t>Sviluppo farmaceutico</w:t>
      </w:r>
    </w:p>
    <w:p w:rsidR="00417C92" w:rsidRPr="00845AF1" w:rsidRDefault="00417C92" w:rsidP="00417C92">
      <w:pPr>
        <w:spacing w:after="0" w:line="240" w:lineRule="auto"/>
        <w:jc w:val="both"/>
      </w:pPr>
      <w:r w:rsidRPr="00845AF1">
        <w:t>Sono stati forniti dettagli dello sviluppo farmaceutico e questi sono stati ritenuti soddisfacenti.</w:t>
      </w:r>
    </w:p>
    <w:p w:rsidR="00417C92" w:rsidRPr="00845AF1" w:rsidRDefault="00417C92" w:rsidP="00417C92">
      <w:pPr>
        <w:spacing w:after="0" w:line="240" w:lineRule="auto"/>
        <w:jc w:val="both"/>
      </w:pPr>
      <w:r w:rsidRPr="00845AF1">
        <w:t xml:space="preserve">Lo scopo era quello di ottenere un medicinale bioequivalente al medicinale di riferimento </w:t>
      </w:r>
      <w:r w:rsidR="001B34EF">
        <w:t>Tobral</w:t>
      </w:r>
      <w:r w:rsidRPr="00845AF1">
        <w:t>.</w:t>
      </w:r>
    </w:p>
    <w:p w:rsidR="00417C92" w:rsidRPr="00845AF1" w:rsidRDefault="00417C92" w:rsidP="00417C92">
      <w:pPr>
        <w:spacing w:after="0" w:line="240" w:lineRule="auto"/>
        <w:jc w:val="both"/>
      </w:pPr>
      <w:r w:rsidRPr="00845AF1">
        <w:t>Sono stati forniti dati comparativi relativi alle caratteristiche fisico-chimiche e al profilo di impurezze rispetto al medicinale di riferimento. I dati sono soddisfacenti.</w:t>
      </w:r>
    </w:p>
    <w:p w:rsidR="00417C92" w:rsidRPr="00845AF1" w:rsidRDefault="00417C92" w:rsidP="00417C92">
      <w:pPr>
        <w:spacing w:after="0" w:line="240" w:lineRule="auto"/>
        <w:jc w:val="both"/>
      </w:pPr>
    </w:p>
    <w:p w:rsidR="00417C92" w:rsidRPr="00845AF1" w:rsidRDefault="00417C92" w:rsidP="00417C92">
      <w:pPr>
        <w:spacing w:after="0" w:line="240" w:lineRule="auto"/>
        <w:jc w:val="both"/>
        <w:rPr>
          <w:b/>
        </w:rPr>
      </w:pPr>
      <w:r w:rsidRPr="00845AF1">
        <w:rPr>
          <w:b/>
        </w:rPr>
        <w:t xml:space="preserve">Produzione </w:t>
      </w:r>
    </w:p>
    <w:p w:rsidR="00417C92" w:rsidRPr="00845AF1" w:rsidRDefault="00417C92" w:rsidP="00417C92">
      <w:pPr>
        <w:spacing w:after="0" w:line="240" w:lineRule="auto"/>
        <w:jc w:val="both"/>
      </w:pPr>
      <w:r w:rsidRPr="00845AF1">
        <w:t>Sono stati forniti una descrizione del metodo di produzione e la relativa flow-chart.</w:t>
      </w:r>
    </w:p>
    <w:p w:rsidR="00417C92" w:rsidRPr="00845AF1" w:rsidRDefault="00417C92" w:rsidP="00417C92">
      <w:pPr>
        <w:spacing w:after="0" w:line="240" w:lineRule="auto"/>
        <w:jc w:val="both"/>
      </w:pPr>
      <w:r w:rsidRPr="00845AF1">
        <w:t>I controlli effettuati nel corso della produzione sono appropriati per la natura del medicinale e del metodo di produzione. Sono stati forniti, inoltre, dati soddisfacenti relativi alla convalida del metodo di produzione.</w:t>
      </w:r>
    </w:p>
    <w:p w:rsidR="00417C92" w:rsidRPr="00845AF1" w:rsidRDefault="00417C92" w:rsidP="00417C92">
      <w:pPr>
        <w:spacing w:after="0" w:line="240" w:lineRule="auto"/>
        <w:jc w:val="both"/>
      </w:pPr>
    </w:p>
    <w:p w:rsidR="00417C92" w:rsidRPr="00845AF1" w:rsidRDefault="00417C92" w:rsidP="00417C92">
      <w:pPr>
        <w:spacing w:after="0" w:line="240" w:lineRule="auto"/>
        <w:jc w:val="both"/>
        <w:rPr>
          <w:b/>
        </w:rPr>
      </w:pPr>
      <w:r w:rsidRPr="00845AF1">
        <w:rPr>
          <w:b/>
        </w:rPr>
        <w:t>Specifiche del prodotto finito</w:t>
      </w:r>
    </w:p>
    <w:p w:rsidR="00417C92" w:rsidRPr="00C97A20" w:rsidRDefault="00417C92" w:rsidP="00417C92">
      <w:pPr>
        <w:spacing w:after="0" w:line="240" w:lineRule="auto"/>
        <w:jc w:val="both"/>
      </w:pPr>
      <w:r w:rsidRPr="00845AF1">
        <w:t>Sono state fornite adeguate specifiche di controllo per il prodotto finito al rilascio e alla fine della validità. I</w:t>
      </w:r>
      <w:r w:rsidRPr="00C97A20">
        <w:t xml:space="preserve"> metodi analitici sono stati descritti e adeguatamente convalidati. Sono stati forniti, inoltre, dati analitici per </w:t>
      </w:r>
      <w:r>
        <w:t xml:space="preserve">il </w:t>
      </w:r>
      <w:r w:rsidRPr="00C97A20">
        <w:t>prodotto finito: questi dati dimostrano che i lotti prodotti sono in accordo alle specifiche proposte. Sono stati forniti, infine, certificati analitici per gli standard di riferimento utilizzati.</w:t>
      </w:r>
    </w:p>
    <w:p w:rsidR="00417C92" w:rsidRDefault="00417C92" w:rsidP="00417C92">
      <w:pPr>
        <w:spacing w:after="0" w:line="240" w:lineRule="auto"/>
        <w:jc w:val="both"/>
        <w:rPr>
          <w:b/>
        </w:rPr>
      </w:pPr>
    </w:p>
    <w:p w:rsidR="00E80C9F" w:rsidRDefault="00E80C9F" w:rsidP="00417C92">
      <w:pPr>
        <w:spacing w:after="0" w:line="240" w:lineRule="auto"/>
        <w:jc w:val="both"/>
        <w:rPr>
          <w:b/>
        </w:rPr>
      </w:pPr>
    </w:p>
    <w:p w:rsidR="00417C92" w:rsidRPr="00C97A20" w:rsidRDefault="00417C92" w:rsidP="00417C92">
      <w:pPr>
        <w:spacing w:after="0" w:line="240" w:lineRule="auto"/>
        <w:jc w:val="both"/>
        <w:rPr>
          <w:b/>
        </w:rPr>
      </w:pPr>
      <w:r w:rsidRPr="00C97A20">
        <w:rPr>
          <w:b/>
        </w:rPr>
        <w:lastRenderedPageBreak/>
        <w:t>Contenitore</w:t>
      </w:r>
    </w:p>
    <w:p w:rsidR="00417C92" w:rsidRDefault="001B34EF" w:rsidP="00417C92">
      <w:pPr>
        <w:spacing w:after="0" w:line="240" w:lineRule="auto"/>
        <w:jc w:val="both"/>
      </w:pPr>
      <w:r>
        <w:t>Tobramicina Doc Generici</w:t>
      </w:r>
      <w:r w:rsidR="00417C92" w:rsidRPr="00C97A20">
        <w:t xml:space="preserve"> è confezionato in </w:t>
      </w:r>
      <w:r w:rsidRPr="001B34EF">
        <w:rPr>
          <w:rFonts w:ascii="Calibri" w:hAnsi="Calibri"/>
        </w:rPr>
        <w:t>Flacone contagocce da 5 ml</w:t>
      </w:r>
      <w:r>
        <w:rPr>
          <w:rFonts w:ascii="Calibri" w:hAnsi="Calibri"/>
        </w:rPr>
        <w:t xml:space="preserve"> in polietilene a bassa densità</w:t>
      </w:r>
      <w:r w:rsidR="00417C92" w:rsidRPr="00C97A20">
        <w:t>. Sono state fornite specifiche e certificati analitici per tutti i componenti del confezionamento primario, che è adeguato per il medicinale.</w:t>
      </w:r>
    </w:p>
    <w:p w:rsidR="00417C92" w:rsidRPr="00C97A20" w:rsidRDefault="00417C92" w:rsidP="00417C92">
      <w:pPr>
        <w:spacing w:after="0" w:line="240" w:lineRule="auto"/>
        <w:jc w:val="both"/>
      </w:pPr>
    </w:p>
    <w:p w:rsidR="00417C92" w:rsidRPr="00C97A20" w:rsidRDefault="00417C92" w:rsidP="00417C92">
      <w:pPr>
        <w:spacing w:after="0" w:line="240" w:lineRule="auto"/>
        <w:jc w:val="both"/>
        <w:rPr>
          <w:b/>
        </w:rPr>
      </w:pPr>
      <w:r w:rsidRPr="00C97A20">
        <w:rPr>
          <w:b/>
        </w:rPr>
        <w:t>Stabilità</w:t>
      </w:r>
    </w:p>
    <w:p w:rsidR="00417C92" w:rsidRPr="00C97A20" w:rsidRDefault="00417C92" w:rsidP="00417C92">
      <w:pPr>
        <w:spacing w:after="0" w:line="240" w:lineRule="auto"/>
        <w:jc w:val="both"/>
      </w:pPr>
      <w:r w:rsidRPr="00C97A20">
        <w:t xml:space="preserve">Studi di stabilità sul prodotto finito sono stati condotti in accordo alle correnti linee guida e i risultati sono entro i limiti delle specifiche autorizzate. Sulla base di questi risultati, è stato autorizzato un periodo di validità di </w:t>
      </w:r>
      <w:r w:rsidR="001B34EF" w:rsidRPr="001B34EF">
        <w:t>validità di 3 anni senza alcuna speciale precauzione per la conservazione</w:t>
      </w:r>
      <w:r w:rsidR="0093186E">
        <w:t>. Dopo l</w:t>
      </w:r>
      <w:r>
        <w:t>a</w:t>
      </w:r>
      <w:r w:rsidR="0093186E">
        <w:t xml:space="preserve"> </w:t>
      </w:r>
      <w:r>
        <w:t xml:space="preserve">prima </w:t>
      </w:r>
      <w:r w:rsidR="0093186E">
        <w:t>apertura</w:t>
      </w:r>
      <w:r>
        <w:t xml:space="preserve"> del f</w:t>
      </w:r>
      <w:r w:rsidR="0093186E">
        <w:t>l</w:t>
      </w:r>
      <w:r>
        <w:t xml:space="preserve">acone, il medicinale deve essere utilizzato entro </w:t>
      </w:r>
      <w:r w:rsidR="001B34EF">
        <w:t>28 giorni</w:t>
      </w:r>
      <w:r>
        <w:t>.</w:t>
      </w:r>
    </w:p>
    <w:p w:rsidR="00417C92" w:rsidRPr="00C97A20" w:rsidRDefault="00417C92" w:rsidP="00417C92">
      <w:pPr>
        <w:spacing w:after="0" w:line="240" w:lineRule="auto"/>
        <w:jc w:val="both"/>
      </w:pPr>
    </w:p>
    <w:p w:rsidR="00417C92" w:rsidRPr="00DF7B22" w:rsidRDefault="00417C92" w:rsidP="00417C92">
      <w:pPr>
        <w:spacing w:after="0" w:line="240" w:lineRule="auto"/>
        <w:jc w:val="both"/>
        <w:rPr>
          <w:b/>
        </w:rPr>
      </w:pPr>
      <w:r w:rsidRPr="00DF7B22">
        <w:rPr>
          <w:b/>
        </w:rPr>
        <w:t>II.3 Discussione sugli aspetti di qualità</w:t>
      </w:r>
    </w:p>
    <w:p w:rsidR="00417C92" w:rsidRDefault="00417C92" w:rsidP="00417C92">
      <w:pPr>
        <w:spacing w:after="0" w:line="240" w:lineRule="auto"/>
        <w:jc w:val="both"/>
      </w:pPr>
      <w:r>
        <w:t xml:space="preserve">Tutte le criticità evidenziate nel corso della valutazione sono state risolte e la qualità di </w:t>
      </w:r>
      <w:r w:rsidR="001B34EF">
        <w:t>Tobramicina Doc Generici</w:t>
      </w:r>
      <w:r>
        <w:t xml:space="preserve"> è considerata adeguata. Non ci sono obiezioni per l’approvazione di </w:t>
      </w:r>
      <w:proofErr w:type="spellStart"/>
      <w:r w:rsidR="001B34EF">
        <w:t>Tobramicina</w:t>
      </w:r>
      <w:proofErr w:type="spellEnd"/>
      <w:r w:rsidR="001B34EF">
        <w:t xml:space="preserve"> </w:t>
      </w:r>
      <w:proofErr w:type="spellStart"/>
      <w:r w:rsidR="001B34EF">
        <w:t>Doc</w:t>
      </w:r>
      <w:proofErr w:type="spellEnd"/>
      <w:r w:rsidR="001B34EF">
        <w:t xml:space="preserve"> Generici</w:t>
      </w:r>
      <w:r w:rsidR="009F2874">
        <w:t xml:space="preserve"> </w:t>
      </w:r>
      <w:r>
        <w:t>dal punto di vista chimico-farmaceutico.</w:t>
      </w:r>
    </w:p>
    <w:p w:rsidR="00417C92" w:rsidRDefault="00417C92" w:rsidP="00417C92">
      <w:pPr>
        <w:spacing w:after="0" w:line="240" w:lineRule="auto"/>
        <w:jc w:val="both"/>
      </w:pPr>
    </w:p>
    <w:p w:rsidR="00417C92" w:rsidRDefault="00417C92" w:rsidP="00417C92">
      <w:pPr>
        <w:spacing w:after="0" w:line="240" w:lineRule="auto"/>
        <w:jc w:val="both"/>
      </w:pPr>
    </w:p>
    <w:p w:rsidR="00417C92" w:rsidRPr="00DF7B22" w:rsidRDefault="00417C92" w:rsidP="00417C92">
      <w:pPr>
        <w:pStyle w:val="Paragrafoelenco"/>
        <w:numPr>
          <w:ilvl w:val="0"/>
          <w:numId w:val="5"/>
        </w:numPr>
        <w:spacing w:after="0" w:line="240" w:lineRule="auto"/>
        <w:jc w:val="both"/>
        <w:rPr>
          <w:b/>
        </w:rPr>
      </w:pPr>
      <w:r w:rsidRPr="00DF7B22">
        <w:rPr>
          <w:b/>
        </w:rPr>
        <w:t>ASPETTI NON CLINICI</w:t>
      </w:r>
    </w:p>
    <w:p w:rsidR="00417C92" w:rsidRDefault="00417C92" w:rsidP="00417C92">
      <w:pPr>
        <w:spacing w:after="0" w:line="240" w:lineRule="auto"/>
        <w:jc w:val="both"/>
      </w:pPr>
      <w:r>
        <w:t xml:space="preserve">Non sono stati condotti specifici studi non clinici, in quanto </w:t>
      </w:r>
      <w:r w:rsidR="001B34EF">
        <w:t>Tobramicina Doc Generici</w:t>
      </w:r>
      <w:r>
        <w:t xml:space="preserve"> contiene un principio attivo noto: questo approccio è accettabile poiché il medicinale di riferimento </w:t>
      </w:r>
      <w:r w:rsidR="001B34EF">
        <w:t>Tobral</w:t>
      </w:r>
      <w:r>
        <w:t xml:space="preserve"> è autorizzato in Italia da oltre 10 anni.</w:t>
      </w:r>
    </w:p>
    <w:p w:rsidR="00417C92" w:rsidRDefault="00417C92" w:rsidP="00417C92">
      <w:pPr>
        <w:spacing w:after="0" w:line="240" w:lineRule="auto"/>
        <w:jc w:val="both"/>
      </w:pPr>
      <w:r>
        <w:t>Non ci sono obiezioni per l’approvazione dal punto di vista non clinico.</w:t>
      </w:r>
    </w:p>
    <w:p w:rsidR="00417C92" w:rsidRDefault="00417C92" w:rsidP="00417C92">
      <w:pPr>
        <w:spacing w:after="0" w:line="240" w:lineRule="auto"/>
        <w:jc w:val="both"/>
      </w:pPr>
    </w:p>
    <w:p w:rsidR="00417C92" w:rsidRDefault="00417C92" w:rsidP="00417C92">
      <w:pPr>
        <w:spacing w:after="0" w:line="240" w:lineRule="auto"/>
        <w:jc w:val="both"/>
      </w:pPr>
    </w:p>
    <w:p w:rsidR="00417C92" w:rsidRPr="005A38F5" w:rsidRDefault="00417C92" w:rsidP="00417C92">
      <w:pPr>
        <w:pStyle w:val="Paragrafoelenco"/>
        <w:numPr>
          <w:ilvl w:val="0"/>
          <w:numId w:val="5"/>
        </w:numPr>
        <w:spacing w:after="0" w:line="240" w:lineRule="auto"/>
        <w:jc w:val="both"/>
        <w:rPr>
          <w:b/>
        </w:rPr>
      </w:pPr>
      <w:r w:rsidRPr="005A38F5">
        <w:rPr>
          <w:b/>
        </w:rPr>
        <w:t>A</w:t>
      </w:r>
      <w:r>
        <w:rPr>
          <w:b/>
        </w:rPr>
        <w:t>S</w:t>
      </w:r>
      <w:r w:rsidRPr="005A38F5">
        <w:rPr>
          <w:b/>
        </w:rPr>
        <w:t>PETTI CLINICI</w:t>
      </w:r>
    </w:p>
    <w:p w:rsidR="00417C92" w:rsidRDefault="001B34EF" w:rsidP="00417C9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/>
        </w:rPr>
      </w:pPr>
      <w:r>
        <w:t>Tobramicina Doc Generici</w:t>
      </w:r>
      <w:r w:rsidR="00417C92" w:rsidRPr="00A34141">
        <w:t xml:space="preserve"> è utilizzato nel </w:t>
      </w:r>
      <w:r w:rsidR="00417C92">
        <w:rPr>
          <w:rFonts w:ascii="Calibri" w:hAnsi="Calibri"/>
        </w:rPr>
        <w:t>t</w:t>
      </w:r>
      <w:r w:rsidR="00417C92" w:rsidRPr="00BC6A5E">
        <w:rPr>
          <w:rFonts w:ascii="Calibri" w:hAnsi="Calibri"/>
        </w:rPr>
        <w:t xml:space="preserve">rattamento </w:t>
      </w:r>
      <w:r w:rsidRPr="001B34EF">
        <w:rPr>
          <w:rFonts w:ascii="Calibri" w:hAnsi="Calibri"/>
        </w:rPr>
        <w:t>di infezioni batteriche della superficie dell’occhio o delle palpebre (come ad esempio congiuntivite), negli adulti e nei bambini da un anno di età in poi.</w:t>
      </w:r>
    </w:p>
    <w:p w:rsidR="001B34EF" w:rsidRPr="0002468C" w:rsidRDefault="001B34EF" w:rsidP="00417C92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lang w:eastAsia="it-IT"/>
        </w:rPr>
      </w:pPr>
    </w:p>
    <w:p w:rsidR="00417C92" w:rsidRPr="002B6D26" w:rsidRDefault="00417C92" w:rsidP="00417C92">
      <w:pPr>
        <w:spacing w:after="0" w:line="240" w:lineRule="auto"/>
        <w:ind w:right="6"/>
        <w:jc w:val="both"/>
        <w:rPr>
          <w:b/>
        </w:rPr>
      </w:pPr>
      <w:r w:rsidRPr="002B6D26">
        <w:rPr>
          <w:b/>
        </w:rPr>
        <w:t>Posologia e modalità di somministrazione</w:t>
      </w:r>
    </w:p>
    <w:p w:rsidR="00417C92" w:rsidRDefault="00417C92" w:rsidP="00417C92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  <w:r>
        <w:t>Le informazioni sulla posologia e sulle modalità di somministrazione sono riportate nel Riassunto delle Caratteristiche del Prodotto pubblicato sul sito dell’Agenzia Italiana del Farmaco - AIFA /</w:t>
      </w:r>
      <w:r>
        <w:rPr>
          <w:rFonts w:eastAsia="Calibri" w:cs="Calibri"/>
          <w:lang w:eastAsia="it-IT"/>
        </w:rPr>
        <w:t>(</w:t>
      </w:r>
      <w:hyperlink r:id="rId8" w:history="1">
        <w:r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>
        <w:rPr>
          <w:rFonts w:eastAsia="Calibri" w:cs="Calibri"/>
          <w:lang w:eastAsia="it-IT"/>
        </w:rPr>
        <w:t>).</w:t>
      </w:r>
    </w:p>
    <w:p w:rsidR="00417C92" w:rsidRDefault="00417C92" w:rsidP="00417C92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</w:p>
    <w:p w:rsidR="00417C92" w:rsidRPr="002B6D26" w:rsidRDefault="00417C92" w:rsidP="00417C92">
      <w:pPr>
        <w:spacing w:after="0" w:line="240" w:lineRule="auto"/>
        <w:ind w:right="6"/>
        <w:jc w:val="both"/>
        <w:rPr>
          <w:rFonts w:eastAsia="Calibri" w:cs="Calibri"/>
          <w:b/>
          <w:lang w:eastAsia="it-IT"/>
        </w:rPr>
      </w:pPr>
      <w:r w:rsidRPr="002B6D26">
        <w:rPr>
          <w:rFonts w:eastAsia="Calibri" w:cs="Calibri"/>
          <w:b/>
          <w:lang w:eastAsia="it-IT"/>
        </w:rPr>
        <w:t>Tossicologia</w:t>
      </w:r>
    </w:p>
    <w:p w:rsidR="00417C92" w:rsidRDefault="00417C92" w:rsidP="00417C92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  <w:r>
        <w:rPr>
          <w:rFonts w:eastAsia="Calibri" w:cs="Calibri"/>
          <w:lang w:eastAsia="it-IT"/>
        </w:rPr>
        <w:t xml:space="preserve">La tossicologia di </w:t>
      </w:r>
      <w:r w:rsidR="001B34EF">
        <w:t>tobramicina</w:t>
      </w:r>
      <w:r>
        <w:t xml:space="preserve"> </w:t>
      </w:r>
      <w:r>
        <w:rPr>
          <w:rFonts w:eastAsia="Calibri" w:cs="Calibri"/>
          <w:lang w:eastAsia="it-IT"/>
        </w:rPr>
        <w:t>è ben conosciuta; non è stato necessario presentare ulteriori dati.</w:t>
      </w:r>
    </w:p>
    <w:p w:rsidR="00417C92" w:rsidRDefault="00417C92" w:rsidP="00417C92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</w:p>
    <w:p w:rsidR="00417C92" w:rsidRPr="006556D6" w:rsidRDefault="00417C92" w:rsidP="00417C92">
      <w:pPr>
        <w:spacing w:after="0" w:line="240" w:lineRule="auto"/>
        <w:ind w:right="6"/>
        <w:jc w:val="both"/>
        <w:rPr>
          <w:rFonts w:eastAsia="Times New Roman" w:cs="Times New Roman"/>
          <w:b/>
        </w:rPr>
      </w:pPr>
      <w:r w:rsidRPr="006556D6">
        <w:rPr>
          <w:rFonts w:eastAsia="Times New Roman" w:cs="Times New Roman"/>
          <w:b/>
        </w:rPr>
        <w:t>Farmacologia clinica</w:t>
      </w:r>
    </w:p>
    <w:p w:rsidR="00417C92" w:rsidRDefault="00417C92" w:rsidP="00417C92">
      <w:pPr>
        <w:spacing w:after="0" w:line="240" w:lineRule="auto"/>
        <w:jc w:val="both"/>
      </w:pPr>
      <w:r>
        <w:rPr>
          <w:rFonts w:eastAsia="Calibri" w:cs="Calibri"/>
          <w:lang w:eastAsia="it-IT"/>
        </w:rPr>
        <w:t xml:space="preserve">La farmacologia clinica di </w:t>
      </w:r>
      <w:r w:rsidR="001B34EF">
        <w:t>tobramicina</w:t>
      </w:r>
      <w:r>
        <w:t xml:space="preserve"> </w:t>
      </w:r>
      <w:r>
        <w:rPr>
          <w:rFonts w:eastAsia="Calibri" w:cs="Calibri"/>
          <w:lang w:eastAsia="it-IT"/>
        </w:rPr>
        <w:t xml:space="preserve">è ben conosciuta. </w:t>
      </w:r>
      <w:r>
        <w:t>N</w:t>
      </w:r>
      <w:r w:rsidRPr="00A34141">
        <w:t xml:space="preserve">on sono stati condotti </w:t>
      </w:r>
      <w:r>
        <w:t>nuovi</w:t>
      </w:r>
      <w:r w:rsidRPr="00A34141">
        <w:t xml:space="preserve"> studi clinici</w:t>
      </w:r>
      <w:r>
        <w:t xml:space="preserve"> di farmacodinamica e farmacocinetica</w:t>
      </w:r>
      <w:r w:rsidRPr="00A34141">
        <w:t xml:space="preserve">, in quanto </w:t>
      </w:r>
      <w:r w:rsidR="001B34EF">
        <w:t>Tobramicina Doc Generici</w:t>
      </w:r>
      <w:r w:rsidRPr="00A34141">
        <w:t xml:space="preserve"> contiene </w:t>
      </w:r>
      <w:r>
        <w:t>un</w:t>
      </w:r>
      <w:r w:rsidRPr="00A34141">
        <w:t xml:space="preserve"> principi</w:t>
      </w:r>
      <w:r>
        <w:t>o</w:t>
      </w:r>
      <w:r w:rsidRPr="00A34141">
        <w:t xml:space="preserve"> attiv</w:t>
      </w:r>
      <w:r>
        <w:t>o</w:t>
      </w:r>
      <w:r w:rsidRPr="00A34141">
        <w:t xml:space="preserve"> not</w:t>
      </w:r>
      <w:r>
        <w:t>o</w:t>
      </w:r>
      <w:r w:rsidRPr="00A34141">
        <w:t xml:space="preserve"> e present</w:t>
      </w:r>
      <w:r>
        <w:t>e</w:t>
      </w:r>
      <w:r w:rsidRPr="00A34141">
        <w:t xml:space="preserve"> </w:t>
      </w:r>
      <w:r>
        <w:t>nel</w:t>
      </w:r>
      <w:r w:rsidRPr="00A34141">
        <w:t xml:space="preserve"> medicinal</w:t>
      </w:r>
      <w:r>
        <w:t>e</w:t>
      </w:r>
      <w:r w:rsidRPr="00A34141">
        <w:t xml:space="preserve"> </w:t>
      </w:r>
      <w:r w:rsidR="001B34EF">
        <w:t>Tobral</w:t>
      </w:r>
      <w:r>
        <w:t xml:space="preserve"> </w:t>
      </w:r>
      <w:r w:rsidRPr="00A34141">
        <w:t>autorizzat</w:t>
      </w:r>
      <w:r>
        <w:t xml:space="preserve">o in Italia </w:t>
      </w:r>
      <w:r w:rsidRPr="00A34141">
        <w:t>da più di 10 anni.</w:t>
      </w:r>
    </w:p>
    <w:p w:rsidR="00417C92" w:rsidRPr="00D1324F" w:rsidRDefault="00417C92" w:rsidP="00417C92">
      <w:pPr>
        <w:spacing w:after="0" w:line="240" w:lineRule="auto"/>
        <w:jc w:val="both"/>
        <w:rPr>
          <w:rFonts w:cs="Arial"/>
        </w:rPr>
      </w:pPr>
    </w:p>
    <w:p w:rsidR="00417C92" w:rsidRPr="000B3C59" w:rsidRDefault="00417C92" w:rsidP="00417C92">
      <w:pPr>
        <w:spacing w:after="0" w:line="240" w:lineRule="auto"/>
        <w:jc w:val="both"/>
        <w:rPr>
          <w:rFonts w:cs="Arial"/>
          <w:b/>
        </w:rPr>
      </w:pPr>
      <w:r w:rsidRPr="000B3C59">
        <w:rPr>
          <w:rFonts w:cs="Arial"/>
          <w:b/>
        </w:rPr>
        <w:t>Efficacia e sicurezza clinica</w:t>
      </w:r>
    </w:p>
    <w:p w:rsidR="00417C92" w:rsidRPr="00D1324F" w:rsidRDefault="00417C92" w:rsidP="00417C92">
      <w:pPr>
        <w:spacing w:after="0" w:line="240" w:lineRule="auto"/>
        <w:jc w:val="both"/>
        <w:rPr>
          <w:rFonts w:cs="Arial"/>
        </w:rPr>
      </w:pPr>
      <w:r>
        <w:rPr>
          <w:rFonts w:cs="Arial"/>
        </w:rPr>
        <w:t xml:space="preserve">Non sono stati presentati nuovi dati di efficacia e sicurezza clinica: il profilo di sicurezza e l’efficacia del principio attivo di </w:t>
      </w:r>
      <w:r w:rsidR="001B34EF">
        <w:rPr>
          <w:rFonts w:cs="Arial"/>
        </w:rPr>
        <w:t>Tobramicina Doc Generici</w:t>
      </w:r>
      <w:r>
        <w:rPr>
          <w:rFonts w:cs="Arial"/>
        </w:rPr>
        <w:t xml:space="preserve"> è ben conosciuto; inoltre, è stato possibile concedere l’esenzione dalla conduzione di </w:t>
      </w:r>
      <w:r w:rsidR="008F6138">
        <w:rPr>
          <w:rFonts w:cs="Arial"/>
        </w:rPr>
        <w:t xml:space="preserve">studi clinici di confronto con il medicinale di riferimento </w:t>
      </w:r>
      <w:r>
        <w:rPr>
          <w:rFonts w:cs="Arial"/>
        </w:rPr>
        <w:t xml:space="preserve">in quanto </w:t>
      </w:r>
      <w:r w:rsidR="001B34EF">
        <w:rPr>
          <w:rFonts w:cs="Arial"/>
        </w:rPr>
        <w:t>Tobramicina Doc Generici</w:t>
      </w:r>
      <w:r>
        <w:rPr>
          <w:rFonts w:cs="Arial"/>
        </w:rPr>
        <w:t xml:space="preserve"> ha la</w:t>
      </w:r>
      <w:r w:rsidRPr="00845AF1">
        <w:rPr>
          <w:rFonts w:cs="Arial"/>
        </w:rPr>
        <w:t xml:space="preserve"> </w:t>
      </w:r>
      <w:r>
        <w:rPr>
          <w:rFonts w:cs="Arial"/>
        </w:rPr>
        <w:t xml:space="preserve">stessa composizione del medicinale di riferimento ed  è somministrato come </w:t>
      </w:r>
      <w:r w:rsidR="00E3743F">
        <w:rPr>
          <w:rFonts w:cs="Arial"/>
        </w:rPr>
        <w:t>collirio</w:t>
      </w:r>
      <w:r w:rsidR="001B34EF">
        <w:rPr>
          <w:rFonts w:cs="Arial"/>
        </w:rPr>
        <w:t xml:space="preserve"> </w:t>
      </w:r>
      <w:r w:rsidR="00E3743F">
        <w:rPr>
          <w:rFonts w:cs="Arial"/>
        </w:rPr>
        <w:t>(</w:t>
      </w:r>
      <w:r>
        <w:rPr>
          <w:rFonts w:cs="Arial"/>
        </w:rPr>
        <w:t xml:space="preserve">soluzione </w:t>
      </w:r>
      <w:r w:rsidR="00E3743F">
        <w:rPr>
          <w:rFonts w:cs="Arial"/>
        </w:rPr>
        <w:t xml:space="preserve">oftalmica) </w:t>
      </w:r>
      <w:r>
        <w:rPr>
          <w:rFonts w:cs="Arial"/>
        </w:rPr>
        <w:t>con le stesse caratteristiche chimico-fisiche del medicinale di riferimento.</w:t>
      </w:r>
    </w:p>
    <w:p w:rsidR="00417C92" w:rsidRDefault="00417C92" w:rsidP="00417C92">
      <w:pPr>
        <w:pStyle w:val="Paragrafoelenco"/>
        <w:spacing w:after="0" w:line="240" w:lineRule="auto"/>
        <w:ind w:left="0"/>
        <w:jc w:val="both"/>
      </w:pPr>
    </w:p>
    <w:p w:rsidR="00417C92" w:rsidRPr="00D1324F" w:rsidRDefault="00417C92" w:rsidP="00417C92">
      <w:pPr>
        <w:pStyle w:val="Paragrafoelenco"/>
        <w:spacing w:after="0" w:line="240" w:lineRule="auto"/>
        <w:ind w:left="0"/>
        <w:jc w:val="both"/>
        <w:rPr>
          <w:b/>
        </w:rPr>
      </w:pPr>
      <w:r w:rsidRPr="00D1324F">
        <w:rPr>
          <w:b/>
        </w:rPr>
        <w:t>Piano di Valutazione del Rischio (</w:t>
      </w:r>
      <w:r w:rsidRPr="00D1324F">
        <w:rPr>
          <w:b/>
          <w:i/>
        </w:rPr>
        <w:t>Risk Management Plan</w:t>
      </w:r>
      <w:r w:rsidRPr="00D1324F">
        <w:rPr>
          <w:b/>
        </w:rPr>
        <w:t xml:space="preserve"> - RMP)</w:t>
      </w:r>
    </w:p>
    <w:p w:rsidR="00417C92" w:rsidRPr="00D1324F" w:rsidRDefault="00417C92" w:rsidP="00417C92">
      <w:pPr>
        <w:pStyle w:val="Paragrafoelenco"/>
        <w:spacing w:after="0" w:line="240" w:lineRule="auto"/>
        <w:ind w:left="0"/>
        <w:jc w:val="both"/>
      </w:pPr>
      <w:r w:rsidRPr="00D1324F">
        <w:t xml:space="preserve">E’ stato presentato un RMP in accordo a quanto previsto dalla Direttiva 2001/83/EU s.m.i. che descrive le attività di farmacovigilanza e gli interventi definiti al fine di identificare, caratterizzare, prevenire o minimizzare i rischi collegati all’uso di </w:t>
      </w:r>
      <w:r w:rsidR="001B34EF">
        <w:t>Tobramicina Doc Generici</w:t>
      </w:r>
      <w:r w:rsidRPr="00D1324F">
        <w:t>.</w:t>
      </w:r>
    </w:p>
    <w:p w:rsidR="00AB09ED" w:rsidRDefault="00AB09ED" w:rsidP="00AB09ED">
      <w:pPr>
        <w:pStyle w:val="Paragrafoelenco"/>
        <w:spacing w:after="0" w:line="240" w:lineRule="auto"/>
        <w:ind w:left="0"/>
        <w:jc w:val="both"/>
      </w:pPr>
      <w:r w:rsidRPr="00955CB5">
        <w:lastRenderedPageBreak/>
        <w:t>Il riassunto delle problematiche di sicurezza è riportato nella tabella seguente.</w:t>
      </w:r>
    </w:p>
    <w:p w:rsidR="00AB09ED" w:rsidRDefault="00AB09ED" w:rsidP="00AB09ED">
      <w:pPr>
        <w:pStyle w:val="Paragrafoelenco"/>
        <w:spacing w:after="0" w:line="240" w:lineRule="auto"/>
        <w:ind w:left="0"/>
        <w:jc w:val="both"/>
      </w:pPr>
    </w:p>
    <w:tbl>
      <w:tblPr>
        <w:tblW w:w="44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5E0"/>
      </w:tblPr>
      <w:tblGrid>
        <w:gridCol w:w="3124"/>
        <w:gridCol w:w="5646"/>
      </w:tblGrid>
      <w:tr w:rsidR="00AB09ED" w:rsidTr="000A6C5C">
        <w:trPr>
          <w:jc w:val="center"/>
        </w:trPr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B09ED" w:rsidRPr="004D1620" w:rsidRDefault="00AB09ED" w:rsidP="000A6C5C">
            <w:pPr>
              <w:pStyle w:val="TabletextrowsAgency"/>
              <w:spacing w:line="240" w:lineRule="auto"/>
              <w:rPr>
                <w:rFonts w:asciiTheme="minorHAnsi" w:hAnsiTheme="minorHAnsi"/>
                <w:sz w:val="20"/>
                <w:szCs w:val="20"/>
                <w:lang w:eastAsia="en-GB"/>
              </w:rPr>
            </w:pPr>
            <w:r w:rsidRPr="004D1620">
              <w:rPr>
                <w:rFonts w:asciiTheme="minorHAnsi" w:hAnsiTheme="minorHAnsi"/>
                <w:sz w:val="20"/>
                <w:szCs w:val="20"/>
                <w:lang w:eastAsia="en-GB"/>
              </w:rPr>
              <w:t>Rischi importanti identificati</w:t>
            </w:r>
          </w:p>
        </w:tc>
        <w:tc>
          <w:tcPr>
            <w:tcW w:w="3219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955CB5" w:rsidRPr="005E39C4" w:rsidRDefault="00955CB5" w:rsidP="005E39C4">
            <w:pPr>
              <w:pStyle w:val="DoctitleAgency"/>
              <w:widowControl w:val="0"/>
              <w:numPr>
                <w:ilvl w:val="0"/>
                <w:numId w:val="6"/>
              </w:numPr>
              <w:spacing w:before="0" w:line="360" w:lineRule="auto"/>
              <w:ind w:left="0"/>
              <w:rPr>
                <w:rFonts w:asciiTheme="minorHAnsi" w:hAnsiTheme="minorHAnsi"/>
                <w:color w:val="000000" w:themeColor="text1"/>
                <w:sz w:val="20"/>
                <w:szCs w:val="20"/>
                <w:lang w:val="it-IT"/>
              </w:rPr>
            </w:pPr>
            <w:r>
              <w:rPr>
                <w:rFonts w:asciiTheme="minorHAnsi" w:hAnsiTheme="minorHAnsi"/>
                <w:color w:val="000000" w:themeColor="text1"/>
                <w:sz w:val="20"/>
                <w:szCs w:val="20"/>
                <w:lang w:val="it-IT"/>
              </w:rPr>
              <w:t>Ipersensibilità al principio attivi, ad altri antibiotici aminoglicosidici o a uno qualsiasi degli eccipienti</w:t>
            </w:r>
          </w:p>
          <w:p w:rsidR="00955CB5" w:rsidRPr="005E39C4" w:rsidRDefault="00955CB5" w:rsidP="005E39C4">
            <w:pPr>
              <w:pStyle w:val="Paragrafoelenco"/>
              <w:numPr>
                <w:ilvl w:val="0"/>
                <w:numId w:val="6"/>
              </w:numPr>
              <w:spacing w:after="0" w:line="360" w:lineRule="auto"/>
              <w:ind w:left="0"/>
              <w:rPr>
                <w:rFonts w:eastAsia="Verdana" w:cs="Verdana"/>
                <w:color w:val="000000" w:themeColor="text1"/>
                <w:sz w:val="20"/>
                <w:szCs w:val="20"/>
                <w:lang w:eastAsia="en-GB"/>
              </w:rPr>
            </w:pPr>
            <w:r w:rsidRPr="005E39C4">
              <w:rPr>
                <w:rFonts w:eastAsia="Verdana" w:cs="Verdana"/>
                <w:color w:val="000000" w:themeColor="text1"/>
                <w:sz w:val="20"/>
                <w:szCs w:val="20"/>
                <w:lang w:eastAsia="en-GB"/>
              </w:rPr>
              <w:t>Cheratite a seguito di sovradosaggio</w:t>
            </w:r>
          </w:p>
          <w:p w:rsidR="00955CB5" w:rsidRPr="005E39C4" w:rsidRDefault="00955CB5" w:rsidP="005E39C4">
            <w:pPr>
              <w:pStyle w:val="Paragrafoelenco"/>
              <w:numPr>
                <w:ilvl w:val="0"/>
                <w:numId w:val="6"/>
              </w:numPr>
              <w:spacing w:after="0" w:line="360" w:lineRule="auto"/>
              <w:ind w:left="0"/>
              <w:rPr>
                <w:rFonts w:eastAsia="Verdana" w:cs="Verdana"/>
                <w:color w:val="000000" w:themeColor="text1"/>
                <w:sz w:val="20"/>
                <w:szCs w:val="20"/>
                <w:lang w:eastAsia="en-GB"/>
              </w:rPr>
            </w:pPr>
            <w:r w:rsidRPr="005E39C4">
              <w:rPr>
                <w:rFonts w:eastAsia="Verdana" w:cs="Verdana"/>
                <w:color w:val="000000" w:themeColor="text1"/>
                <w:sz w:val="20"/>
                <w:szCs w:val="20"/>
                <w:lang w:eastAsia="en-GB"/>
              </w:rPr>
              <w:t>Edema a seguito di sovradosaggio</w:t>
            </w:r>
          </w:p>
          <w:p w:rsidR="00955CB5" w:rsidRPr="005E39C4" w:rsidRDefault="00955CB5" w:rsidP="005E39C4">
            <w:pPr>
              <w:pStyle w:val="Paragrafoelenco"/>
              <w:numPr>
                <w:ilvl w:val="0"/>
                <w:numId w:val="6"/>
              </w:numPr>
              <w:spacing w:after="0" w:line="360" w:lineRule="auto"/>
              <w:ind w:left="0"/>
              <w:rPr>
                <w:rFonts w:eastAsia="Verdana" w:cs="Verdana"/>
                <w:color w:val="000000" w:themeColor="text1"/>
                <w:sz w:val="20"/>
                <w:szCs w:val="20"/>
                <w:lang w:eastAsia="en-GB"/>
              </w:rPr>
            </w:pPr>
            <w:r w:rsidRPr="005E39C4">
              <w:rPr>
                <w:rFonts w:eastAsia="Verdana" w:cs="Verdana"/>
                <w:color w:val="000000" w:themeColor="text1"/>
                <w:sz w:val="20"/>
                <w:szCs w:val="20"/>
                <w:lang w:eastAsia="en-GB"/>
              </w:rPr>
              <w:t>Eritema a seguito di sovradosaggio</w:t>
            </w:r>
          </w:p>
          <w:p w:rsidR="00955CB5" w:rsidRPr="005E39C4" w:rsidRDefault="00955CB5" w:rsidP="005E39C4">
            <w:pPr>
              <w:pStyle w:val="Paragrafoelenco"/>
              <w:numPr>
                <w:ilvl w:val="0"/>
                <w:numId w:val="6"/>
              </w:numPr>
              <w:spacing w:after="0" w:line="360" w:lineRule="auto"/>
              <w:ind w:left="0"/>
              <w:rPr>
                <w:rFonts w:eastAsia="Verdana" w:cs="Verdana"/>
                <w:color w:val="000000" w:themeColor="text1"/>
                <w:sz w:val="20"/>
                <w:szCs w:val="20"/>
                <w:lang w:eastAsia="en-GB"/>
              </w:rPr>
            </w:pPr>
            <w:r w:rsidRPr="005E39C4">
              <w:rPr>
                <w:rFonts w:eastAsia="Verdana" w:cs="Verdana"/>
                <w:color w:val="000000" w:themeColor="text1"/>
                <w:sz w:val="20"/>
                <w:szCs w:val="20"/>
                <w:lang w:eastAsia="en-GB"/>
              </w:rPr>
              <w:t>Neurotossicità</w:t>
            </w:r>
          </w:p>
          <w:p w:rsidR="00955CB5" w:rsidRPr="005E39C4" w:rsidRDefault="00955CB5" w:rsidP="005E39C4">
            <w:pPr>
              <w:pStyle w:val="Paragrafoelenco"/>
              <w:numPr>
                <w:ilvl w:val="0"/>
                <w:numId w:val="6"/>
              </w:numPr>
              <w:spacing w:after="0" w:line="360" w:lineRule="auto"/>
              <w:ind w:left="0"/>
              <w:rPr>
                <w:rFonts w:eastAsia="Verdana" w:cs="Verdana"/>
                <w:color w:val="000000" w:themeColor="text1"/>
                <w:sz w:val="20"/>
                <w:szCs w:val="20"/>
                <w:lang w:eastAsia="en-GB"/>
              </w:rPr>
            </w:pPr>
            <w:r w:rsidRPr="005E39C4">
              <w:rPr>
                <w:rFonts w:eastAsia="Verdana" w:cs="Verdana"/>
                <w:color w:val="000000" w:themeColor="text1"/>
                <w:sz w:val="20"/>
                <w:szCs w:val="20"/>
                <w:lang w:eastAsia="en-GB"/>
              </w:rPr>
              <w:t>Ototossicità</w:t>
            </w:r>
          </w:p>
          <w:p w:rsidR="00955CB5" w:rsidRPr="005E39C4" w:rsidRDefault="00955CB5" w:rsidP="005E39C4">
            <w:pPr>
              <w:pStyle w:val="Paragrafoelenco"/>
              <w:numPr>
                <w:ilvl w:val="0"/>
                <w:numId w:val="6"/>
              </w:numPr>
              <w:spacing w:after="0" w:line="360" w:lineRule="auto"/>
              <w:ind w:left="0"/>
              <w:rPr>
                <w:rFonts w:eastAsia="Verdana" w:cs="Verdana"/>
                <w:color w:val="000000" w:themeColor="text1"/>
                <w:sz w:val="20"/>
                <w:szCs w:val="20"/>
                <w:lang w:eastAsia="en-GB"/>
              </w:rPr>
            </w:pPr>
            <w:r w:rsidRPr="005E39C4">
              <w:rPr>
                <w:rFonts w:eastAsia="Verdana" w:cs="Verdana"/>
                <w:color w:val="000000" w:themeColor="text1"/>
                <w:sz w:val="20"/>
                <w:szCs w:val="20"/>
                <w:lang w:eastAsia="en-GB"/>
              </w:rPr>
              <w:t>Nefrotossicità</w:t>
            </w:r>
          </w:p>
          <w:p w:rsidR="00955CB5" w:rsidRPr="005E39C4" w:rsidRDefault="00955CB5" w:rsidP="005E39C4">
            <w:pPr>
              <w:pStyle w:val="Paragrafoelenco"/>
              <w:numPr>
                <w:ilvl w:val="0"/>
                <w:numId w:val="6"/>
              </w:numPr>
              <w:spacing w:after="0" w:line="360" w:lineRule="auto"/>
              <w:ind w:left="0"/>
              <w:rPr>
                <w:rFonts w:eastAsia="Verdana" w:cs="Verdana"/>
                <w:color w:val="000000" w:themeColor="text1"/>
                <w:sz w:val="20"/>
                <w:szCs w:val="20"/>
                <w:lang w:eastAsia="en-GB"/>
              </w:rPr>
            </w:pPr>
            <w:r w:rsidRPr="005E39C4">
              <w:rPr>
                <w:rFonts w:eastAsia="Verdana" w:cs="Verdana"/>
                <w:color w:val="000000" w:themeColor="text1"/>
                <w:sz w:val="20"/>
                <w:szCs w:val="20"/>
                <w:lang w:eastAsia="en-GB"/>
              </w:rPr>
              <w:t>Irritazione degli occhi dovuta all’eccipiente benzalconio cloruro</w:t>
            </w:r>
          </w:p>
          <w:p w:rsidR="00955CB5" w:rsidRPr="00955CB5" w:rsidRDefault="00955CB5" w:rsidP="005E39C4">
            <w:pPr>
              <w:pStyle w:val="Paragrafoelenco"/>
              <w:numPr>
                <w:ilvl w:val="0"/>
                <w:numId w:val="6"/>
              </w:numPr>
              <w:spacing w:after="0" w:line="360" w:lineRule="auto"/>
              <w:ind w:left="0"/>
              <w:rPr>
                <w:lang w:eastAsia="en-GB"/>
              </w:rPr>
            </w:pPr>
            <w:r w:rsidRPr="005E39C4">
              <w:rPr>
                <w:rFonts w:eastAsia="Verdana" w:cs="Verdana"/>
                <w:color w:val="000000" w:themeColor="text1"/>
                <w:sz w:val="20"/>
                <w:szCs w:val="20"/>
                <w:lang w:eastAsia="en-GB"/>
              </w:rPr>
              <w:t>Effetti sulla capacità di guidare veicoli e di utilizzare macchinari</w:t>
            </w:r>
          </w:p>
        </w:tc>
      </w:tr>
      <w:tr w:rsidR="00AB09ED" w:rsidTr="000A6C5C">
        <w:trPr>
          <w:jc w:val="center"/>
        </w:trPr>
        <w:tc>
          <w:tcPr>
            <w:tcW w:w="178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B09ED" w:rsidRPr="00955CB5" w:rsidRDefault="00AB09ED" w:rsidP="000A6C5C">
            <w:pPr>
              <w:pStyle w:val="TabletextrowsAgency"/>
              <w:spacing w:line="240" w:lineRule="auto"/>
              <w:rPr>
                <w:rFonts w:asciiTheme="minorHAnsi" w:hAnsiTheme="minorHAnsi"/>
                <w:sz w:val="20"/>
                <w:szCs w:val="20"/>
                <w:lang w:val="it-IT" w:eastAsia="en-GB"/>
              </w:rPr>
            </w:pPr>
            <w:r w:rsidRPr="00955CB5">
              <w:rPr>
                <w:rFonts w:asciiTheme="minorHAnsi" w:hAnsiTheme="minorHAnsi"/>
                <w:sz w:val="20"/>
                <w:szCs w:val="20"/>
                <w:lang w:val="it-IT" w:eastAsia="en-GB"/>
              </w:rPr>
              <w:t>Rischi importanti potenziali</w:t>
            </w:r>
          </w:p>
        </w:tc>
        <w:tc>
          <w:tcPr>
            <w:tcW w:w="32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955CB5" w:rsidRPr="005E39C4" w:rsidRDefault="00955CB5" w:rsidP="005E39C4">
            <w:pPr>
              <w:pStyle w:val="DoctitleAgency"/>
              <w:widowControl w:val="0"/>
              <w:numPr>
                <w:ilvl w:val="0"/>
                <w:numId w:val="7"/>
              </w:numPr>
              <w:spacing w:before="0" w:line="360" w:lineRule="auto"/>
              <w:ind w:left="0"/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  <w:lang w:val="it-IT"/>
              </w:rPr>
            </w:pPr>
            <w:r>
              <w:rPr>
                <w:rFonts w:asciiTheme="minorHAnsi" w:hAnsiTheme="minorHAnsi"/>
                <w:color w:val="000000" w:themeColor="text1"/>
                <w:sz w:val="20"/>
                <w:szCs w:val="20"/>
                <w:lang w:val="it-IT"/>
              </w:rPr>
              <w:t>Uso in gravidanza</w:t>
            </w:r>
          </w:p>
          <w:p w:rsidR="00955CB5" w:rsidRPr="00955CB5" w:rsidRDefault="00955CB5" w:rsidP="005E39C4">
            <w:pPr>
              <w:pStyle w:val="Paragrafoelenco"/>
              <w:numPr>
                <w:ilvl w:val="0"/>
                <w:numId w:val="7"/>
              </w:numPr>
              <w:spacing w:after="0" w:line="360" w:lineRule="auto"/>
              <w:ind w:left="0"/>
              <w:rPr>
                <w:lang w:eastAsia="en-GB"/>
              </w:rPr>
            </w:pPr>
            <w:r w:rsidRPr="005E39C4">
              <w:rPr>
                <w:rFonts w:eastAsia="Verdana" w:cs="Verdana"/>
                <w:color w:val="000000" w:themeColor="text1"/>
                <w:sz w:val="20"/>
                <w:szCs w:val="20"/>
                <w:lang w:eastAsia="en-GB"/>
              </w:rPr>
              <w:t>Sviluppo di microorganismi resistenti</w:t>
            </w:r>
          </w:p>
        </w:tc>
      </w:tr>
      <w:tr w:rsidR="00AB09ED" w:rsidTr="000A6C5C">
        <w:trPr>
          <w:jc w:val="center"/>
        </w:trPr>
        <w:tc>
          <w:tcPr>
            <w:tcW w:w="1781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AB09ED" w:rsidRPr="00955CB5" w:rsidRDefault="00AB09ED" w:rsidP="000A6C5C">
            <w:pPr>
              <w:pStyle w:val="TabletextrowsAgency"/>
              <w:spacing w:line="240" w:lineRule="auto"/>
              <w:rPr>
                <w:rFonts w:asciiTheme="minorHAnsi" w:hAnsiTheme="minorHAnsi"/>
                <w:sz w:val="20"/>
                <w:szCs w:val="20"/>
                <w:lang w:val="it-IT" w:eastAsia="en-GB"/>
              </w:rPr>
            </w:pPr>
            <w:r w:rsidRPr="00955CB5">
              <w:rPr>
                <w:rFonts w:asciiTheme="minorHAnsi" w:hAnsiTheme="minorHAnsi"/>
                <w:sz w:val="20"/>
                <w:szCs w:val="20"/>
                <w:lang w:val="it-IT" w:eastAsia="en-GB"/>
              </w:rPr>
              <w:t>Informazioni mancanti</w:t>
            </w:r>
          </w:p>
        </w:tc>
        <w:tc>
          <w:tcPr>
            <w:tcW w:w="321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CB5" w:rsidRPr="005E39C4" w:rsidRDefault="00955CB5" w:rsidP="005E39C4">
            <w:pPr>
              <w:pStyle w:val="DoctitleAgency"/>
              <w:widowControl w:val="0"/>
              <w:spacing w:before="0" w:line="360" w:lineRule="auto"/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  <w:lang w:val="it-IT"/>
              </w:rPr>
            </w:pPr>
            <w:r>
              <w:rPr>
                <w:rFonts w:asciiTheme="minorHAnsi" w:hAnsiTheme="minorHAnsi"/>
                <w:color w:val="000000" w:themeColor="text1"/>
                <w:sz w:val="20"/>
                <w:szCs w:val="20"/>
                <w:lang w:val="it-IT"/>
              </w:rPr>
              <w:t>Uso durante l</w:t>
            </w:r>
            <w:r w:rsidR="005E39C4">
              <w:rPr>
                <w:rFonts w:asciiTheme="minorHAnsi" w:hAnsiTheme="minorHAnsi"/>
                <w:color w:val="000000" w:themeColor="text1"/>
                <w:sz w:val="20"/>
                <w:szCs w:val="20"/>
                <w:lang w:val="it-IT"/>
              </w:rPr>
              <w:t>’allatta</w:t>
            </w:r>
            <w:r>
              <w:rPr>
                <w:rFonts w:asciiTheme="minorHAnsi" w:hAnsiTheme="minorHAnsi"/>
                <w:color w:val="000000" w:themeColor="text1"/>
                <w:sz w:val="20"/>
                <w:szCs w:val="20"/>
                <w:lang w:val="it-IT"/>
              </w:rPr>
              <w:t>mento</w:t>
            </w:r>
          </w:p>
          <w:p w:rsidR="00955CB5" w:rsidRPr="00955CB5" w:rsidRDefault="00955CB5" w:rsidP="005E39C4">
            <w:pPr>
              <w:spacing w:after="0" w:line="360" w:lineRule="auto"/>
              <w:rPr>
                <w:lang w:eastAsia="en-GB"/>
              </w:rPr>
            </w:pPr>
            <w:r>
              <w:rPr>
                <w:rFonts w:eastAsia="Verdana" w:cs="Verdana"/>
                <w:color w:val="000000" w:themeColor="text1"/>
                <w:sz w:val="20"/>
                <w:szCs w:val="20"/>
                <w:lang w:eastAsia="en-GB"/>
              </w:rPr>
              <w:t>Uso in bambini di età infe</w:t>
            </w:r>
            <w:r w:rsidRPr="00955CB5">
              <w:rPr>
                <w:rFonts w:eastAsia="Verdana" w:cs="Verdana"/>
                <w:color w:val="000000" w:themeColor="text1"/>
                <w:sz w:val="20"/>
                <w:szCs w:val="20"/>
                <w:lang w:eastAsia="en-GB"/>
              </w:rPr>
              <w:t>riore ad 1 anno</w:t>
            </w:r>
          </w:p>
        </w:tc>
      </w:tr>
    </w:tbl>
    <w:p w:rsidR="00AB09ED" w:rsidRDefault="00AB09ED" w:rsidP="00AB09ED">
      <w:pPr>
        <w:pStyle w:val="Paragrafoelenco"/>
        <w:spacing w:after="0" w:line="240" w:lineRule="auto"/>
        <w:ind w:left="0"/>
        <w:jc w:val="both"/>
      </w:pPr>
    </w:p>
    <w:p w:rsidR="00417C92" w:rsidRDefault="00417C92" w:rsidP="00417C92">
      <w:pPr>
        <w:pStyle w:val="Paragrafoelenco"/>
        <w:spacing w:after="0" w:line="240" w:lineRule="auto"/>
        <w:ind w:left="0"/>
        <w:jc w:val="both"/>
      </w:pPr>
      <w:r w:rsidRPr="009A2805">
        <w:t xml:space="preserve">Azioni routinarie di farmacovigilanza e di </w:t>
      </w:r>
      <w:r>
        <w:t>minimizzazione del rischio sono proposte per tutte le problematiche di sicurezza.</w:t>
      </w:r>
    </w:p>
    <w:p w:rsidR="00417C92" w:rsidRDefault="00417C92" w:rsidP="00417C92">
      <w:pPr>
        <w:pStyle w:val="Paragrafoelenco"/>
        <w:spacing w:after="0" w:line="240" w:lineRule="auto"/>
        <w:ind w:left="0"/>
        <w:jc w:val="both"/>
      </w:pPr>
      <w:r>
        <w:t>Oltre le misure previste nel Riassunto delle caratteristiche del prodotto non sono previste attività addizionali di minimizzazione del rischio</w:t>
      </w:r>
    </w:p>
    <w:p w:rsidR="00417C92" w:rsidRDefault="00417C92" w:rsidP="00417C92">
      <w:pPr>
        <w:pStyle w:val="Paragrafoelenco"/>
        <w:spacing w:after="0" w:line="240" w:lineRule="auto"/>
        <w:ind w:left="0"/>
        <w:jc w:val="both"/>
      </w:pPr>
    </w:p>
    <w:p w:rsidR="00417C92" w:rsidRPr="002E4DCB" w:rsidRDefault="00417C92" w:rsidP="00417C92">
      <w:pPr>
        <w:pStyle w:val="Paragrafoelenco"/>
        <w:spacing w:after="0" w:line="240" w:lineRule="auto"/>
        <w:ind w:left="0"/>
        <w:jc w:val="both"/>
        <w:rPr>
          <w:b/>
        </w:rPr>
      </w:pPr>
      <w:r w:rsidRPr="002E4DCB">
        <w:rPr>
          <w:b/>
        </w:rPr>
        <w:t>Conclusioni</w:t>
      </w:r>
    </w:p>
    <w:p w:rsidR="00417C92" w:rsidRDefault="00417C92" w:rsidP="00417C92">
      <w:pPr>
        <w:pStyle w:val="Paragrafoelenco"/>
        <w:spacing w:after="0" w:line="240" w:lineRule="auto"/>
        <w:ind w:left="0"/>
        <w:jc w:val="both"/>
      </w:pPr>
      <w:r>
        <w:t xml:space="preserve">Per la richiesta di AIC di </w:t>
      </w:r>
      <w:r w:rsidR="001B34EF">
        <w:t>Tobramicina Doc Generici</w:t>
      </w:r>
      <w:r>
        <w:t xml:space="preserve"> sono state presentate sufficienti informazioni cliniche.</w:t>
      </w:r>
    </w:p>
    <w:p w:rsidR="00417C92" w:rsidRDefault="00417C92" w:rsidP="00417C92">
      <w:pPr>
        <w:pStyle w:val="Paragrafoelenco"/>
        <w:spacing w:after="0" w:line="240" w:lineRule="auto"/>
        <w:ind w:left="0"/>
        <w:jc w:val="both"/>
      </w:pPr>
      <w:r>
        <w:t xml:space="preserve">Il rapporto beneficio/rischio di </w:t>
      </w:r>
      <w:r w:rsidR="001B34EF">
        <w:t>Tobramicina Doc Generici</w:t>
      </w:r>
      <w:r>
        <w:t xml:space="preserve"> è considerato favorevole dal punto di vista clinico.</w:t>
      </w:r>
    </w:p>
    <w:p w:rsidR="00417C92" w:rsidRDefault="00417C92" w:rsidP="00417C92">
      <w:pPr>
        <w:pStyle w:val="Paragrafoelenco"/>
        <w:spacing w:after="0" w:line="240" w:lineRule="auto"/>
        <w:ind w:left="0"/>
        <w:jc w:val="both"/>
      </w:pPr>
    </w:p>
    <w:p w:rsidR="00417C92" w:rsidRDefault="00417C92" w:rsidP="00417C92">
      <w:pPr>
        <w:pStyle w:val="Paragrafoelenco"/>
        <w:spacing w:after="0" w:line="240" w:lineRule="auto"/>
        <w:ind w:left="0"/>
        <w:jc w:val="both"/>
      </w:pPr>
    </w:p>
    <w:p w:rsidR="00417C92" w:rsidRPr="002E4DCB" w:rsidRDefault="00417C92" w:rsidP="00417C92">
      <w:pPr>
        <w:pStyle w:val="Paragrafoelenco"/>
        <w:numPr>
          <w:ilvl w:val="0"/>
          <w:numId w:val="5"/>
        </w:numPr>
        <w:spacing w:after="0" w:line="240" w:lineRule="auto"/>
        <w:jc w:val="both"/>
        <w:rPr>
          <w:b/>
        </w:rPr>
      </w:pPr>
      <w:r w:rsidRPr="002E4DCB">
        <w:rPr>
          <w:b/>
        </w:rPr>
        <w:t xml:space="preserve">CONSULTAZIONE </w:t>
      </w:r>
      <w:r>
        <w:rPr>
          <w:b/>
        </w:rPr>
        <w:t>SUL FOGLIO ILLUSTRATIVO</w:t>
      </w:r>
    </w:p>
    <w:p w:rsidR="00417C92" w:rsidRDefault="00417C92" w:rsidP="00417C92">
      <w:pPr>
        <w:spacing w:after="0" w:line="240" w:lineRule="auto"/>
        <w:jc w:val="both"/>
      </w:pPr>
      <w:r w:rsidRPr="00A327C0">
        <w:t>Il foglio illustrativo è stato sottoposto al test di leggibilità in accordo ai requisiti dell’art. 59(3) e 61(1) della direttiva 2001/83/EU s.m.i. i risultati del test hanno dimostrato che il foglio illustrativo corrisponde ai criteri imposti dalla linea guida sulla leggibilità di etichetta e foglio illustrativo dei medicinali per uso umano.</w:t>
      </w:r>
      <w:bookmarkStart w:id="1" w:name="_GoBack"/>
      <w:bookmarkEnd w:id="1"/>
    </w:p>
    <w:p w:rsidR="00417C92" w:rsidRDefault="00417C92" w:rsidP="00417C92">
      <w:pPr>
        <w:pStyle w:val="Paragrafoelenco"/>
        <w:spacing w:after="0" w:line="240" w:lineRule="auto"/>
        <w:ind w:left="0"/>
        <w:jc w:val="both"/>
      </w:pPr>
    </w:p>
    <w:p w:rsidR="00417C92" w:rsidRDefault="00417C92" w:rsidP="00417C92">
      <w:pPr>
        <w:spacing w:after="0" w:line="240" w:lineRule="auto"/>
        <w:jc w:val="both"/>
      </w:pPr>
    </w:p>
    <w:p w:rsidR="00417C92" w:rsidRPr="00BC23ED" w:rsidRDefault="00417C92" w:rsidP="00417C92">
      <w:pPr>
        <w:pStyle w:val="Paragrafoelenco"/>
        <w:numPr>
          <w:ilvl w:val="0"/>
          <w:numId w:val="5"/>
        </w:numPr>
        <w:spacing w:after="0" w:line="240" w:lineRule="auto"/>
        <w:jc w:val="both"/>
        <w:rPr>
          <w:b/>
        </w:rPr>
      </w:pPr>
      <w:r w:rsidRPr="00BC23ED">
        <w:rPr>
          <w:b/>
        </w:rPr>
        <w:t>CONCLUSIONI, VALUTAZIONE DEL RAPPORTO BENEFICIO/RISCHIO E RACCOMANDAZIONI</w:t>
      </w:r>
    </w:p>
    <w:p w:rsidR="00417C92" w:rsidRDefault="00417C92" w:rsidP="00417C92">
      <w:pPr>
        <w:spacing w:after="0" w:line="240" w:lineRule="auto"/>
        <w:jc w:val="both"/>
      </w:pPr>
      <w:r>
        <w:t xml:space="preserve">La qualità di </w:t>
      </w:r>
      <w:r w:rsidR="001B34EF">
        <w:t>Tobramicina Doc Generici</w:t>
      </w:r>
      <w:r>
        <w:t xml:space="preserve"> è accettabile e non sono state rilevate criticità da un punto di vista non clinico e clinico.</w:t>
      </w:r>
    </w:p>
    <w:p w:rsidR="00417C92" w:rsidRDefault="00417C92" w:rsidP="00417C92">
      <w:pPr>
        <w:spacing w:after="0" w:line="240" w:lineRule="auto"/>
        <w:jc w:val="both"/>
      </w:pPr>
      <w:r>
        <w:t>Il rapporto beneficio/rischio è considerato positivo.</w:t>
      </w:r>
    </w:p>
    <w:p w:rsidR="00417C92" w:rsidRDefault="00417C92" w:rsidP="00A976DE">
      <w:pPr>
        <w:jc w:val="both"/>
      </w:pPr>
      <w:r>
        <w:t xml:space="preserve">Il riassunto delle caratteristiche del prodotto, il foglio illustrativo e le etichette sono in linea con le correnti linee guida. Questi documenti possono essere consultati sul sito istituzionale di AIFA </w:t>
      </w:r>
      <w:r>
        <w:rPr>
          <w:rFonts w:eastAsia="Calibri" w:cs="Calibri"/>
          <w:lang w:eastAsia="it-IT"/>
        </w:rPr>
        <w:t>(</w:t>
      </w:r>
      <w:hyperlink r:id="rId9" w:history="1">
        <w:r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 w:rsidR="00A976DE">
        <w:t>)</w:t>
      </w:r>
      <w:r w:rsidR="000955DE">
        <w:t>.</w:t>
      </w:r>
    </w:p>
    <w:p w:rsidR="00417C92" w:rsidRDefault="00417C92"/>
    <w:sectPr w:rsidR="00417C92" w:rsidSect="00B3052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M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917DAC"/>
    <w:multiLevelType w:val="hybridMultilevel"/>
    <w:tmpl w:val="FDCAE3CC"/>
    <w:lvl w:ilvl="0" w:tplc="B748B9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1FD2C76"/>
    <w:multiLevelType w:val="hybridMultilevel"/>
    <w:tmpl w:val="ECAAF834"/>
    <w:lvl w:ilvl="0" w:tplc="4B4631A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43011A1"/>
    <w:multiLevelType w:val="hybridMultilevel"/>
    <w:tmpl w:val="1730E342"/>
    <w:lvl w:ilvl="0" w:tplc="C51686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0CE0453"/>
    <w:multiLevelType w:val="hybridMultilevel"/>
    <w:tmpl w:val="DE529676"/>
    <w:lvl w:ilvl="0" w:tplc="249E0C22">
      <w:numFmt w:val="bullet"/>
      <w:lvlText w:val="•"/>
      <w:lvlJc w:val="left"/>
      <w:pPr>
        <w:ind w:left="720" w:hanging="360"/>
      </w:pPr>
      <w:rPr>
        <w:rFonts w:ascii="Calibri" w:eastAsia="DejaVuSans" w:hAnsi="Calibri" w:cs="DejaVuSan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A891CF4"/>
    <w:multiLevelType w:val="hybridMultilevel"/>
    <w:tmpl w:val="8F2AE9FA"/>
    <w:lvl w:ilvl="0" w:tplc="FC389974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62FE7C06"/>
    <w:multiLevelType w:val="hybridMultilevel"/>
    <w:tmpl w:val="85B6FA4E"/>
    <w:lvl w:ilvl="0" w:tplc="B748B9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3A85560"/>
    <w:multiLevelType w:val="hybridMultilevel"/>
    <w:tmpl w:val="5D086884"/>
    <w:lvl w:ilvl="0" w:tplc="E9E81E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1"/>
  </w:num>
  <w:num w:numId="4">
    <w:abstractNumId w:val="2"/>
  </w:num>
  <w:num w:numId="5">
    <w:abstractNumId w:val="4"/>
  </w:num>
  <w:num w:numId="6">
    <w:abstractNumId w:val="5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4241AC"/>
    <w:rsid w:val="00013020"/>
    <w:rsid w:val="00037F9B"/>
    <w:rsid w:val="00042B96"/>
    <w:rsid w:val="00062636"/>
    <w:rsid w:val="00077016"/>
    <w:rsid w:val="000955DE"/>
    <w:rsid w:val="000A7147"/>
    <w:rsid w:val="000F1057"/>
    <w:rsid w:val="00106267"/>
    <w:rsid w:val="00111E9E"/>
    <w:rsid w:val="0011250C"/>
    <w:rsid w:val="00180C71"/>
    <w:rsid w:val="00183E1C"/>
    <w:rsid w:val="001B34EF"/>
    <w:rsid w:val="0023693E"/>
    <w:rsid w:val="00246D26"/>
    <w:rsid w:val="00257BC5"/>
    <w:rsid w:val="002A0377"/>
    <w:rsid w:val="002C0350"/>
    <w:rsid w:val="002C6D53"/>
    <w:rsid w:val="002E204C"/>
    <w:rsid w:val="002F223F"/>
    <w:rsid w:val="00336B62"/>
    <w:rsid w:val="00375CAA"/>
    <w:rsid w:val="003C1297"/>
    <w:rsid w:val="003D51BE"/>
    <w:rsid w:val="003F0212"/>
    <w:rsid w:val="003F270A"/>
    <w:rsid w:val="00417C92"/>
    <w:rsid w:val="004241AC"/>
    <w:rsid w:val="00452364"/>
    <w:rsid w:val="00465F70"/>
    <w:rsid w:val="004A1685"/>
    <w:rsid w:val="004B20A8"/>
    <w:rsid w:val="004C761F"/>
    <w:rsid w:val="0052278D"/>
    <w:rsid w:val="00567530"/>
    <w:rsid w:val="00580D86"/>
    <w:rsid w:val="005D152C"/>
    <w:rsid w:val="005E39C4"/>
    <w:rsid w:val="005F6F6F"/>
    <w:rsid w:val="006737C1"/>
    <w:rsid w:val="00702312"/>
    <w:rsid w:val="00765464"/>
    <w:rsid w:val="008068A5"/>
    <w:rsid w:val="00821DCD"/>
    <w:rsid w:val="00823C7F"/>
    <w:rsid w:val="00874733"/>
    <w:rsid w:val="00894CF1"/>
    <w:rsid w:val="008F006E"/>
    <w:rsid w:val="008F6138"/>
    <w:rsid w:val="00910137"/>
    <w:rsid w:val="0093186E"/>
    <w:rsid w:val="00950FE0"/>
    <w:rsid w:val="00955CB5"/>
    <w:rsid w:val="00970F45"/>
    <w:rsid w:val="009A260F"/>
    <w:rsid w:val="009B03DB"/>
    <w:rsid w:val="009F2874"/>
    <w:rsid w:val="00A00CAB"/>
    <w:rsid w:val="00A03E52"/>
    <w:rsid w:val="00A05212"/>
    <w:rsid w:val="00A1005E"/>
    <w:rsid w:val="00A327C0"/>
    <w:rsid w:val="00A32D65"/>
    <w:rsid w:val="00A40FF3"/>
    <w:rsid w:val="00A976DE"/>
    <w:rsid w:val="00AA58C6"/>
    <w:rsid w:val="00AB09ED"/>
    <w:rsid w:val="00B35507"/>
    <w:rsid w:val="00B97317"/>
    <w:rsid w:val="00BA43B9"/>
    <w:rsid w:val="00BA7D67"/>
    <w:rsid w:val="00BC74C2"/>
    <w:rsid w:val="00BD3508"/>
    <w:rsid w:val="00BD35A9"/>
    <w:rsid w:val="00BF1041"/>
    <w:rsid w:val="00C040DB"/>
    <w:rsid w:val="00C32A17"/>
    <w:rsid w:val="00C46FEB"/>
    <w:rsid w:val="00C953FF"/>
    <w:rsid w:val="00CB713D"/>
    <w:rsid w:val="00CC677B"/>
    <w:rsid w:val="00CC7AFF"/>
    <w:rsid w:val="00D0448B"/>
    <w:rsid w:val="00D20170"/>
    <w:rsid w:val="00D23ADB"/>
    <w:rsid w:val="00D578E3"/>
    <w:rsid w:val="00D61114"/>
    <w:rsid w:val="00DB10B2"/>
    <w:rsid w:val="00DC3FBC"/>
    <w:rsid w:val="00DE4E62"/>
    <w:rsid w:val="00DE6FC2"/>
    <w:rsid w:val="00DF4C50"/>
    <w:rsid w:val="00E22875"/>
    <w:rsid w:val="00E3743F"/>
    <w:rsid w:val="00E43089"/>
    <w:rsid w:val="00E80C9F"/>
    <w:rsid w:val="00E83F8D"/>
    <w:rsid w:val="00E87FD2"/>
    <w:rsid w:val="00EC7C6D"/>
    <w:rsid w:val="00ED175B"/>
    <w:rsid w:val="00ED641F"/>
    <w:rsid w:val="00EF062E"/>
    <w:rsid w:val="00F33944"/>
    <w:rsid w:val="00F62DEB"/>
    <w:rsid w:val="00F66767"/>
    <w:rsid w:val="00FA2702"/>
    <w:rsid w:val="00FB053D"/>
    <w:rsid w:val="00FD05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241AC"/>
  </w:style>
  <w:style w:type="paragraph" w:styleId="Titolo1">
    <w:name w:val="heading 1"/>
    <w:basedOn w:val="Normale"/>
    <w:link w:val="Titolo1Carattere"/>
    <w:uiPriority w:val="9"/>
    <w:qFormat/>
    <w:rsid w:val="00417C9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241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241AC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452364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F33944"/>
    <w:rPr>
      <w:color w:val="0000FF" w:themeColor="hyperlink"/>
      <w:u w:val="singl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417C92"/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character" w:customStyle="1" w:styleId="s1">
    <w:name w:val="s1"/>
    <w:basedOn w:val="Carpredefinitoparagrafo"/>
    <w:rsid w:val="00417C92"/>
    <w:rPr>
      <w:rFonts w:ascii="Arial" w:hAnsi="Arial" w:cs="Arial" w:hint="default"/>
    </w:rPr>
  </w:style>
  <w:style w:type="paragraph" w:styleId="Rientrocorpodeltesto3">
    <w:name w:val="Body Text Indent 3"/>
    <w:basedOn w:val="Normale"/>
    <w:link w:val="Rientrocorpodeltesto3Carattere"/>
    <w:rsid w:val="00417C92"/>
    <w:pPr>
      <w:tabs>
        <w:tab w:val="left" w:pos="720"/>
        <w:tab w:val="left" w:pos="1418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after="0" w:line="240" w:lineRule="atLeast"/>
      <w:ind w:left="1418" w:hanging="720"/>
      <w:jc w:val="both"/>
    </w:pPr>
    <w:rPr>
      <w:rFonts w:ascii="Arial" w:eastAsia="Times New Roman" w:hAnsi="Arial" w:cs="Times New Roman"/>
      <w:szCs w:val="20"/>
      <w:lang w:eastAsia="it-IT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rsid w:val="00417C92"/>
    <w:rPr>
      <w:rFonts w:ascii="Arial" w:eastAsia="Times New Roman" w:hAnsi="Arial" w:cs="Times New Roman"/>
      <w:szCs w:val="20"/>
      <w:lang w:eastAsia="it-IT"/>
    </w:rPr>
  </w:style>
  <w:style w:type="paragraph" w:customStyle="1" w:styleId="TabletextrowsAgency">
    <w:name w:val="Table text rows (Agency)"/>
    <w:basedOn w:val="Normale"/>
    <w:semiHidden/>
    <w:rsid w:val="00B35507"/>
    <w:pPr>
      <w:spacing w:after="0" w:line="280" w:lineRule="exact"/>
    </w:pPr>
    <w:rPr>
      <w:rFonts w:ascii="Verdana" w:eastAsia="Times New Roman" w:hAnsi="Verdana" w:cs="Verdana"/>
      <w:sz w:val="18"/>
      <w:szCs w:val="18"/>
      <w:lang w:val="en-GB" w:eastAsia="zh-CN"/>
    </w:rPr>
  </w:style>
  <w:style w:type="paragraph" w:customStyle="1" w:styleId="DoctitleAgency">
    <w:name w:val="Doc title (Agency)"/>
    <w:basedOn w:val="Normale"/>
    <w:next w:val="Normale"/>
    <w:qFormat/>
    <w:rsid w:val="00AB09ED"/>
    <w:pPr>
      <w:spacing w:before="720" w:after="0" w:line="360" w:lineRule="atLeast"/>
    </w:pPr>
    <w:rPr>
      <w:rFonts w:ascii="Verdana" w:eastAsia="Verdana" w:hAnsi="Verdana" w:cs="Verdana"/>
      <w:color w:val="003399"/>
      <w:sz w:val="32"/>
      <w:szCs w:val="32"/>
      <w:lang w:val="en-GB" w:eastAsia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327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0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62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armaci.agenziafarmaco.gov.it/bancadatifarmaci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farmaci.agenziafarmaco.gov.it/bancadatifarmaci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emf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farmaci.agenziafarmaco.gov.it/bancadatifarmaci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1</Pages>
  <Words>2296</Words>
  <Characters>13088</Characters>
  <Application>Microsoft Office Word</Application>
  <DocSecurity>0</DocSecurity>
  <Lines>109</Lines>
  <Paragraphs>30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dellutri</dc:creator>
  <cp:lastModifiedBy>dellutri</cp:lastModifiedBy>
  <cp:revision>53</cp:revision>
  <dcterms:created xsi:type="dcterms:W3CDTF">2015-06-09T14:48:00Z</dcterms:created>
  <dcterms:modified xsi:type="dcterms:W3CDTF">2015-09-29T09:25:00Z</dcterms:modified>
</cp:coreProperties>
</file>