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81926" w:rsidRDefault="0008192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E3CB4" w:rsidRDefault="00056F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TRIOREG</w:t>
      </w:r>
    </w:p>
    <w:p w:rsidR="004241AC" w:rsidRPr="003E3CB4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E3CB4">
        <w:rPr>
          <w:snapToGrid w:val="0"/>
        </w:rPr>
        <w:t xml:space="preserve"> (</w:t>
      </w:r>
      <w:r w:rsidR="003E3CB4" w:rsidRPr="003E3CB4">
        <w:t xml:space="preserve">Esteri etilici di acidi grassi </w:t>
      </w:r>
      <w:proofErr w:type="spellStart"/>
      <w:r w:rsidR="003E3CB4" w:rsidRPr="003E3CB4">
        <w:t>poliinsaturi</w:t>
      </w:r>
      <w:proofErr w:type="spellEnd"/>
      <w:r w:rsidR="003E3CB4" w:rsidRPr="003E3CB4">
        <w:t xml:space="preserve">  omega 3</w:t>
      </w:r>
      <w:r w:rsidRPr="003E3CB4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56FF8" w:rsidRPr="003E3CB4" w:rsidRDefault="00056F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E3CB4" w:rsidRDefault="00056F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Alfa Wassermann</w:t>
      </w:r>
    </w:p>
    <w:p w:rsidR="004241AC" w:rsidRPr="003E3CB4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E3CB4" w:rsidRPr="003E3CB4" w:rsidRDefault="003E3CB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E3CB4" w:rsidRDefault="004241AC" w:rsidP="004241AC">
      <w:pPr>
        <w:spacing w:after="0" w:line="240" w:lineRule="auto"/>
        <w:jc w:val="center"/>
        <w:rPr>
          <w:b/>
        </w:rPr>
      </w:pPr>
      <w:r w:rsidRPr="003E3CB4">
        <w:rPr>
          <w:b/>
        </w:rPr>
        <w:t xml:space="preserve">Numero di AIC: </w:t>
      </w:r>
      <w:r w:rsidR="003E3CB4">
        <w:rPr>
          <w:rFonts w:cs="Helvetica"/>
          <w:b/>
        </w:rPr>
        <w:t>04263</w:t>
      </w:r>
      <w:r w:rsidR="00056FF8">
        <w:rPr>
          <w:rFonts w:cs="Helvetica"/>
          <w:b/>
        </w:rPr>
        <w:t>8</w:t>
      </w:r>
    </w:p>
    <w:p w:rsidR="004241AC" w:rsidRPr="003E3CB4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Pr="003E3CB4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E3CB4">
        <w:rPr>
          <w:rFonts w:eastAsia="Calibri" w:cs="Calibri"/>
          <w:color w:val="000000"/>
          <w:lang w:eastAsia="it-IT"/>
        </w:rPr>
        <w:t xml:space="preserve">Questa è la sintesi del </w:t>
      </w:r>
      <w:r w:rsidRPr="003E3CB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3E3CB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3E3CB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056FF8">
        <w:rPr>
          <w:rFonts w:eastAsia="Calibri" w:cs="Calibri"/>
          <w:color w:val="000000"/>
          <w:lang w:eastAsia="it-IT"/>
        </w:rPr>
        <w:t>Trioreg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56FF8">
        <w:rPr>
          <w:rFonts w:eastAsia="Calibri" w:cs="Calibri"/>
          <w:color w:val="000000"/>
          <w:lang w:eastAsia="it-IT"/>
        </w:rPr>
        <w:t>Trioreg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</w:t>
      </w:r>
      <w:r w:rsidRPr="00A46771">
        <w:rPr>
          <w:rFonts w:eastAsia="Calibri" w:cs="Calibri"/>
          <w:color w:val="000000"/>
          <w:lang w:eastAsia="it-IT"/>
        </w:rPr>
        <w:t xml:space="preserve">pratici su come utilizzare </w:t>
      </w:r>
      <w:proofErr w:type="spellStart"/>
      <w:r w:rsidR="00056FF8">
        <w:rPr>
          <w:rFonts w:eastAsia="Calibri" w:cs="Calibri"/>
          <w:color w:val="000000"/>
          <w:lang w:eastAsia="it-IT"/>
        </w:rPr>
        <w:t>Trioreg</w:t>
      </w:r>
      <w:proofErr w:type="spellEnd"/>
      <w:r w:rsidRPr="00A46771">
        <w:rPr>
          <w:rFonts w:eastAsia="Calibri" w:cs="Calibri"/>
          <w:bCs/>
          <w:color w:val="000000"/>
          <w:lang w:eastAsia="it-IT"/>
        </w:rPr>
        <w:t>.</w:t>
      </w: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color w:val="000000"/>
          <w:lang w:eastAsia="it-IT"/>
        </w:rPr>
        <w:t>Per informazioni pratiche sull'utilizzo di</w:t>
      </w:r>
      <w:r w:rsidRPr="00A4677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56FF8">
        <w:rPr>
          <w:rFonts w:eastAsia="Calibri" w:cs="Calibri"/>
          <w:color w:val="000000"/>
          <w:lang w:eastAsia="it-IT"/>
        </w:rPr>
        <w:t>Trioreg</w:t>
      </w:r>
      <w:proofErr w:type="spellEnd"/>
      <w:r w:rsidR="00062636" w:rsidRPr="00A46771">
        <w:rPr>
          <w:rFonts w:eastAsia="Calibri" w:cs="Calibri"/>
          <w:color w:val="000000"/>
          <w:lang w:eastAsia="it-IT"/>
        </w:rPr>
        <w:t xml:space="preserve"> </w:t>
      </w:r>
      <w:r w:rsidRPr="00A46771">
        <w:rPr>
          <w:rFonts w:eastAsia="Calibri" w:cs="Calibri"/>
          <w:color w:val="000000"/>
          <w:lang w:eastAsia="it-IT"/>
        </w:rPr>
        <w:t xml:space="preserve">i pazienti devono consultare il foglio illustrativo o contattare </w:t>
      </w:r>
      <w:r w:rsidRPr="00CB2666">
        <w:rPr>
          <w:rFonts w:eastAsia="Calibri" w:cs="Calibri"/>
          <w:color w:val="000000"/>
          <w:lang w:eastAsia="it-IT"/>
        </w:rPr>
        <w:t>il loro medico</w:t>
      </w:r>
      <w:r w:rsidR="00081A1C" w:rsidRPr="00CB2666">
        <w:rPr>
          <w:rFonts w:eastAsia="Calibri" w:cs="Calibri"/>
          <w:color w:val="000000"/>
          <w:lang w:eastAsia="it-IT"/>
        </w:rPr>
        <w:t xml:space="preserve"> o il farmacista</w:t>
      </w:r>
      <w:r w:rsidRPr="00CB2666">
        <w:rPr>
          <w:rFonts w:eastAsia="Calibri" w:cs="Calibri"/>
          <w:color w:val="000000"/>
          <w:lang w:eastAsia="it-IT"/>
        </w:rPr>
        <w:t xml:space="preserve">. </w:t>
      </w: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266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56FF8">
        <w:rPr>
          <w:rFonts w:eastAsia="Calibri" w:cs="Calibri"/>
          <w:b/>
          <w:bCs/>
          <w:color w:val="000000"/>
          <w:lang w:eastAsia="it-IT"/>
        </w:rPr>
        <w:t>Trioreg</w:t>
      </w:r>
      <w:proofErr w:type="spellEnd"/>
      <w:r w:rsidR="00E83F8D" w:rsidRPr="00CB266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2666">
        <w:rPr>
          <w:rFonts w:eastAsia="Calibri" w:cs="Calibri"/>
          <w:b/>
          <w:bCs/>
          <w:color w:val="000000"/>
          <w:lang w:eastAsia="it-IT"/>
        </w:rPr>
        <w:t xml:space="preserve">e </w:t>
      </w:r>
      <w:r w:rsidR="003E3CB4" w:rsidRPr="00CB2666">
        <w:rPr>
          <w:rFonts w:eastAsia="Calibri" w:cs="Calibri"/>
          <w:b/>
          <w:bCs/>
          <w:color w:val="000000"/>
          <w:lang w:eastAsia="it-IT"/>
        </w:rPr>
        <w:t>A COSA SERVE</w:t>
      </w:r>
      <w:r w:rsidRPr="00CB266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CB2666" w:rsidRDefault="00056FF8" w:rsidP="00CB266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Trioreg</w:t>
      </w:r>
      <w:proofErr w:type="spellEnd"/>
      <w:r w:rsidR="00E83F8D" w:rsidRPr="00CB266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CB2666">
        <w:rPr>
          <w:rFonts w:eastAsia="Calibri" w:cs="Calibri"/>
          <w:color w:val="000000"/>
          <w:lang w:eastAsia="it-IT"/>
        </w:rPr>
        <w:t xml:space="preserve">è un medicinale contenente </w:t>
      </w:r>
      <w:r w:rsidR="003E3CB4" w:rsidRPr="00CB2666">
        <w:rPr>
          <w:rFonts w:eastAsia="Calibri" w:cs="Calibri"/>
          <w:color w:val="000000"/>
          <w:lang w:eastAsia="it-IT"/>
        </w:rPr>
        <w:t>come</w:t>
      </w:r>
      <w:r w:rsidR="004241AC" w:rsidRPr="00CB2666">
        <w:rPr>
          <w:rFonts w:eastAsia="Calibri" w:cs="Calibri"/>
          <w:color w:val="000000"/>
          <w:lang w:eastAsia="it-IT"/>
        </w:rPr>
        <w:t xml:space="preserve"> principi</w:t>
      </w:r>
      <w:r w:rsidR="00081A1C" w:rsidRPr="00CB2666">
        <w:rPr>
          <w:rFonts w:eastAsia="Calibri" w:cs="Calibri"/>
          <w:color w:val="000000"/>
          <w:lang w:eastAsia="it-IT"/>
        </w:rPr>
        <w:t>o</w:t>
      </w:r>
      <w:r w:rsidR="004241AC" w:rsidRPr="00CB2666">
        <w:rPr>
          <w:rFonts w:eastAsia="Calibri" w:cs="Calibri"/>
          <w:color w:val="000000"/>
          <w:lang w:eastAsia="it-IT"/>
        </w:rPr>
        <w:t xml:space="preserve"> attiv</w:t>
      </w:r>
      <w:r w:rsidR="00081A1C" w:rsidRPr="00CB2666">
        <w:rPr>
          <w:rFonts w:eastAsia="Calibri" w:cs="Calibri"/>
          <w:color w:val="000000"/>
          <w:lang w:eastAsia="it-IT"/>
        </w:rPr>
        <w:t>o</w:t>
      </w:r>
      <w:r w:rsidR="003E3CB4" w:rsidRPr="00CB2666">
        <w:rPr>
          <w:rFonts w:eastAsia="Calibri" w:cs="Calibri"/>
          <w:color w:val="000000"/>
          <w:lang w:eastAsia="it-IT"/>
        </w:rPr>
        <w:t xml:space="preserve"> una miscela di</w:t>
      </w:r>
      <w:r w:rsidR="00081A1C" w:rsidRPr="00CB2666">
        <w:rPr>
          <w:rFonts w:eastAsia="Calibri" w:cs="Calibri"/>
          <w:color w:val="000000"/>
          <w:lang w:eastAsia="it-IT"/>
        </w:rPr>
        <w:t xml:space="preserve"> </w:t>
      </w:r>
      <w:r w:rsidR="003E3CB4" w:rsidRPr="00CB2666">
        <w:rPr>
          <w:rFonts w:eastAsia="Calibri" w:cs="Calibri"/>
          <w:color w:val="000000"/>
          <w:lang w:eastAsia="it-IT"/>
        </w:rPr>
        <w:t>e</w:t>
      </w:r>
      <w:r w:rsidR="003E3CB4" w:rsidRPr="00CB2666">
        <w:t xml:space="preserve">steri etilici di acidi grassi </w:t>
      </w:r>
      <w:proofErr w:type="spellStart"/>
      <w:r w:rsidR="003E3CB4" w:rsidRPr="00CB2666">
        <w:t>poliinsaturi</w:t>
      </w:r>
      <w:proofErr w:type="spellEnd"/>
      <w:r w:rsidR="003E3CB4" w:rsidRPr="00CB2666">
        <w:t xml:space="preserve"> (omega 3) </w:t>
      </w:r>
      <w:r w:rsidR="000E0632" w:rsidRPr="00CB2666">
        <w:rPr>
          <w:rFonts w:eastAsia="Calibri" w:cs="Calibri"/>
          <w:color w:val="000000"/>
          <w:lang w:eastAsia="it-IT"/>
        </w:rPr>
        <w:t xml:space="preserve">ed </w:t>
      </w:r>
      <w:r w:rsidR="00A46771" w:rsidRPr="00CB2666">
        <w:rPr>
          <w:rFonts w:eastAsia="Calibri" w:cs="Calibri"/>
          <w:color w:val="000000"/>
          <w:lang w:eastAsia="it-IT"/>
        </w:rPr>
        <w:t xml:space="preserve">è disponibile come </w:t>
      </w:r>
      <w:r w:rsidR="003E3CB4" w:rsidRPr="00CB2666">
        <w:rPr>
          <w:rFonts w:eastAsia="Calibri" w:cs="Calibri"/>
          <w:color w:val="000000"/>
          <w:lang w:eastAsia="it-IT"/>
        </w:rPr>
        <w:t>capsule molli contenenti 1000 mg di principio attivo.</w:t>
      </w:r>
    </w:p>
    <w:p w:rsidR="003E3CB4" w:rsidRPr="00CB2666" w:rsidRDefault="00056FF8" w:rsidP="00CB266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Trioreg</w:t>
      </w:r>
      <w:proofErr w:type="spellEnd"/>
      <w:r w:rsidR="003E3CB4" w:rsidRPr="00CB2666">
        <w:rPr>
          <w:rFonts w:eastAsia="Calibri" w:cs="Calibri"/>
          <w:color w:val="000000"/>
          <w:lang w:eastAsia="it-IT"/>
        </w:rPr>
        <w:t xml:space="preserve">  è un “medicinale generico”, cioè è analogo ad un “medicinale di riferimento”, </w:t>
      </w:r>
      <w:proofErr w:type="spellStart"/>
      <w:r w:rsidR="003E3CB4" w:rsidRPr="00CB2666">
        <w:rPr>
          <w:rFonts w:eastAsia="Calibri" w:cs="Calibri"/>
          <w:color w:val="000000"/>
          <w:lang w:eastAsia="it-IT"/>
        </w:rPr>
        <w:t>Seacor</w:t>
      </w:r>
      <w:proofErr w:type="spellEnd"/>
      <w:r w:rsidR="003E3CB4" w:rsidRPr="00CB2666">
        <w:rPr>
          <w:rFonts w:eastAsia="Calibri" w:cs="Calibri"/>
          <w:color w:val="000000"/>
          <w:lang w:eastAsia="it-IT"/>
        </w:rPr>
        <w:t>, già autorizzato in Italia.</w:t>
      </w:r>
    </w:p>
    <w:p w:rsidR="00CB2666" w:rsidRPr="00CB2666" w:rsidRDefault="00056FF8" w:rsidP="00CB2666">
      <w:pPr>
        <w:spacing w:after="0" w:line="240" w:lineRule="auto"/>
        <w:jc w:val="both"/>
      </w:pPr>
      <w:r>
        <w:t>TRIOREG</w:t>
      </w:r>
      <w:r w:rsidR="00CB2666" w:rsidRPr="00CB2666">
        <w:t xml:space="preserve"> è impiegato:</w:t>
      </w:r>
    </w:p>
    <w:p w:rsidR="00CB2666" w:rsidRPr="00CB2666" w:rsidRDefault="00CB2666" w:rsidP="00CB2666">
      <w:pPr>
        <w:numPr>
          <w:ilvl w:val="1"/>
          <w:numId w:val="6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</w:pPr>
      <w:r w:rsidRPr="00CB2666">
        <w:t>insieme ad altre misure terapeutiche, quando appropriate, per il trattamento dopo un attacco cardiaco;</w:t>
      </w:r>
    </w:p>
    <w:p w:rsidR="00CB2666" w:rsidRPr="00CB2666" w:rsidRDefault="00CB2666" w:rsidP="00CB2666">
      <w:pPr>
        <w:numPr>
          <w:ilvl w:val="1"/>
          <w:numId w:val="6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</w:pPr>
      <w:r w:rsidRPr="00CB2666">
        <w:t>per il trattamento di alcune forme di aumento dei grassi nel sangue (</w:t>
      </w:r>
      <w:proofErr w:type="spellStart"/>
      <w:r w:rsidRPr="00CB2666">
        <w:t>ipertrigliceridemia</w:t>
      </w:r>
      <w:proofErr w:type="spellEnd"/>
      <w:r w:rsidRPr="00CB2666">
        <w:t xml:space="preserve"> endogena) dopo che il solo cambiamento della dieta ed altre misure non farmacologiche da sole (per esempio attività fisica), non hanno prodotto risultati.</w:t>
      </w:r>
    </w:p>
    <w:p w:rsidR="00CB2666" w:rsidRPr="00CB2666" w:rsidRDefault="00CB2666" w:rsidP="00CB2666">
      <w:pPr>
        <w:numPr>
          <w:ilvl w:val="12"/>
          <w:numId w:val="0"/>
        </w:numPr>
        <w:spacing w:after="0" w:line="240" w:lineRule="auto"/>
        <w:jc w:val="both"/>
        <w:rPr>
          <w:noProof/>
        </w:rPr>
      </w:pPr>
    </w:p>
    <w:p w:rsidR="00E83F8D" w:rsidRPr="00CB2666" w:rsidRDefault="00E83F8D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CB2666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266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056FF8">
        <w:rPr>
          <w:rFonts w:eastAsia="Calibri" w:cs="Calibri"/>
          <w:b/>
          <w:bCs/>
          <w:color w:val="000000"/>
          <w:lang w:eastAsia="it-IT"/>
        </w:rPr>
        <w:t>Trioreg</w:t>
      </w:r>
      <w:proofErr w:type="spellEnd"/>
      <w:r w:rsidRPr="00CB2666">
        <w:rPr>
          <w:rFonts w:eastAsia="Calibri" w:cs="Calibri"/>
          <w:b/>
          <w:bCs/>
          <w:color w:val="000000"/>
          <w:lang w:eastAsia="it-IT"/>
        </w:rPr>
        <w:t>?</w:t>
      </w:r>
    </w:p>
    <w:p w:rsidR="003E3CB4" w:rsidRPr="00CB2666" w:rsidRDefault="00056FF8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Trioreg</w:t>
      </w:r>
      <w:proofErr w:type="spellEnd"/>
      <w:r w:rsidR="00A46771" w:rsidRPr="00CB2666">
        <w:rPr>
          <w:rFonts w:eastAsia="Calibri" w:cs="Calibri"/>
          <w:color w:val="000000"/>
          <w:lang w:eastAsia="it-IT"/>
        </w:rPr>
        <w:t xml:space="preserve"> </w:t>
      </w:r>
      <w:r w:rsidR="003E3CB4" w:rsidRPr="00CB2666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081926" w:rsidRPr="009C14B8" w:rsidRDefault="00081926" w:rsidP="00081926">
      <w:pPr>
        <w:pStyle w:val="Corpodeltesto3"/>
        <w:tabs>
          <w:tab w:val="clear" w:pos="0"/>
          <w:tab w:val="left" w:pos="284"/>
        </w:tabs>
        <w:rPr>
          <w:rFonts w:asciiTheme="minorHAnsi" w:hAnsiTheme="minorHAnsi"/>
          <w:sz w:val="22"/>
          <w:szCs w:val="22"/>
        </w:rPr>
      </w:pPr>
      <w:r w:rsidRPr="00CB2666">
        <w:rPr>
          <w:rFonts w:asciiTheme="minorHAnsi" w:hAnsiTheme="minorHAnsi"/>
          <w:sz w:val="22"/>
          <w:szCs w:val="22"/>
        </w:rPr>
        <w:t xml:space="preserve">La dose raccomandata giornaliera varia da una a tre capsule a seconda </w:t>
      </w:r>
      <w:r>
        <w:rPr>
          <w:rFonts w:asciiTheme="minorHAnsi" w:hAnsiTheme="minorHAnsi"/>
          <w:sz w:val="22"/>
          <w:szCs w:val="22"/>
        </w:rPr>
        <w:t>dell</w:t>
      </w:r>
      <w:r w:rsidR="005A1D15">
        <w:rPr>
          <w:rFonts w:asciiTheme="minorHAnsi" w:hAnsiTheme="minorHAnsi"/>
          <w:sz w:val="22"/>
          <w:szCs w:val="22"/>
        </w:rPr>
        <w:t>’</w:t>
      </w:r>
      <w:r>
        <w:rPr>
          <w:rFonts w:asciiTheme="minorHAnsi" w:hAnsiTheme="minorHAnsi"/>
          <w:sz w:val="22"/>
          <w:szCs w:val="22"/>
        </w:rPr>
        <w:t>indicazion</w:t>
      </w:r>
      <w:r w:rsidR="005A1D15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terapeutic</w:t>
      </w:r>
      <w:r w:rsidR="005A1D15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per </w:t>
      </w:r>
      <w:r w:rsidR="005A1D15">
        <w:rPr>
          <w:rFonts w:asciiTheme="minorHAnsi" w:hAnsiTheme="minorHAnsi"/>
          <w:sz w:val="22"/>
          <w:szCs w:val="22"/>
        </w:rPr>
        <w:t>la</w:t>
      </w:r>
      <w:r>
        <w:rPr>
          <w:rFonts w:asciiTheme="minorHAnsi" w:hAnsiTheme="minorHAnsi"/>
          <w:sz w:val="22"/>
          <w:szCs w:val="22"/>
        </w:rPr>
        <w:t xml:space="preserve"> </w:t>
      </w:r>
      <w:r w:rsidRPr="009C14B8">
        <w:rPr>
          <w:rFonts w:asciiTheme="minorHAnsi" w:hAnsiTheme="minorHAnsi"/>
          <w:sz w:val="22"/>
          <w:szCs w:val="22"/>
        </w:rPr>
        <w:t>quale il medicinale è prescritto.</w:t>
      </w:r>
    </w:p>
    <w:p w:rsidR="004241AC" w:rsidRPr="009C14B8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9C14B8" w:rsidRDefault="00592D32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9C14B8" w:rsidRDefault="004241AC" w:rsidP="00CB26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C14B8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056FF8" w:rsidRPr="009C14B8">
        <w:rPr>
          <w:rFonts w:eastAsia="Calibri" w:cs="Calibri"/>
          <w:b/>
          <w:bCs/>
          <w:color w:val="000000"/>
          <w:lang w:eastAsia="it-IT"/>
        </w:rPr>
        <w:t>Trioreg</w:t>
      </w:r>
      <w:proofErr w:type="spellEnd"/>
      <w:r w:rsidRPr="009C14B8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C14B8" w:rsidRPr="009C14B8" w:rsidRDefault="00056FF8" w:rsidP="009C14B8">
      <w:pPr>
        <w:spacing w:after="0" w:line="240" w:lineRule="auto"/>
        <w:jc w:val="both"/>
      </w:pPr>
      <w:proofErr w:type="spellStart"/>
      <w:r w:rsidRPr="009C14B8">
        <w:rPr>
          <w:rFonts w:eastAsia="Calibri" w:cs="Calibri"/>
          <w:bCs/>
          <w:color w:val="000000"/>
          <w:lang w:eastAsia="it-IT"/>
        </w:rPr>
        <w:t>Trioreg</w:t>
      </w:r>
      <w:proofErr w:type="spellEnd"/>
      <w:r w:rsidR="00A46771" w:rsidRPr="009C14B8">
        <w:rPr>
          <w:rFonts w:eastAsia="Calibri" w:cs="Calibri"/>
          <w:bCs/>
          <w:color w:val="000000"/>
          <w:lang w:eastAsia="it-IT"/>
        </w:rPr>
        <w:t>,</w:t>
      </w:r>
      <w:r w:rsidR="00813720" w:rsidRPr="009C14B8">
        <w:rPr>
          <w:rFonts w:eastAsia="DejaVuSans" w:cs="DejaVuSans"/>
        </w:rPr>
        <w:t xml:space="preserve"> </w:t>
      </w:r>
      <w:r w:rsidR="00CB2666" w:rsidRPr="009C14B8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CB2666" w:rsidRPr="009C14B8">
        <w:rPr>
          <w:rFonts w:eastAsia="Calibri" w:cs="Times New Roman"/>
        </w:rPr>
        <w:t>C10AX06</w:t>
      </w:r>
      <w:r w:rsidR="00CB2666" w:rsidRPr="009C14B8">
        <w:t>,</w:t>
      </w:r>
      <w:r w:rsidR="00CB2666" w:rsidRPr="009C14B8">
        <w:rPr>
          <w:rFonts w:eastAsia="DejaVuSans" w:cs="DejaVuSans"/>
        </w:rPr>
        <w:t xml:space="preserve"> </w:t>
      </w:r>
      <w:r w:rsidR="009C14B8" w:rsidRPr="009C14B8">
        <w:rPr>
          <w:rFonts w:eastAsia="Calibri" w:cs="Calibri"/>
          <w:color w:val="000000"/>
          <w:lang w:eastAsia="it-IT"/>
        </w:rPr>
        <w:t>contiene come principio attivo una miscela di e</w:t>
      </w:r>
      <w:r w:rsidR="009C14B8" w:rsidRPr="009C14B8">
        <w:rPr>
          <w:rFonts w:eastAsia="Calibri" w:cs="Times New Roman"/>
        </w:rPr>
        <w:t xml:space="preserve">steri etilici di acidi grassi </w:t>
      </w:r>
      <w:r w:rsidR="009C14B8" w:rsidRPr="009C14B8">
        <w:t>polinsaturi</w:t>
      </w:r>
      <w:r w:rsidR="009C14B8" w:rsidRPr="009C14B8">
        <w:rPr>
          <w:rFonts w:eastAsia="Calibri" w:cs="Times New Roman"/>
        </w:rPr>
        <w:t xml:space="preserve"> </w:t>
      </w:r>
      <w:r w:rsidR="009C14B8" w:rsidRPr="009C14B8">
        <w:t xml:space="preserve">(omega 3). Questi acidi grassi vengono incorporati nelle </w:t>
      </w:r>
      <w:r w:rsidR="009C14B8" w:rsidRPr="009C14B8">
        <w:rPr>
          <w:rFonts w:eastAsia="Calibri" w:cs="Times New Roman"/>
        </w:rPr>
        <w:t>membran</w:t>
      </w:r>
      <w:r w:rsidR="009C14B8" w:rsidRPr="009C14B8">
        <w:t>e cellulari</w:t>
      </w:r>
      <w:r w:rsidR="009C14B8" w:rsidRPr="009C14B8">
        <w:rPr>
          <w:rFonts w:eastAsia="Calibri" w:cs="Times New Roman"/>
        </w:rPr>
        <w:t xml:space="preserve">, </w:t>
      </w:r>
      <w:r w:rsidR="009C14B8" w:rsidRPr="009C14B8">
        <w:rPr>
          <w:rFonts w:eastAsia="Calibri" w:cs="Times New Roman"/>
        </w:rPr>
        <w:lastRenderedPageBreak/>
        <w:t>stabilizzandole, e intervengono in numerosi processi enzimatici nelle piastrine e nei leucociti, provocando una riduzione dell’aggregazione piastrinica e dei processi infiammatori, con un effetto antiaterosclerotico e antitrombotico.</w:t>
      </w:r>
      <w:r w:rsidR="009C14B8" w:rsidRPr="009C14B8">
        <w:t xml:space="preserve"> Inoltre, essi riducono i livelli plasmatici dei trigliceridi e delle lipoproteine a bassa densità, con un effetto favorevole  sulla riduzione della viscosità del sangue.</w:t>
      </w:r>
    </w:p>
    <w:p w:rsidR="009C14B8" w:rsidRPr="009C14B8" w:rsidRDefault="009C14B8" w:rsidP="009C14B8">
      <w:pPr>
        <w:spacing w:after="0" w:line="240" w:lineRule="auto"/>
        <w:jc w:val="both"/>
        <w:rPr>
          <w:rFonts w:eastAsia="Calibri" w:cs="Times New Roman"/>
        </w:rPr>
      </w:pPr>
      <w:r w:rsidRPr="009C14B8">
        <w:rPr>
          <w:rFonts w:eastAsia="Calibri" w:cs="Calibri"/>
          <w:color w:val="000000"/>
          <w:lang w:eastAsia="it-IT"/>
        </w:rPr>
        <w:t>Il principio attivo, infine,</w:t>
      </w:r>
      <w:r w:rsidRPr="009C14B8">
        <w:rPr>
          <w:rFonts w:eastAsia="Calibri" w:cs="Times New Roman"/>
        </w:rPr>
        <w:t xml:space="preserve"> manifesta, anche a basse dosi, un’azione antiaritmica probabilmente tramite un effetto diretto stabilizzante sulle cellule cardiache.</w:t>
      </w:r>
    </w:p>
    <w:p w:rsidR="00A46771" w:rsidRPr="009C14B8" w:rsidRDefault="00A46771" w:rsidP="009C14B8">
      <w:pPr>
        <w:spacing w:after="0" w:line="240" w:lineRule="auto"/>
        <w:jc w:val="both"/>
        <w:rPr>
          <w:iCs/>
        </w:rPr>
      </w:pPr>
    </w:p>
    <w:p w:rsidR="009C14B8" w:rsidRPr="009C14B8" w:rsidRDefault="009C14B8" w:rsidP="009C14B8">
      <w:pPr>
        <w:spacing w:after="0" w:line="240" w:lineRule="auto"/>
        <w:jc w:val="both"/>
        <w:rPr>
          <w:iCs/>
        </w:rPr>
      </w:pPr>
    </w:p>
    <w:p w:rsidR="004241AC" w:rsidRPr="009C14B8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C14B8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056FF8" w:rsidRPr="009C14B8">
        <w:rPr>
          <w:rFonts w:eastAsia="Calibri" w:cs="Calibri"/>
          <w:b/>
          <w:bCs/>
          <w:color w:val="000000"/>
          <w:lang w:eastAsia="it-IT"/>
        </w:rPr>
        <w:t>Trioreg</w:t>
      </w:r>
      <w:proofErr w:type="spellEnd"/>
      <w:r w:rsidRPr="009C14B8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3E3CB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C14B8">
        <w:rPr>
          <w:rFonts w:ascii="Calibri" w:hAnsi="Calibri" w:cs="Arial"/>
        </w:rPr>
        <w:t xml:space="preserve">Poiché </w:t>
      </w:r>
      <w:proofErr w:type="spellStart"/>
      <w:r w:rsidR="00056FF8" w:rsidRPr="009C14B8">
        <w:rPr>
          <w:rFonts w:ascii="Calibri" w:hAnsi="Calibri" w:cs="Arial"/>
        </w:rPr>
        <w:t>Trioreg</w:t>
      </w:r>
      <w:proofErr w:type="spellEnd"/>
      <w:r w:rsidRPr="009C14B8">
        <w:rPr>
          <w:rFonts w:ascii="Calibri" w:hAnsi="Calibri" w:cs="Arial"/>
        </w:rPr>
        <w:t xml:space="preserve"> è un medicinale generico, è stato sufficiente effettuare prove cliniche per determinare</w:t>
      </w:r>
      <w:r w:rsidRPr="009C14B8">
        <w:rPr>
          <w:rFonts w:ascii="Calibri" w:hAnsi="Calibri" w:cs="Arial"/>
          <w:b/>
        </w:rPr>
        <w:t xml:space="preserve"> </w:t>
      </w:r>
      <w:r w:rsidRPr="009C14B8">
        <w:rPr>
          <w:rFonts w:ascii="Calibri" w:hAnsi="Calibri" w:cs="Arial"/>
        </w:rPr>
        <w:t xml:space="preserve">la bioequivalenza rispetto al medicinale di riferimento </w:t>
      </w:r>
      <w:proofErr w:type="spellStart"/>
      <w:r w:rsidRPr="009C14B8">
        <w:rPr>
          <w:rFonts w:ascii="Calibri" w:hAnsi="Calibri" w:cs="Arial"/>
        </w:rPr>
        <w:t>Seacor</w:t>
      </w:r>
      <w:proofErr w:type="spellEnd"/>
      <w:r w:rsidRPr="009C14B8">
        <w:rPr>
          <w:rFonts w:ascii="Calibri" w:hAnsi="Calibri" w:cs="Arial"/>
        </w:rPr>
        <w:t xml:space="preserve">. Due medicinali sono </w:t>
      </w:r>
      <w:proofErr w:type="spellStart"/>
      <w:r w:rsidRPr="009C14B8">
        <w:rPr>
          <w:rFonts w:ascii="Calibri" w:hAnsi="Calibri" w:cs="Arial"/>
        </w:rPr>
        <w:t>bioequivalenti</w:t>
      </w:r>
      <w:proofErr w:type="spellEnd"/>
      <w:r w:rsidRPr="009C14B8">
        <w:rPr>
          <w:rFonts w:ascii="Calibri" w:hAnsi="Calibri" w:cs="Arial"/>
        </w:rPr>
        <w:t xml:space="preserve"> quando producono gli stessi livelli di principio attivo nell’organismo.</w:t>
      </w:r>
    </w:p>
    <w:p w:rsidR="000614CA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E3CB4" w:rsidRPr="00CB3303" w:rsidRDefault="003E3CB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E3CB4" w:rsidRPr="002A3F14" w:rsidRDefault="003E3CB4" w:rsidP="003E3CB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056FF8">
        <w:rPr>
          <w:rFonts w:eastAsia="Calibri" w:cs="Calibri"/>
          <w:b/>
          <w:bCs/>
          <w:color w:val="000000"/>
          <w:lang w:eastAsia="it-IT"/>
        </w:rPr>
        <w:t>Trioreg</w:t>
      </w:r>
      <w:proofErr w:type="spellEnd"/>
      <w:r w:rsidRPr="00FA55B0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3E3CB4" w:rsidRPr="002A3F14" w:rsidRDefault="00056FF8" w:rsidP="003E3CB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Trioreg</w:t>
      </w:r>
      <w:proofErr w:type="spellEnd"/>
      <w:r w:rsidR="003E3CB4">
        <w:rPr>
          <w:rFonts w:eastAsia="Calibri" w:cs="Calibri"/>
          <w:bCs/>
          <w:color w:val="000000"/>
          <w:lang w:eastAsia="it-IT"/>
        </w:rPr>
        <w:t xml:space="preserve"> </w:t>
      </w:r>
      <w:r w:rsidR="003E3CB4" w:rsidRPr="004241AC">
        <w:rPr>
          <w:rFonts w:eastAsia="Calibri" w:cs="Calibri"/>
          <w:lang w:eastAsia="it-IT"/>
        </w:rPr>
        <w:t xml:space="preserve">è un medicinale </w:t>
      </w:r>
      <w:r w:rsidR="003E3CB4">
        <w:rPr>
          <w:rFonts w:eastAsia="Calibri" w:cs="Calibri"/>
          <w:lang w:eastAsia="it-IT"/>
        </w:rPr>
        <w:t xml:space="preserve">generico ed è </w:t>
      </w:r>
      <w:proofErr w:type="spellStart"/>
      <w:r w:rsidR="003E3CB4">
        <w:rPr>
          <w:rFonts w:eastAsia="Calibri" w:cs="Calibri"/>
          <w:lang w:eastAsia="it-IT"/>
        </w:rPr>
        <w:t>bioequivalente</w:t>
      </w:r>
      <w:proofErr w:type="spellEnd"/>
      <w:r w:rsidR="003E3CB4">
        <w:rPr>
          <w:rFonts w:eastAsia="Calibri" w:cs="Calibri"/>
          <w:lang w:eastAsia="it-IT"/>
        </w:rPr>
        <w:t xml:space="preserve"> al medicinale di riferimento; pertanto,</w:t>
      </w:r>
      <w:r w:rsidR="003E3CB4" w:rsidRPr="002A3F14">
        <w:rPr>
          <w:rFonts w:eastAsia="Calibri" w:cs="Calibri"/>
          <w:lang w:eastAsia="it-IT"/>
        </w:rPr>
        <w:t xml:space="preserve"> </w:t>
      </w:r>
      <w:r w:rsidR="003E3CB4">
        <w:rPr>
          <w:rFonts w:eastAsia="Calibri" w:cs="Calibri"/>
          <w:lang w:eastAsia="it-IT"/>
        </w:rPr>
        <w:t>i suoi</w:t>
      </w:r>
      <w:r w:rsidR="003E3CB4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3E3CB4">
        <w:rPr>
          <w:rFonts w:eastAsia="Calibri" w:cs="Calibri"/>
          <w:lang w:eastAsia="it-IT"/>
        </w:rPr>
        <w:t>l</w:t>
      </w:r>
      <w:r w:rsidR="003E3CB4" w:rsidRPr="002A3F14">
        <w:rPr>
          <w:rFonts w:eastAsia="Calibri" w:cs="Calibri"/>
          <w:lang w:eastAsia="it-IT"/>
        </w:rPr>
        <w:t xml:space="preserve"> </w:t>
      </w:r>
      <w:r w:rsidR="003E3CB4">
        <w:rPr>
          <w:rFonts w:eastAsia="Calibri" w:cs="Calibri"/>
          <w:lang w:eastAsia="it-IT"/>
        </w:rPr>
        <w:t>medicinale</w:t>
      </w:r>
      <w:r w:rsidR="003E3CB4" w:rsidRPr="002A3F14">
        <w:rPr>
          <w:rFonts w:eastAsia="Calibri" w:cs="Calibri"/>
          <w:lang w:eastAsia="it-IT"/>
        </w:rPr>
        <w:t xml:space="preserve"> di riferimento.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056FF8">
        <w:rPr>
          <w:rFonts w:eastAsia="Calibri" w:cs="Calibri"/>
          <w:b/>
          <w:bCs/>
          <w:color w:val="000000"/>
          <w:lang w:eastAsia="it-IT"/>
        </w:rPr>
        <w:t>Trioreg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>La Commissione Tecnico Scientifica (CTS</w:t>
      </w:r>
      <w:r w:rsidR="00363BAD">
        <w:rPr>
          <w:rFonts w:eastAsia="Calibri" w:cs="Calibri"/>
          <w:lang w:eastAsia="it-IT"/>
        </w:rPr>
        <w:t>)</w:t>
      </w:r>
      <w:r w:rsidR="003E3CB4">
        <w:rPr>
          <w:rFonts w:eastAsia="Calibri" w:cs="Calibri"/>
          <w:lang w:eastAsia="it-IT"/>
        </w:rPr>
        <w:t>, nella riunione del 6-8 novembre 2013,</w:t>
      </w:r>
      <w:r w:rsidR="00D36DA3" w:rsidRPr="00D36DA3">
        <w:rPr>
          <w:rFonts w:eastAsia="Calibri" w:cs="Calibri"/>
          <w:lang w:eastAsia="it-IT"/>
        </w:rPr>
        <w:t xml:space="preserve"> </w:t>
      </w:r>
      <w:r w:rsidRPr="00D36DA3">
        <w:rPr>
          <w:rFonts w:eastAsia="Calibri" w:cs="Calibri"/>
          <w:lang w:eastAsia="it-IT"/>
        </w:rPr>
        <w:t xml:space="preserve">ha concluso che, conformemente ai requisiti della normativa vigente, </w:t>
      </w:r>
      <w:r w:rsidR="00CB2666">
        <w:rPr>
          <w:rFonts w:eastAsia="Calibri" w:cs="Calibri"/>
          <w:lang w:eastAsia="it-IT"/>
        </w:rPr>
        <w:t xml:space="preserve">come per il medicinale di riferimento </w:t>
      </w:r>
      <w:proofErr w:type="spellStart"/>
      <w:r w:rsidR="00CB2666">
        <w:rPr>
          <w:rFonts w:eastAsia="Calibri" w:cs="Calibri"/>
          <w:lang w:eastAsia="it-IT"/>
        </w:rPr>
        <w:t>Seacor</w:t>
      </w:r>
      <w:proofErr w:type="spellEnd"/>
      <w:r w:rsidR="00CB2666">
        <w:rPr>
          <w:rFonts w:eastAsia="Calibri" w:cs="Calibri"/>
          <w:lang w:eastAsia="it-IT"/>
        </w:rPr>
        <w:t xml:space="preserve">, </w:t>
      </w:r>
      <w:r w:rsidRPr="00D36DA3">
        <w:rPr>
          <w:rFonts w:eastAsia="Calibri" w:cs="Calibri"/>
          <w:lang w:eastAsia="it-IT"/>
        </w:rPr>
        <w:t xml:space="preserve">i benefici di </w:t>
      </w:r>
      <w:proofErr w:type="spellStart"/>
      <w:r w:rsidR="00056FF8">
        <w:rPr>
          <w:rFonts w:eastAsia="Calibri" w:cs="Calibri"/>
          <w:lang w:eastAsia="it-IT"/>
        </w:rPr>
        <w:t>Trioreg</w:t>
      </w:r>
      <w:proofErr w:type="spellEnd"/>
      <w:r w:rsidR="009B03DB" w:rsidRPr="00D36DA3">
        <w:rPr>
          <w:rFonts w:eastAsia="Calibri" w:cs="Calibri"/>
          <w:lang w:eastAsia="it-IT"/>
        </w:rPr>
        <w:t xml:space="preserve"> </w:t>
      </w:r>
      <w:r w:rsidR="00624061" w:rsidRPr="00CB3303">
        <w:rPr>
          <w:rFonts w:eastAsia="Calibri" w:cs="Calibri"/>
          <w:lang w:eastAsia="it-IT"/>
        </w:rPr>
        <w:t>s</w:t>
      </w:r>
      <w:r w:rsidR="00624061">
        <w:rPr>
          <w:rFonts w:eastAsia="Calibri" w:cs="Calibri"/>
          <w:lang w:eastAsia="it-IT"/>
        </w:rPr>
        <w:t>o</w:t>
      </w:r>
      <w:r w:rsidR="00624061" w:rsidRPr="00CB3303">
        <w:rPr>
          <w:rFonts w:eastAsia="Calibri" w:cs="Calibri"/>
          <w:lang w:eastAsia="it-IT"/>
        </w:rPr>
        <w:t>no</w:t>
      </w:r>
      <w:r w:rsidRPr="00D36DA3">
        <w:rPr>
          <w:rFonts w:eastAsia="Calibri" w:cs="Calibri"/>
          <w:lang w:eastAsia="it-IT"/>
        </w:rPr>
        <w:t xml:space="preserve"> superiori ai</w:t>
      </w:r>
      <w:r w:rsidRPr="00CB3303">
        <w:rPr>
          <w:rFonts w:eastAsia="Calibri" w:cs="Calibri"/>
          <w:lang w:eastAsia="it-IT"/>
        </w:rPr>
        <w:t xml:space="preserve"> rischi individuati. La CTS ha,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4A4878" w:rsidRPr="00DF2A05">
        <w:rPr>
          <w:rFonts w:eastAsia="Calibri" w:cs="Calibri"/>
          <w:lang w:eastAsia="it-IT"/>
        </w:rPr>
        <w:t xml:space="preserve">A </w:t>
      </w:r>
      <w:r w:rsidR="004A4878">
        <w:rPr>
          <w:rFonts w:eastAsia="Calibri" w:cs="Calibri"/>
          <w:lang w:eastAsia="it-IT"/>
        </w:rPr>
        <w:t>con note 13 e 9</w:t>
      </w:r>
      <w:r w:rsidR="00EA6884">
        <w:rPr>
          <w:rFonts w:eastAsia="Calibri" w:cs="Calibri"/>
          <w:lang w:eastAsia="it-IT"/>
        </w:rPr>
        <w:t>4</w:t>
      </w:r>
      <w:r w:rsidR="004A4878">
        <w:rPr>
          <w:rFonts w:eastAsia="Calibri" w:cs="Calibri"/>
          <w:lang w:eastAsia="it-IT"/>
        </w:rPr>
        <w:t xml:space="preserve">; </w:t>
      </w:r>
      <w:r w:rsidR="004A4878" w:rsidRPr="000834DE">
        <w:rPr>
          <w:rFonts w:eastAsia="Calibri" w:cs="Calibri"/>
          <w:lang w:eastAsia="it-IT"/>
        </w:rPr>
        <w:t>l</w:t>
      </w:r>
      <w:r w:rsidR="004A4878">
        <w:rPr>
          <w:rFonts w:eastAsia="Calibri" w:cs="Calibri"/>
          <w:lang w:eastAsia="it-IT"/>
        </w:rPr>
        <w:t>e</w:t>
      </w:r>
      <w:r w:rsidR="004A4878" w:rsidRPr="000834DE">
        <w:rPr>
          <w:rFonts w:eastAsia="Calibri" w:cs="Calibri"/>
          <w:lang w:eastAsia="it-IT"/>
        </w:rPr>
        <w:t xml:space="preserve"> not</w:t>
      </w:r>
      <w:r w:rsidR="004A4878">
        <w:rPr>
          <w:rFonts w:eastAsia="Calibri" w:cs="Calibri"/>
          <w:lang w:eastAsia="it-IT"/>
        </w:rPr>
        <w:t>e</w:t>
      </w:r>
      <w:r w:rsidR="004A4878" w:rsidRPr="000834DE">
        <w:rPr>
          <w:rFonts w:eastAsia="Calibri" w:cs="Calibri"/>
          <w:lang w:eastAsia="it-IT"/>
        </w:rPr>
        <w:t xml:space="preserve"> stabilisc</w:t>
      </w:r>
      <w:r w:rsidR="004A4878">
        <w:rPr>
          <w:rFonts w:eastAsia="Calibri" w:cs="Calibri"/>
          <w:lang w:eastAsia="it-IT"/>
        </w:rPr>
        <w:t>ono</w:t>
      </w:r>
      <w:r w:rsidR="004A4878" w:rsidRPr="000834DE">
        <w:rPr>
          <w:rFonts w:eastAsia="Calibri" w:cs="Calibri"/>
          <w:lang w:eastAsia="it-IT"/>
        </w:rPr>
        <w:t xml:space="preserve"> per quali pazienti il medicinale è rimborsato dal Servizio Sanitario Nazionale</w:t>
      </w:r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56FF8">
        <w:rPr>
          <w:rFonts w:eastAsia="Calibri" w:cs="Calibri"/>
          <w:b/>
          <w:bCs/>
          <w:color w:val="000000"/>
          <w:lang w:eastAsia="it-IT"/>
        </w:rPr>
        <w:t>Trioreg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FF1ACC" w:rsidRDefault="00DC001C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>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F14F9B" w:rsidRPr="00FF1ACC">
        <w:rPr>
          <w:rFonts w:eastAsia="Calibri" w:cs="Calibri"/>
          <w:lang w:eastAsia="it-IT"/>
        </w:rPr>
        <w:t xml:space="preserve"> </w:t>
      </w:r>
      <w:proofErr w:type="spellStart"/>
      <w:r w:rsidR="00056FF8">
        <w:rPr>
          <w:rFonts w:eastAsia="Calibri" w:cs="Calibri"/>
          <w:lang w:eastAsia="it-IT"/>
        </w:rPr>
        <w:t>Trioreg</w:t>
      </w:r>
      <w:proofErr w:type="spellEnd"/>
      <w:r w:rsidR="00F14F9B" w:rsidRPr="00FF1ACC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056FF8">
        <w:rPr>
          <w:rFonts w:eastAsia="Calibri" w:cs="Calibri"/>
          <w:b/>
          <w:bCs/>
          <w:color w:val="000000"/>
          <w:lang w:eastAsia="it-IT"/>
        </w:rPr>
        <w:t>Trioreg</w:t>
      </w:r>
      <w:proofErr w:type="spellEnd"/>
    </w:p>
    <w:p w:rsidR="000F5E5C" w:rsidRDefault="00363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DC001C">
        <w:rPr>
          <w:rFonts w:eastAsia="Calibri" w:cs="Calibri"/>
          <w:bCs/>
          <w:iCs/>
          <w:lang w:eastAsia="it-IT"/>
        </w:rPr>
        <w:t>2014 e il 2015</w:t>
      </w:r>
      <w:r w:rsidR="000F5E5C">
        <w:rPr>
          <w:rFonts w:eastAsia="Calibri" w:cs="Calibri"/>
          <w:lang w:eastAsia="it-IT"/>
        </w:rPr>
        <w:t xml:space="preserve"> </w:t>
      </w:r>
      <w:r w:rsidR="00D36DA3">
        <w:rPr>
          <w:rFonts w:eastAsia="Calibri" w:cs="Calibri"/>
          <w:bCs/>
          <w:iCs/>
          <w:lang w:eastAsia="it-IT"/>
        </w:rPr>
        <w:t>l</w:t>
      </w:r>
      <w:r w:rsidR="00D36DA3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D36DA3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056FF8">
        <w:rPr>
          <w:rFonts w:eastAsia="Calibri" w:cs="Calibri"/>
          <w:bCs/>
          <w:color w:val="000000"/>
          <w:lang w:eastAsia="it-IT"/>
        </w:rPr>
        <w:t>Trioreg</w:t>
      </w:r>
      <w:proofErr w:type="spellEnd"/>
      <w:r w:rsidR="000F5E5C">
        <w:rPr>
          <w:rFonts w:eastAsia="Calibri" w:cs="Calibri"/>
          <w:lang w:eastAsia="it-IT"/>
        </w:rPr>
        <w:t>.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056FF8">
        <w:rPr>
          <w:rFonts w:eastAsia="Calibri" w:cs="Calibri"/>
          <w:bCs/>
          <w:color w:val="000000"/>
          <w:lang w:eastAsia="it-IT"/>
        </w:rPr>
        <w:t>Trioreg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51E72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F120867"/>
    <w:multiLevelType w:val="hybridMultilevel"/>
    <w:tmpl w:val="82C8A612"/>
    <w:lvl w:ilvl="0" w:tplc="DAB62FA4">
      <w:start w:val="2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hint="default"/>
      </w:rPr>
    </w:lvl>
    <w:lvl w:ilvl="1" w:tplc="87F418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7F9B"/>
    <w:rsid w:val="00056FF8"/>
    <w:rsid w:val="000614CA"/>
    <w:rsid w:val="00062636"/>
    <w:rsid w:val="00077016"/>
    <w:rsid w:val="00081926"/>
    <w:rsid w:val="00081A1C"/>
    <w:rsid w:val="00090E50"/>
    <w:rsid w:val="000C2A75"/>
    <w:rsid w:val="000C61EB"/>
    <w:rsid w:val="000E0632"/>
    <w:rsid w:val="000F5E5C"/>
    <w:rsid w:val="00103E62"/>
    <w:rsid w:val="00111E9E"/>
    <w:rsid w:val="0011250C"/>
    <w:rsid w:val="00113AF8"/>
    <w:rsid w:val="001461AC"/>
    <w:rsid w:val="00147CCF"/>
    <w:rsid w:val="00164C42"/>
    <w:rsid w:val="00173FA2"/>
    <w:rsid w:val="001774F6"/>
    <w:rsid w:val="00180C71"/>
    <w:rsid w:val="00190C33"/>
    <w:rsid w:val="001D5E05"/>
    <w:rsid w:val="001F254D"/>
    <w:rsid w:val="0020540F"/>
    <w:rsid w:val="00246D26"/>
    <w:rsid w:val="00251E72"/>
    <w:rsid w:val="002B059E"/>
    <w:rsid w:val="002B2520"/>
    <w:rsid w:val="002F223F"/>
    <w:rsid w:val="0030700B"/>
    <w:rsid w:val="00327189"/>
    <w:rsid w:val="00331C95"/>
    <w:rsid w:val="00363BAD"/>
    <w:rsid w:val="003C4C85"/>
    <w:rsid w:val="003E3CB4"/>
    <w:rsid w:val="003F131C"/>
    <w:rsid w:val="004241AC"/>
    <w:rsid w:val="004445FD"/>
    <w:rsid w:val="00452364"/>
    <w:rsid w:val="0048631A"/>
    <w:rsid w:val="004A1685"/>
    <w:rsid w:val="004A4878"/>
    <w:rsid w:val="004A5D02"/>
    <w:rsid w:val="004B20A8"/>
    <w:rsid w:val="004B53D1"/>
    <w:rsid w:val="004E4927"/>
    <w:rsid w:val="004F66B1"/>
    <w:rsid w:val="00515078"/>
    <w:rsid w:val="00592D32"/>
    <w:rsid w:val="0059545A"/>
    <w:rsid w:val="005A1D15"/>
    <w:rsid w:val="005A230A"/>
    <w:rsid w:val="005B21C5"/>
    <w:rsid w:val="005E3779"/>
    <w:rsid w:val="00601567"/>
    <w:rsid w:val="00602C49"/>
    <w:rsid w:val="00624061"/>
    <w:rsid w:val="00685B2D"/>
    <w:rsid w:val="006C4F75"/>
    <w:rsid w:val="006E7A75"/>
    <w:rsid w:val="006F3638"/>
    <w:rsid w:val="00746A7C"/>
    <w:rsid w:val="0077325A"/>
    <w:rsid w:val="0079753F"/>
    <w:rsid w:val="007B4667"/>
    <w:rsid w:val="0080016D"/>
    <w:rsid w:val="00813720"/>
    <w:rsid w:val="00834786"/>
    <w:rsid w:val="00840CCB"/>
    <w:rsid w:val="00874733"/>
    <w:rsid w:val="0090632E"/>
    <w:rsid w:val="00906FFB"/>
    <w:rsid w:val="00946707"/>
    <w:rsid w:val="009770CC"/>
    <w:rsid w:val="00984EB0"/>
    <w:rsid w:val="009A260F"/>
    <w:rsid w:val="009A4251"/>
    <w:rsid w:val="009B03DB"/>
    <w:rsid w:val="009C14B8"/>
    <w:rsid w:val="009C1640"/>
    <w:rsid w:val="00A05212"/>
    <w:rsid w:val="00A1005E"/>
    <w:rsid w:val="00A228D5"/>
    <w:rsid w:val="00A40FF3"/>
    <w:rsid w:val="00A46771"/>
    <w:rsid w:val="00A67A49"/>
    <w:rsid w:val="00AD3090"/>
    <w:rsid w:val="00AD412E"/>
    <w:rsid w:val="00B35494"/>
    <w:rsid w:val="00B448AE"/>
    <w:rsid w:val="00BA7D67"/>
    <w:rsid w:val="00BC74C2"/>
    <w:rsid w:val="00BD3508"/>
    <w:rsid w:val="00BF1041"/>
    <w:rsid w:val="00BF3133"/>
    <w:rsid w:val="00BF4465"/>
    <w:rsid w:val="00C73A48"/>
    <w:rsid w:val="00C90770"/>
    <w:rsid w:val="00CA2E1F"/>
    <w:rsid w:val="00CB2666"/>
    <w:rsid w:val="00CB3303"/>
    <w:rsid w:val="00CB7C01"/>
    <w:rsid w:val="00CC7064"/>
    <w:rsid w:val="00CC7AFF"/>
    <w:rsid w:val="00D1365C"/>
    <w:rsid w:val="00D20170"/>
    <w:rsid w:val="00D31938"/>
    <w:rsid w:val="00D36DA3"/>
    <w:rsid w:val="00DB10B2"/>
    <w:rsid w:val="00DC001C"/>
    <w:rsid w:val="00DD4CF7"/>
    <w:rsid w:val="00DE0789"/>
    <w:rsid w:val="00E16505"/>
    <w:rsid w:val="00E26296"/>
    <w:rsid w:val="00E43089"/>
    <w:rsid w:val="00E83F8D"/>
    <w:rsid w:val="00E844E7"/>
    <w:rsid w:val="00E97410"/>
    <w:rsid w:val="00EA4AC1"/>
    <w:rsid w:val="00EA5568"/>
    <w:rsid w:val="00EA6884"/>
    <w:rsid w:val="00EF062E"/>
    <w:rsid w:val="00EF69F0"/>
    <w:rsid w:val="00F14F9B"/>
    <w:rsid w:val="00F1693F"/>
    <w:rsid w:val="00F66767"/>
    <w:rsid w:val="00FA2702"/>
    <w:rsid w:val="00FB053D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6</cp:revision>
  <dcterms:created xsi:type="dcterms:W3CDTF">2015-12-10T12:04:00Z</dcterms:created>
  <dcterms:modified xsi:type="dcterms:W3CDTF">2016-01-25T10:12:00Z</dcterms:modified>
</cp:coreProperties>
</file>