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266FBD">
      <w:pPr>
        <w:spacing w:after="0" w:line="240" w:lineRule="auto"/>
        <w:rPr>
          <w:lang w:val="en-US"/>
        </w:rPr>
      </w:pPr>
      <w:r w:rsidRPr="002A3F14"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1356360</wp:posOffset>
            </wp:positionH>
            <wp:positionV relativeFrom="paragraph">
              <wp:align>top</wp:align>
            </wp:positionV>
            <wp:extent cx="3423285" cy="1495425"/>
            <wp:effectExtent l="19050" t="0" r="5715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28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66FBD">
        <w:rPr>
          <w:lang w:val="en-US"/>
        </w:rPr>
        <w:br w:type="textWrapping" w:clear="all"/>
      </w:r>
    </w:p>
    <w:p w:rsidR="008F006E" w:rsidRDefault="00583E39" w:rsidP="00017E6F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8F006E">
        <w:rPr>
          <w:b/>
          <w:sz w:val="28"/>
        </w:rPr>
        <w:t>Relazione Pubblica di Valutazione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F006E" w:rsidRDefault="008F006E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Default="00F25566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VARDAMIR</w:t>
      </w:r>
    </w:p>
    <w:p w:rsidR="004241AC" w:rsidRPr="003A3FEB" w:rsidRDefault="004241AC" w:rsidP="00017E6F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r w:rsidR="003A4849">
        <w:rPr>
          <w:snapToGrid w:val="0"/>
        </w:rPr>
        <w:t>Tobramicina e</w:t>
      </w:r>
      <w:r w:rsidR="007B5980">
        <w:rPr>
          <w:snapToGrid w:val="0"/>
        </w:rPr>
        <w:t xml:space="preserve"> desametasone</w:t>
      </w:r>
      <w:r w:rsidRPr="003A3FEB">
        <w:rPr>
          <w:snapToGrid w:val="0"/>
        </w:rPr>
        <w:t>)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57BC5" w:rsidRDefault="00F25566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Genetic</w:t>
      </w:r>
      <w:proofErr w:type="spellEnd"/>
    </w:p>
    <w:p w:rsidR="00583E39" w:rsidRDefault="00583E39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17E6F" w:rsidRPr="00062636" w:rsidRDefault="00017E6F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017E6F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583E39">
        <w:rPr>
          <w:rFonts w:cs="Helvetica"/>
          <w:b/>
        </w:rPr>
        <w:t>0425</w:t>
      </w:r>
      <w:r w:rsidR="00F25566">
        <w:rPr>
          <w:rFonts w:cs="Helvetica"/>
          <w:b/>
        </w:rPr>
        <w:t>37</w:t>
      </w:r>
    </w:p>
    <w:bookmarkEnd w:id="0"/>
    <w:p w:rsidR="004241AC" w:rsidRDefault="004241AC" w:rsidP="00017E6F">
      <w:pPr>
        <w:spacing w:after="0" w:line="240" w:lineRule="auto"/>
        <w:jc w:val="center"/>
        <w:rPr>
          <w:b/>
        </w:rPr>
      </w:pPr>
    </w:p>
    <w:p w:rsidR="00417C92" w:rsidRPr="00062636" w:rsidRDefault="00417C92" w:rsidP="00017E6F">
      <w:pPr>
        <w:spacing w:after="0" w:line="240" w:lineRule="auto"/>
        <w:jc w:val="center"/>
        <w:rPr>
          <w:b/>
        </w:rPr>
      </w:pP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F25566">
        <w:rPr>
          <w:rFonts w:eastAsia="Calibri" w:cs="Calibri"/>
          <w:color w:val="000000"/>
          <w:lang w:eastAsia="it-IT"/>
        </w:rPr>
        <w:t>Vardamir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F25566">
        <w:rPr>
          <w:rFonts w:eastAsia="Calibri" w:cs="Calibri"/>
          <w:color w:val="000000"/>
          <w:lang w:eastAsia="it-IT"/>
        </w:rPr>
        <w:t>Vardamir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F33944">
        <w:rPr>
          <w:rFonts w:eastAsia="Calibri" w:cs="Calibri"/>
          <w:color w:val="000000"/>
          <w:lang w:eastAsia="it-IT"/>
        </w:rPr>
        <w:t xml:space="preserve">le </w:t>
      </w:r>
      <w:r w:rsidRPr="009F1B70">
        <w:rPr>
          <w:rFonts w:eastAsia="Calibri" w:cs="Calibri"/>
          <w:color w:val="000000"/>
          <w:lang w:eastAsia="it-IT"/>
        </w:rPr>
        <w:t xml:space="preserve">sue condizioni di impiego. Non intende fornire consigli pratici su come utilizzare </w:t>
      </w:r>
      <w:proofErr w:type="spellStart"/>
      <w:r w:rsidR="00F25566">
        <w:rPr>
          <w:rFonts w:eastAsia="Calibri" w:cs="Calibri"/>
          <w:color w:val="000000"/>
          <w:lang w:eastAsia="it-IT"/>
        </w:rPr>
        <w:t>Vardamir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F25566">
        <w:rPr>
          <w:rFonts w:eastAsia="Calibri" w:cs="Calibri"/>
          <w:color w:val="000000"/>
          <w:lang w:eastAsia="it-IT"/>
        </w:rPr>
        <w:t>Vardamir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</w:t>
      </w:r>
      <w:r w:rsidRPr="00583E39">
        <w:rPr>
          <w:rFonts w:eastAsia="Calibri" w:cs="Calibri"/>
          <w:color w:val="000000"/>
          <w:lang w:eastAsia="it-IT"/>
        </w:rPr>
        <w:t xml:space="preserve">contattare il loro medico o </w:t>
      </w:r>
      <w:r w:rsidR="009B03DB" w:rsidRPr="00583E39">
        <w:rPr>
          <w:rFonts w:eastAsia="Calibri" w:cs="Calibri"/>
          <w:color w:val="000000"/>
          <w:lang w:eastAsia="it-IT"/>
        </w:rPr>
        <w:t xml:space="preserve">il </w:t>
      </w:r>
      <w:r w:rsidRPr="00583E39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83E39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F25566">
        <w:rPr>
          <w:rFonts w:eastAsia="Calibri" w:cs="Calibri"/>
          <w:b/>
          <w:bCs/>
          <w:color w:val="000000"/>
          <w:lang w:eastAsia="it-IT"/>
        </w:rPr>
        <w:t>Vardamir</w:t>
      </w:r>
      <w:proofErr w:type="spellEnd"/>
      <w:r w:rsidR="00E83F8D" w:rsidRPr="00583E39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2E2BD3" w:rsidRPr="00583E39">
        <w:rPr>
          <w:rFonts w:eastAsia="Calibri" w:cs="Calibri"/>
          <w:b/>
          <w:bCs/>
          <w:color w:val="000000"/>
          <w:lang w:eastAsia="it-IT"/>
        </w:rPr>
        <w:t>E A COSA SERVE</w:t>
      </w:r>
      <w:r w:rsidRPr="00583E39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583E39" w:rsidRDefault="00F25566" w:rsidP="00583E39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Vardamir</w:t>
      </w:r>
      <w:proofErr w:type="spellEnd"/>
      <w:r w:rsidR="00E83F8D" w:rsidRPr="00583E39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83E39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583E39">
        <w:rPr>
          <w:rFonts w:eastAsia="Calibri" w:cs="Calibri"/>
          <w:color w:val="000000"/>
          <w:lang w:eastAsia="it-IT"/>
        </w:rPr>
        <w:t>i</w:t>
      </w:r>
      <w:r w:rsidR="004241AC" w:rsidRPr="00583E39">
        <w:rPr>
          <w:rFonts w:eastAsia="Calibri" w:cs="Calibri"/>
          <w:color w:val="000000"/>
          <w:lang w:eastAsia="it-IT"/>
        </w:rPr>
        <w:t xml:space="preserve"> principi attiv</w:t>
      </w:r>
      <w:r w:rsidR="007B5980" w:rsidRPr="00583E39">
        <w:rPr>
          <w:rFonts w:eastAsia="Calibri" w:cs="Calibri"/>
          <w:color w:val="000000"/>
          <w:lang w:eastAsia="it-IT"/>
        </w:rPr>
        <w:t>i</w:t>
      </w:r>
      <w:r w:rsidR="004241AC" w:rsidRPr="00583E39">
        <w:rPr>
          <w:rFonts w:eastAsia="Calibri" w:cs="Calibri"/>
          <w:color w:val="000000"/>
          <w:lang w:eastAsia="it-IT"/>
        </w:rPr>
        <w:t xml:space="preserve"> </w:t>
      </w:r>
      <w:r w:rsidR="003A4849" w:rsidRPr="00583E39">
        <w:rPr>
          <w:rFonts w:eastAsia="Calibri" w:cs="Calibri"/>
          <w:color w:val="000000"/>
          <w:lang w:eastAsia="it-IT"/>
        </w:rPr>
        <w:t>tobramicina e</w:t>
      </w:r>
      <w:r w:rsidR="007B5980" w:rsidRPr="00583E39">
        <w:rPr>
          <w:rFonts w:eastAsia="Calibri" w:cs="Calibri"/>
          <w:color w:val="000000"/>
          <w:lang w:eastAsia="it-IT"/>
        </w:rPr>
        <w:t xml:space="preserve"> desametasone </w:t>
      </w:r>
      <w:r w:rsidR="00257BC5" w:rsidRPr="00583E39">
        <w:rPr>
          <w:rFonts w:eastAsia="Calibri" w:cs="Calibri"/>
          <w:color w:val="000000"/>
          <w:lang w:eastAsia="it-IT"/>
        </w:rPr>
        <w:t xml:space="preserve">ed </w:t>
      </w:r>
      <w:r w:rsidR="004241AC" w:rsidRPr="00583E39">
        <w:rPr>
          <w:rFonts w:eastAsia="Calibri" w:cs="Calibri"/>
          <w:color w:val="000000"/>
          <w:lang w:eastAsia="it-IT"/>
        </w:rPr>
        <w:t xml:space="preserve">è disponibile in </w:t>
      </w:r>
      <w:r w:rsidR="008748A5" w:rsidRPr="00583E39">
        <w:rPr>
          <w:rFonts w:eastAsia="Calibri" w:cs="Calibri"/>
          <w:color w:val="000000"/>
          <w:lang w:eastAsia="it-IT"/>
        </w:rPr>
        <w:t>collirio</w:t>
      </w:r>
      <w:r w:rsidR="007B5980" w:rsidRPr="00583E39">
        <w:rPr>
          <w:rFonts w:eastAsia="Calibri" w:cs="Calibri"/>
          <w:color w:val="000000"/>
          <w:lang w:eastAsia="it-IT"/>
        </w:rPr>
        <w:t xml:space="preserve"> </w:t>
      </w:r>
      <w:r w:rsidR="008748A5" w:rsidRPr="00583E39">
        <w:rPr>
          <w:rFonts w:eastAsia="Calibri" w:cs="Calibri"/>
          <w:color w:val="000000"/>
          <w:lang w:eastAsia="it-IT"/>
        </w:rPr>
        <w:t>(</w:t>
      </w:r>
      <w:r w:rsidR="00FB053D" w:rsidRPr="00583E39">
        <w:rPr>
          <w:rFonts w:eastAsia="Calibri" w:cs="Calibri"/>
          <w:color w:val="000000"/>
          <w:lang w:eastAsia="it-IT"/>
        </w:rPr>
        <w:t xml:space="preserve">soluzione </w:t>
      </w:r>
      <w:r w:rsidR="008748A5" w:rsidRPr="00583E39">
        <w:rPr>
          <w:rFonts w:eastAsia="Calibri" w:cs="Calibri"/>
          <w:color w:val="000000"/>
          <w:lang w:eastAsia="it-IT"/>
        </w:rPr>
        <w:t xml:space="preserve">oftalmica) </w:t>
      </w:r>
      <w:r w:rsidR="00FB053D" w:rsidRPr="00583E39">
        <w:rPr>
          <w:rFonts w:eastAsia="Calibri" w:cs="Calibri"/>
          <w:color w:val="000000"/>
          <w:lang w:eastAsia="it-IT"/>
        </w:rPr>
        <w:t xml:space="preserve">ad una concentrazione di </w:t>
      </w:r>
      <w:proofErr w:type="spellStart"/>
      <w:r w:rsidR="007B5980" w:rsidRPr="00583E39">
        <w:rPr>
          <w:rFonts w:eastAsia="Calibri" w:cs="Calibri"/>
          <w:color w:val="000000"/>
          <w:lang w:eastAsia="it-IT"/>
        </w:rPr>
        <w:t>tobramicina</w:t>
      </w:r>
      <w:proofErr w:type="spellEnd"/>
      <w:r w:rsidR="00FB053D" w:rsidRPr="00583E39">
        <w:rPr>
          <w:rFonts w:eastAsia="Calibri" w:cs="Calibri"/>
          <w:color w:val="000000"/>
          <w:lang w:eastAsia="it-IT"/>
        </w:rPr>
        <w:t xml:space="preserve"> </w:t>
      </w:r>
      <w:r w:rsidR="00583E39" w:rsidRPr="00583E39">
        <w:rPr>
          <w:rFonts w:eastAsia="Calibri" w:cs="Calibri"/>
          <w:color w:val="000000"/>
          <w:lang w:eastAsia="it-IT"/>
        </w:rPr>
        <w:t>di 0,3%</w:t>
      </w:r>
      <w:r w:rsidR="007B5980" w:rsidRPr="00583E39">
        <w:rPr>
          <w:rFonts w:eastAsia="Calibri" w:cs="Calibri"/>
          <w:color w:val="000000"/>
          <w:lang w:eastAsia="it-IT"/>
        </w:rPr>
        <w:t xml:space="preserve"> e di </w:t>
      </w:r>
      <w:proofErr w:type="spellStart"/>
      <w:r w:rsidR="007B5980" w:rsidRPr="00583E39">
        <w:rPr>
          <w:rFonts w:eastAsia="Calibri" w:cs="Calibri"/>
          <w:color w:val="000000"/>
          <w:lang w:eastAsia="it-IT"/>
        </w:rPr>
        <w:t>desametasone</w:t>
      </w:r>
      <w:proofErr w:type="spellEnd"/>
      <w:r w:rsidR="007B5980" w:rsidRPr="00583E39">
        <w:rPr>
          <w:rFonts w:eastAsia="Calibri" w:cs="Calibri"/>
          <w:color w:val="000000"/>
          <w:lang w:eastAsia="it-IT"/>
        </w:rPr>
        <w:t xml:space="preserve"> </w:t>
      </w:r>
      <w:r w:rsidR="00583E39" w:rsidRPr="00583E39">
        <w:rPr>
          <w:rFonts w:eastAsia="Calibri" w:cs="Calibri"/>
          <w:color w:val="000000"/>
          <w:lang w:eastAsia="it-IT"/>
        </w:rPr>
        <w:t>di 0,1%</w:t>
      </w:r>
      <w:r w:rsidR="004241AC" w:rsidRPr="00583E39">
        <w:t>.</w:t>
      </w:r>
    </w:p>
    <w:p w:rsidR="00013020" w:rsidRPr="00583E39" w:rsidRDefault="00F25566" w:rsidP="00583E39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Vardamir</w:t>
      </w:r>
      <w:proofErr w:type="spellEnd"/>
      <w:r w:rsidR="00E83F8D" w:rsidRPr="00583E39">
        <w:rPr>
          <w:rFonts w:eastAsia="Calibri" w:cs="Calibri"/>
          <w:color w:val="000000"/>
          <w:lang w:eastAsia="it-IT"/>
        </w:rPr>
        <w:t xml:space="preserve"> </w:t>
      </w:r>
      <w:r w:rsidR="00013020" w:rsidRPr="00583E39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583E39">
        <w:rPr>
          <w:rFonts w:eastAsia="Calibri" w:cs="Calibri"/>
          <w:color w:val="000000"/>
          <w:lang w:eastAsia="it-IT"/>
        </w:rPr>
        <w:t>Italia</w:t>
      </w:r>
      <w:r w:rsidR="00013020" w:rsidRPr="00583E39">
        <w:rPr>
          <w:rFonts w:eastAsia="Calibri" w:cs="Calibri"/>
          <w:color w:val="000000"/>
          <w:lang w:eastAsia="it-IT"/>
        </w:rPr>
        <w:t xml:space="preserve">, </w:t>
      </w:r>
      <w:r w:rsidR="007B5980" w:rsidRPr="00583E39">
        <w:rPr>
          <w:rFonts w:eastAsia="Calibri" w:cs="Calibri"/>
          <w:color w:val="000000"/>
          <w:lang w:eastAsia="it-IT"/>
        </w:rPr>
        <w:t>Tobradex</w:t>
      </w:r>
      <w:r w:rsidR="00013020" w:rsidRPr="00583E39">
        <w:rPr>
          <w:rFonts w:eastAsia="Calibri" w:cs="Calibri"/>
          <w:color w:val="000000"/>
          <w:lang w:eastAsia="it-IT"/>
        </w:rPr>
        <w:t>.</w:t>
      </w:r>
    </w:p>
    <w:p w:rsidR="00DB10B2" w:rsidRPr="00583E39" w:rsidRDefault="00583E39" w:rsidP="00583E3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583E39">
        <w:rPr>
          <w:rFonts w:eastAsia="Calibri" w:cs="Calibri"/>
          <w:color w:val="000000"/>
          <w:lang w:eastAsia="it-IT"/>
        </w:rPr>
        <w:t>Il collirio</w:t>
      </w:r>
      <w:r w:rsidR="00E83F8D" w:rsidRPr="00583E39">
        <w:rPr>
          <w:rFonts w:eastAsia="Calibri" w:cs="Calibri"/>
          <w:color w:val="000000"/>
          <w:lang w:eastAsia="it-IT"/>
        </w:rPr>
        <w:t xml:space="preserve"> </w:t>
      </w:r>
      <w:r w:rsidR="00257BC5" w:rsidRPr="00583E39">
        <w:rPr>
          <w:rFonts w:eastAsia="Calibri" w:cs="Calibri"/>
          <w:color w:val="000000"/>
          <w:lang w:eastAsia="it-IT"/>
        </w:rPr>
        <w:t xml:space="preserve">è utilizzato </w:t>
      </w:r>
      <w:r w:rsidR="007B5980" w:rsidRPr="00583E39">
        <w:rPr>
          <w:rFonts w:eastAsia="Calibri" w:cs="Calibri"/>
          <w:color w:val="000000"/>
          <w:lang w:eastAsia="it-IT"/>
        </w:rPr>
        <w:t xml:space="preserve">negli adulti e nei bambini da due anni di età in poi </w:t>
      </w:r>
      <w:r w:rsidR="00257BC5" w:rsidRPr="00583E39">
        <w:t xml:space="preserve">nel trattamento </w:t>
      </w:r>
      <w:r w:rsidR="007B5980" w:rsidRPr="00583E39">
        <w:t>delle infiammazioni oculari quando è necessario un corticosteroide e quando esista un’infezione oculare o il rischio di infezioni oculari.</w:t>
      </w:r>
    </w:p>
    <w:p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E83F8D" w:rsidRPr="00583E39" w:rsidRDefault="00E83F8D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83E39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F25566">
        <w:rPr>
          <w:rFonts w:eastAsia="Calibri" w:cs="Calibri"/>
          <w:b/>
          <w:bCs/>
          <w:color w:val="000000"/>
          <w:lang w:eastAsia="it-IT"/>
        </w:rPr>
        <w:t>Vardamir</w:t>
      </w:r>
      <w:proofErr w:type="spellEnd"/>
      <w:r w:rsidRPr="00583E39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583E39" w:rsidRDefault="00F25566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Vardamir</w:t>
      </w:r>
      <w:proofErr w:type="spellEnd"/>
      <w:r w:rsidR="00257BC5" w:rsidRPr="00583E39">
        <w:rPr>
          <w:rFonts w:eastAsia="DejaVuSans" w:cs="DejaVuSans"/>
        </w:rPr>
        <w:t xml:space="preserve"> </w:t>
      </w:r>
      <w:r w:rsidR="004241AC" w:rsidRPr="00583E39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4241AC" w:rsidRPr="00583E39" w:rsidRDefault="00257BC5" w:rsidP="00583E39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583E39">
        <w:t>L</w:t>
      </w:r>
      <w:r w:rsidR="004241AC" w:rsidRPr="00583E39">
        <w:t xml:space="preserve">a dose </w:t>
      </w:r>
      <w:r w:rsidR="00874733" w:rsidRPr="00583E39">
        <w:t>raccomandata</w:t>
      </w:r>
      <w:r w:rsidRPr="00583E39">
        <w:t xml:space="preserve"> </w:t>
      </w:r>
      <w:r w:rsidR="00583E39">
        <w:t>per il collirio negli</w:t>
      </w:r>
      <w:r w:rsidRPr="00583E39">
        <w:t xml:space="preserve"> adulti </w:t>
      </w:r>
      <w:r w:rsidR="007B5980" w:rsidRPr="00583E39">
        <w:t xml:space="preserve">e nei bambini da due anni di età in poi </w:t>
      </w:r>
      <w:r w:rsidRPr="00583E39">
        <w:t>è di</w:t>
      </w:r>
      <w:r w:rsidR="00874733" w:rsidRPr="00583E39">
        <w:t xml:space="preserve"> </w:t>
      </w:r>
      <w:r w:rsidR="007B5980" w:rsidRPr="00583E39">
        <w:rPr>
          <w:rFonts w:cs="Arial"/>
        </w:rPr>
        <w:t>1 o 2 gocce 4-5 volte al giorno.</w:t>
      </w:r>
    </w:p>
    <w:p w:rsidR="00894CF1" w:rsidRDefault="00894CF1" w:rsidP="00583E39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583E39" w:rsidRPr="00583E39" w:rsidRDefault="00583E39" w:rsidP="00583E39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83E39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F25566">
        <w:rPr>
          <w:rFonts w:eastAsia="Calibri" w:cs="Calibri"/>
          <w:b/>
          <w:bCs/>
          <w:color w:val="000000"/>
          <w:lang w:eastAsia="it-IT"/>
        </w:rPr>
        <w:t>Vardamir</w:t>
      </w:r>
      <w:proofErr w:type="spellEnd"/>
      <w:r w:rsidRPr="00583E39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94CF1" w:rsidRPr="00BA7D67" w:rsidRDefault="00B747A2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>
        <w:rPr>
          <w:rFonts w:eastAsia="Calibri" w:cs="Calibri"/>
          <w:bCs/>
          <w:color w:val="000000"/>
          <w:lang w:eastAsia="it-IT"/>
        </w:rPr>
        <w:t>Vardamir,</w:t>
      </w:r>
      <w:r w:rsidR="00E43089" w:rsidRPr="00583E39">
        <w:rPr>
          <w:rFonts w:eastAsia="DejaVuSans" w:cs="DejaVuSans"/>
        </w:rPr>
        <w:t xml:space="preserve"> </w:t>
      </w:r>
      <w:r w:rsidR="00894CF1" w:rsidRPr="00583E39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7B5980" w:rsidRPr="00583E39">
        <w:rPr>
          <w:rFonts w:ascii="Calibri" w:hAnsi="Calibri"/>
          <w:iCs/>
        </w:rPr>
        <w:t>S01CA01</w:t>
      </w:r>
      <w:r w:rsidR="00894CF1" w:rsidRPr="00583E39">
        <w:rPr>
          <w:rFonts w:ascii="Calibri" w:hAnsi="Calibri"/>
          <w:iCs/>
        </w:rPr>
        <w:t>,</w:t>
      </w:r>
      <w:r w:rsidR="00894CF1" w:rsidRPr="00583E39">
        <w:rPr>
          <w:rFonts w:eastAsia="DejaVuSans" w:cs="DejaVuSans"/>
        </w:rPr>
        <w:t xml:space="preserve"> </w:t>
      </w:r>
      <w:r w:rsidR="007B5980" w:rsidRPr="00583E39">
        <w:rPr>
          <w:rFonts w:eastAsia="Calibri" w:cs="Calibri"/>
          <w:color w:val="000000"/>
          <w:lang w:eastAsia="it-IT"/>
        </w:rPr>
        <w:t>contiene i principi attivi</w:t>
      </w:r>
      <w:r w:rsidR="00894CF1" w:rsidRPr="00583E39">
        <w:rPr>
          <w:rFonts w:eastAsia="Calibri" w:cs="Calibri"/>
          <w:color w:val="000000"/>
          <w:lang w:eastAsia="it-IT"/>
        </w:rPr>
        <w:t xml:space="preserve"> </w:t>
      </w:r>
      <w:r w:rsidR="003A4849" w:rsidRPr="00583E39">
        <w:rPr>
          <w:rFonts w:eastAsia="Calibri" w:cs="Calibri"/>
          <w:color w:val="000000"/>
          <w:lang w:eastAsia="it-IT"/>
        </w:rPr>
        <w:t>tobramicina e</w:t>
      </w:r>
      <w:r w:rsidR="007B5980" w:rsidRPr="00583E39">
        <w:rPr>
          <w:rFonts w:eastAsia="Calibri" w:cs="Calibri"/>
          <w:color w:val="000000"/>
          <w:lang w:eastAsia="it-IT"/>
        </w:rPr>
        <w:t xml:space="preserve"> desametasone</w:t>
      </w:r>
      <w:r w:rsidR="00351E32" w:rsidRPr="00583E39">
        <w:rPr>
          <w:rFonts w:eastAsia="Calibri" w:cs="Calibri"/>
          <w:color w:val="000000"/>
          <w:lang w:eastAsia="it-IT"/>
        </w:rPr>
        <w:t>: la tobramicina</w:t>
      </w:r>
      <w:r w:rsidR="00894CF1" w:rsidRPr="00583E39">
        <w:rPr>
          <w:rFonts w:eastAsia="Calibri" w:cs="Calibri"/>
          <w:color w:val="000000"/>
          <w:lang w:eastAsia="it-IT"/>
        </w:rPr>
        <w:t xml:space="preserve"> </w:t>
      </w:r>
      <w:r w:rsidR="00351E32" w:rsidRPr="00583E39">
        <w:rPr>
          <w:rFonts w:eastAsia="Calibri" w:cs="Calibri"/>
          <w:color w:val="000000"/>
          <w:lang w:eastAsia="it-IT"/>
        </w:rPr>
        <w:t xml:space="preserve">è un antibiotico aminoglicosidico </w:t>
      </w:r>
      <w:r w:rsidR="003A4849" w:rsidRPr="00583E39">
        <w:rPr>
          <w:rFonts w:eastAsia="Calibri" w:cs="Calibri"/>
          <w:color w:val="000000"/>
          <w:lang w:eastAsia="it-IT"/>
        </w:rPr>
        <w:t xml:space="preserve">a rapida attività battericida che </w:t>
      </w:r>
      <w:r w:rsidR="003A4849" w:rsidRPr="00583E39">
        <w:rPr>
          <w:rFonts w:eastAsia="DejaVuSans" w:cs="DejaVuSans"/>
        </w:rPr>
        <w:t>inibisce la sintesi nelle cellule batteriche, e il successivo assemblaggio, di proteine necessarie alla vita del batterio</w:t>
      </w:r>
      <w:r w:rsidR="00351E32" w:rsidRPr="00583E39">
        <w:rPr>
          <w:rFonts w:eastAsia="Calibri" w:cs="Calibri"/>
          <w:color w:val="000000"/>
          <w:lang w:eastAsia="it-IT"/>
        </w:rPr>
        <w:t>; il</w:t>
      </w:r>
      <w:r w:rsidR="00351E32">
        <w:rPr>
          <w:rFonts w:eastAsia="Calibri" w:cs="Calibri"/>
          <w:color w:val="000000"/>
          <w:lang w:eastAsia="it-IT"/>
        </w:rPr>
        <w:t xml:space="preserve"> desametasone è un </w:t>
      </w:r>
      <w:r w:rsidR="00351E32" w:rsidRPr="00351E32">
        <w:rPr>
          <w:rFonts w:eastAsia="Calibri" w:cs="Calibri"/>
          <w:color w:val="000000"/>
          <w:lang w:eastAsia="it-IT"/>
        </w:rPr>
        <w:t>corticosteroide moderata</w:t>
      </w:r>
      <w:r w:rsidR="00351E32">
        <w:rPr>
          <w:rFonts w:eastAsia="Calibri" w:cs="Calibri"/>
          <w:color w:val="000000"/>
          <w:lang w:eastAsia="it-IT"/>
        </w:rPr>
        <w:t>mente potente</w:t>
      </w:r>
      <w:r w:rsidR="00351E32" w:rsidRPr="00351E32">
        <w:rPr>
          <w:rFonts w:eastAsia="Calibri" w:cs="Calibri"/>
          <w:color w:val="000000"/>
          <w:lang w:eastAsia="it-IT"/>
        </w:rPr>
        <w:t xml:space="preserve"> che </w:t>
      </w:r>
      <w:r w:rsidR="00351E32">
        <w:rPr>
          <w:rFonts w:eastAsia="Calibri" w:cs="Calibri"/>
          <w:color w:val="000000"/>
          <w:lang w:eastAsia="it-IT"/>
        </w:rPr>
        <w:t>sopprime</w:t>
      </w:r>
      <w:r w:rsidR="00351E32" w:rsidRPr="00351E32">
        <w:rPr>
          <w:rFonts w:eastAsia="Calibri" w:cs="Calibri"/>
          <w:color w:val="000000"/>
          <w:lang w:eastAsia="it-IT"/>
        </w:rPr>
        <w:t xml:space="preserve"> la risposta infiammatoria e i sintomi associati</w:t>
      </w:r>
      <w:r w:rsidR="00894CF1" w:rsidRPr="00BA7D67">
        <w:rPr>
          <w:rFonts w:eastAsia="DejaVuSans" w:cs="DejaVuSans"/>
        </w:rPr>
        <w:t>.</w:t>
      </w:r>
    </w:p>
    <w:p w:rsidR="004241AC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417C92" w:rsidRDefault="00417C92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A7D67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A7D67">
        <w:rPr>
          <w:rFonts w:eastAsia="Calibri" w:cs="Calibri"/>
          <w:b/>
          <w:bCs/>
          <w:lang w:eastAsia="it-IT"/>
        </w:rPr>
        <w:lastRenderedPageBreak/>
        <w:t xml:space="preserve">4) COME È STATO STUDIATO </w:t>
      </w:r>
      <w:proofErr w:type="spellStart"/>
      <w:r w:rsidR="00F25566">
        <w:rPr>
          <w:rFonts w:eastAsia="Calibri" w:cs="Calibri"/>
          <w:b/>
          <w:bCs/>
          <w:color w:val="000000"/>
          <w:lang w:eastAsia="it-IT"/>
        </w:rPr>
        <w:t>Vardamir</w:t>
      </w:r>
      <w:proofErr w:type="spellEnd"/>
      <w:r w:rsidRPr="00BA7D67">
        <w:rPr>
          <w:rFonts w:eastAsia="Calibri" w:cs="Calibri"/>
          <w:b/>
          <w:bCs/>
          <w:lang w:eastAsia="it-IT"/>
        </w:rPr>
        <w:t xml:space="preserve">? </w:t>
      </w:r>
    </w:p>
    <w:p w:rsidR="003A4849" w:rsidRDefault="003A4849" w:rsidP="00017E6F">
      <w:pPr>
        <w:spacing w:after="0" w:line="240" w:lineRule="auto"/>
        <w:jc w:val="both"/>
        <w:rPr>
          <w:rFonts w:cs="Arial"/>
        </w:rPr>
      </w:pPr>
      <w:r w:rsidRPr="003A4849">
        <w:rPr>
          <w:rFonts w:cs="Arial"/>
        </w:rPr>
        <w:t xml:space="preserve">Poiché </w:t>
      </w:r>
      <w:proofErr w:type="spellStart"/>
      <w:r w:rsidR="00F25566">
        <w:rPr>
          <w:rFonts w:cs="Arial"/>
        </w:rPr>
        <w:t>Vardamir</w:t>
      </w:r>
      <w:proofErr w:type="spellEnd"/>
      <w:r w:rsidRPr="003A4849">
        <w:rPr>
          <w:rFonts w:cs="Arial"/>
        </w:rPr>
        <w:t xml:space="preserve"> è un medicinale generico ed è somministrato come</w:t>
      </w:r>
      <w:r w:rsidRPr="0023693E">
        <w:rPr>
          <w:rFonts w:cs="Arial"/>
        </w:rPr>
        <w:t xml:space="preserve"> </w:t>
      </w:r>
      <w:r>
        <w:rPr>
          <w:rFonts w:cs="Arial"/>
        </w:rPr>
        <w:t>collirio</w:t>
      </w:r>
      <w:r w:rsidR="001617CE">
        <w:rPr>
          <w:rFonts w:cs="Arial"/>
        </w:rPr>
        <w:t xml:space="preserve"> (soluzione oftalmica) </w:t>
      </w:r>
      <w:r>
        <w:rPr>
          <w:rFonts w:cs="Arial"/>
        </w:rPr>
        <w:t>con</w:t>
      </w:r>
      <w:r w:rsidRPr="00B21EAE">
        <w:rPr>
          <w:rFonts w:cs="Arial"/>
        </w:rPr>
        <w:t xml:space="preserve"> stessa composizione del medicinale di rifer</w:t>
      </w:r>
      <w:r>
        <w:rPr>
          <w:rFonts w:cs="Arial"/>
        </w:rPr>
        <w:t>i</w:t>
      </w:r>
      <w:r w:rsidRPr="00B21EAE">
        <w:rPr>
          <w:rFonts w:cs="Arial"/>
        </w:rPr>
        <w:t>mento</w:t>
      </w:r>
      <w:r>
        <w:rPr>
          <w:rFonts w:cs="Arial"/>
        </w:rPr>
        <w:t xml:space="preserve"> (l’unica differenza sta nella salificazione del desametasone presente come base libera nel medicinale di riferimento e come sale sodio fosfato)</w:t>
      </w:r>
      <w:r w:rsidRPr="00B21EAE">
        <w:rPr>
          <w:rFonts w:cs="Arial"/>
        </w:rPr>
        <w:t>, non è stato necessario effettuare ulteriori studi clinici.</w:t>
      </w:r>
    </w:p>
    <w:p w:rsidR="003A4849" w:rsidRDefault="003A4849" w:rsidP="00017E6F">
      <w:pPr>
        <w:spacing w:after="0" w:line="240" w:lineRule="auto"/>
        <w:jc w:val="both"/>
        <w:rPr>
          <w:rFonts w:cs="Arial"/>
          <w:highlight w:val="yellow"/>
        </w:rPr>
      </w:pPr>
    </w:p>
    <w:p w:rsidR="00257BC5" w:rsidRPr="002A3F14" w:rsidRDefault="00257BC5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F25566">
        <w:rPr>
          <w:rFonts w:eastAsia="Calibri" w:cs="Calibri"/>
          <w:b/>
          <w:bCs/>
          <w:color w:val="000000"/>
          <w:lang w:eastAsia="it-IT"/>
        </w:rPr>
        <w:t>Vardamir</w:t>
      </w:r>
      <w:proofErr w:type="spellEnd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F25566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Vardamir</w:t>
      </w:r>
      <w:proofErr w:type="spellEnd"/>
      <w:r w:rsidR="009B03D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>generico ed è 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 al medicinale di riferimento</w:t>
      </w:r>
      <w:r w:rsidR="00BA7D67">
        <w:rPr>
          <w:rFonts w:eastAsia="Calibri" w:cs="Calibri"/>
          <w:lang w:eastAsia="it-IT"/>
        </w:rPr>
        <w:t>;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F25566">
        <w:rPr>
          <w:rFonts w:eastAsia="Calibri" w:cs="Calibri"/>
          <w:b/>
          <w:bCs/>
          <w:color w:val="000000"/>
          <w:lang w:eastAsia="it-IT"/>
        </w:rPr>
        <w:t>Vardamir</w:t>
      </w:r>
      <w:proofErr w:type="spellEnd"/>
      <w:r w:rsidR="009B03D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3693E">
        <w:rPr>
          <w:rFonts w:eastAsia="Calibri" w:cs="Calibri"/>
          <w:lang w:eastAsia="it-IT"/>
        </w:rPr>
        <w:t xml:space="preserve">La Commissione Tecnico Scientifica (CTS), nella seduta del </w:t>
      </w:r>
      <w:r w:rsidR="001617CE">
        <w:rPr>
          <w:rFonts w:eastAsia="Calibri" w:cs="Calibri"/>
          <w:lang w:eastAsia="it-IT"/>
        </w:rPr>
        <w:t>7 aprile 2014</w:t>
      </w:r>
      <w:r w:rsidRPr="0023693E">
        <w:rPr>
          <w:rFonts w:eastAsia="Calibri" w:cs="Calibri"/>
          <w:lang w:eastAsia="it-IT"/>
        </w:rPr>
        <w:t>, ha concluso che,</w:t>
      </w:r>
      <w:r>
        <w:rPr>
          <w:rFonts w:eastAsia="Calibri" w:cs="Calibri"/>
          <w:lang w:eastAsia="it-IT"/>
        </w:rPr>
        <w:t xml:space="preserve">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r w:rsidR="009A3D16">
        <w:rPr>
          <w:rFonts w:eastAsia="Calibri" w:cs="Calibri"/>
          <w:lang w:eastAsia="it-IT"/>
        </w:rPr>
        <w:t>Tobradex</w:t>
      </w:r>
      <w:r w:rsidR="00BD3508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i benefici di </w:t>
      </w:r>
      <w:proofErr w:type="spellStart"/>
      <w:r w:rsidR="00F25566">
        <w:rPr>
          <w:rFonts w:eastAsia="Calibri" w:cs="Calibri"/>
          <w:lang w:eastAsia="it-IT"/>
        </w:rPr>
        <w:t>Vardamir</w:t>
      </w:r>
      <w:proofErr w:type="spellEnd"/>
      <w:r w:rsidR="009A3D16" w:rsidRPr="009A3D16">
        <w:rPr>
          <w:rFonts w:eastAsia="Calibri" w:cs="Calibri"/>
          <w:lang w:eastAsia="it-IT"/>
        </w:rPr>
        <w:t xml:space="preserve"> </w:t>
      </w:r>
      <w:r w:rsidR="006737C1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>d</w:t>
      </w:r>
      <w:r w:rsidR="00257BC5">
        <w:rPr>
          <w:rFonts w:eastAsia="Calibri" w:cs="Calibri"/>
          <w:lang w:eastAsia="it-IT"/>
        </w:rPr>
        <w:t xml:space="preserve">i prescrizione di cui al punto </w:t>
      </w:r>
      <w:r w:rsidRPr="0011250C">
        <w:rPr>
          <w:rFonts w:eastAsia="Calibri" w:cs="Calibri"/>
          <w:lang w:eastAsia="it-IT"/>
        </w:rPr>
        <w:t xml:space="preserve">2) di questo Riassunto e la classe di rimborsabilità del </w:t>
      </w:r>
      <w:r w:rsidRPr="008748A5">
        <w:rPr>
          <w:rFonts w:eastAsia="Calibri" w:cs="Calibri"/>
          <w:lang w:eastAsia="it-IT"/>
        </w:rPr>
        <w:t>medicinale</w:t>
      </w:r>
      <w:r w:rsidR="00D20170" w:rsidRPr="008748A5">
        <w:rPr>
          <w:rFonts w:eastAsia="Calibri" w:cs="Calibri"/>
          <w:lang w:eastAsia="it-IT"/>
        </w:rPr>
        <w:t xml:space="preserve"> </w:t>
      </w:r>
      <w:r w:rsidRPr="008748A5">
        <w:rPr>
          <w:rFonts w:eastAsia="Calibri" w:cs="Calibri"/>
          <w:lang w:eastAsia="it-IT"/>
        </w:rPr>
        <w:t>(</w:t>
      </w:r>
      <w:r w:rsidR="00BD3508" w:rsidRPr="008748A5">
        <w:rPr>
          <w:rFonts w:eastAsia="Calibri" w:cs="Calibri"/>
          <w:lang w:eastAsia="it-IT"/>
        </w:rPr>
        <w:t>C</w:t>
      </w:r>
      <w:r w:rsidRPr="008748A5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F25566">
        <w:rPr>
          <w:rFonts w:eastAsia="Calibri" w:cs="Calibri"/>
          <w:b/>
          <w:bCs/>
          <w:color w:val="000000"/>
          <w:lang w:eastAsia="it-IT"/>
        </w:rPr>
        <w:t>Vardamir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3F270A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F25566">
        <w:rPr>
          <w:rFonts w:eastAsia="Calibri" w:cs="Calibri"/>
          <w:lang w:eastAsia="it-IT"/>
        </w:rPr>
        <w:t>Vardamir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F25566">
        <w:rPr>
          <w:rFonts w:eastAsia="Calibri" w:cs="Calibri"/>
          <w:b/>
          <w:bCs/>
          <w:color w:val="000000"/>
          <w:lang w:eastAsia="it-IT"/>
        </w:rPr>
        <w:t>Vardamir</w:t>
      </w:r>
      <w:proofErr w:type="spellEnd"/>
    </w:p>
    <w:p w:rsidR="004241AC" w:rsidRPr="00CA3A1E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23693E">
        <w:rPr>
          <w:rFonts w:eastAsia="Calibri" w:cs="Calibri"/>
          <w:bCs/>
          <w:iCs/>
          <w:lang w:eastAsia="it-IT"/>
        </w:rPr>
        <w:t xml:space="preserve">Il </w:t>
      </w:r>
      <w:r w:rsidR="001617CE">
        <w:rPr>
          <w:rFonts w:eastAsia="Calibri" w:cs="Calibri"/>
          <w:bCs/>
          <w:iCs/>
          <w:lang w:eastAsia="it-IT"/>
        </w:rPr>
        <w:t>1</w:t>
      </w:r>
      <w:r w:rsidR="00F25566">
        <w:rPr>
          <w:rFonts w:eastAsia="Calibri" w:cs="Calibri"/>
          <w:bCs/>
          <w:iCs/>
          <w:lang w:eastAsia="it-IT"/>
        </w:rPr>
        <w:t>6</w:t>
      </w:r>
      <w:r w:rsidR="008748A5">
        <w:rPr>
          <w:rFonts w:eastAsia="Calibri" w:cs="Calibri"/>
          <w:bCs/>
          <w:iCs/>
          <w:lang w:eastAsia="it-IT"/>
        </w:rPr>
        <w:t xml:space="preserve"> luglio 201</w:t>
      </w:r>
      <w:r w:rsidR="001617CE">
        <w:rPr>
          <w:rFonts w:eastAsia="Calibri" w:cs="Calibri"/>
          <w:bCs/>
          <w:iCs/>
          <w:lang w:eastAsia="it-IT"/>
        </w:rPr>
        <w:t>4</w:t>
      </w:r>
      <w:r w:rsidRPr="0023693E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F25566">
        <w:rPr>
          <w:rFonts w:eastAsia="Calibri" w:cs="Calibri"/>
          <w:bCs/>
          <w:color w:val="000000"/>
          <w:lang w:eastAsia="it-IT"/>
        </w:rPr>
        <w:t>Vardamir</w:t>
      </w:r>
      <w:proofErr w:type="spellEnd"/>
      <w:r w:rsidRPr="00CA3A1E">
        <w:rPr>
          <w:rFonts w:eastAsia="Calibri" w:cs="Calibri"/>
          <w:bCs/>
          <w:lang w:eastAsia="it-IT"/>
        </w:rPr>
        <w:t xml:space="preserve">. </w:t>
      </w:r>
    </w:p>
    <w:p w:rsidR="00417C92" w:rsidRDefault="00417C92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F25566">
        <w:rPr>
          <w:rFonts w:eastAsia="Calibri" w:cs="Calibri"/>
          <w:bCs/>
          <w:color w:val="000000"/>
          <w:lang w:eastAsia="it-IT"/>
        </w:rPr>
        <w:t>Vardamir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F33944">
        <w:rPr>
          <w:rFonts w:eastAsia="Calibri" w:cs="Calibri"/>
          <w:lang w:eastAsia="it-IT"/>
        </w:rPr>
        <w:t>(</w:t>
      </w:r>
      <w:hyperlink r:id="rId6" w:history="1">
        <w:r w:rsidR="00F3394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33944">
        <w:rPr>
          <w:rFonts w:eastAsia="Calibri" w:cs="Calibri"/>
          <w:lang w:eastAsia="it-IT"/>
        </w:rPr>
        <w:t>)</w:t>
      </w:r>
      <w:r w:rsidR="00F33944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017E6F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017E6F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E1AB2">
        <w:rPr>
          <w:rFonts w:eastAsia="Calibri" w:cs="Calibri"/>
          <w:lang w:eastAsia="it-IT"/>
        </w:rPr>
        <w:t xml:space="preserve">Questo riassunto è stato redatto in data </w:t>
      </w:r>
      <w:r w:rsidR="00EC0AF0">
        <w:rPr>
          <w:rFonts w:eastAsia="Calibri" w:cs="Calibri"/>
          <w:lang w:eastAsia="it-IT"/>
        </w:rPr>
        <w:t>13.10.2015</w:t>
      </w:r>
      <w:r w:rsidRPr="002E1AB2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017E6F">
      <w:pPr>
        <w:spacing w:after="0" w:line="240" w:lineRule="auto"/>
        <w:jc w:val="both"/>
      </w:pPr>
    </w:p>
    <w:p w:rsidR="004241AC" w:rsidRDefault="004241AC" w:rsidP="00017E6F">
      <w:pPr>
        <w:spacing w:after="0" w:line="240" w:lineRule="auto"/>
        <w:jc w:val="both"/>
      </w:pPr>
    </w:p>
    <w:p w:rsidR="003A4849" w:rsidRDefault="003A4849" w:rsidP="00017E6F">
      <w:pPr>
        <w:spacing w:after="0" w:line="240" w:lineRule="auto"/>
        <w:jc w:val="both"/>
      </w:pPr>
    </w:p>
    <w:p w:rsidR="003A4849" w:rsidRDefault="003A4849" w:rsidP="00017E6F">
      <w:pPr>
        <w:spacing w:after="0" w:line="240" w:lineRule="auto"/>
        <w:jc w:val="both"/>
      </w:pPr>
    </w:p>
    <w:p w:rsidR="003A4849" w:rsidRDefault="003A4849" w:rsidP="00017E6F">
      <w:pPr>
        <w:spacing w:after="0" w:line="240" w:lineRule="auto"/>
        <w:jc w:val="both"/>
      </w:pPr>
    </w:p>
    <w:p w:rsidR="003A4849" w:rsidRDefault="003A4849" w:rsidP="00017E6F">
      <w:pPr>
        <w:spacing w:after="0" w:line="240" w:lineRule="auto"/>
        <w:jc w:val="both"/>
      </w:pPr>
    </w:p>
    <w:p w:rsidR="00017E6F" w:rsidRDefault="00017E6F" w:rsidP="00017E6F">
      <w:pPr>
        <w:spacing w:after="0" w:line="240" w:lineRule="auto"/>
        <w:jc w:val="both"/>
      </w:pPr>
    </w:p>
    <w:p w:rsidR="00017E6F" w:rsidRDefault="00017E6F" w:rsidP="00017E6F">
      <w:pPr>
        <w:spacing w:after="0" w:line="240" w:lineRule="auto"/>
        <w:jc w:val="both"/>
      </w:pPr>
    </w:p>
    <w:p w:rsidR="00017E6F" w:rsidRDefault="00017E6F" w:rsidP="00017E6F">
      <w:pPr>
        <w:spacing w:after="0" w:line="240" w:lineRule="auto"/>
        <w:jc w:val="both"/>
      </w:pPr>
    </w:p>
    <w:sectPr w:rsidR="00017E6F" w:rsidSect="00017E6F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4D1ED9C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D2C76"/>
    <w:multiLevelType w:val="hybridMultilevel"/>
    <w:tmpl w:val="ECAAF834"/>
    <w:lvl w:ilvl="0" w:tplc="4B4631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ssandro">
    <w15:presenceInfo w15:providerId="None" w15:userId="alessandro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13020"/>
    <w:rsid w:val="00017E6F"/>
    <w:rsid w:val="00037F9B"/>
    <w:rsid w:val="00042B96"/>
    <w:rsid w:val="00062636"/>
    <w:rsid w:val="00077016"/>
    <w:rsid w:val="0008174F"/>
    <w:rsid w:val="000955DE"/>
    <w:rsid w:val="000F1057"/>
    <w:rsid w:val="00106267"/>
    <w:rsid w:val="00111E9E"/>
    <w:rsid w:val="0011250C"/>
    <w:rsid w:val="001617CE"/>
    <w:rsid w:val="00180C71"/>
    <w:rsid w:val="001D5612"/>
    <w:rsid w:val="002132D5"/>
    <w:rsid w:val="0023693E"/>
    <w:rsid w:val="00246D26"/>
    <w:rsid w:val="00257BC5"/>
    <w:rsid w:val="00266FBD"/>
    <w:rsid w:val="002A0377"/>
    <w:rsid w:val="002C0350"/>
    <w:rsid w:val="002E1AB2"/>
    <w:rsid w:val="002E2BD3"/>
    <w:rsid w:val="002E6A3E"/>
    <w:rsid w:val="002F223F"/>
    <w:rsid w:val="00336B62"/>
    <w:rsid w:val="00351E32"/>
    <w:rsid w:val="00375CAA"/>
    <w:rsid w:val="003A4849"/>
    <w:rsid w:val="003C5F22"/>
    <w:rsid w:val="003D51BE"/>
    <w:rsid w:val="003F0212"/>
    <w:rsid w:val="003F270A"/>
    <w:rsid w:val="00417C92"/>
    <w:rsid w:val="004241AC"/>
    <w:rsid w:val="00452364"/>
    <w:rsid w:val="00465F70"/>
    <w:rsid w:val="004A1685"/>
    <w:rsid w:val="004B20A8"/>
    <w:rsid w:val="00583E39"/>
    <w:rsid w:val="005C14E6"/>
    <w:rsid w:val="005F6F6F"/>
    <w:rsid w:val="006373E8"/>
    <w:rsid w:val="006737C1"/>
    <w:rsid w:val="006F4207"/>
    <w:rsid w:val="00702312"/>
    <w:rsid w:val="00725DCD"/>
    <w:rsid w:val="00744E80"/>
    <w:rsid w:val="007B5980"/>
    <w:rsid w:val="008068A5"/>
    <w:rsid w:val="00823C7F"/>
    <w:rsid w:val="008422F7"/>
    <w:rsid w:val="00874733"/>
    <w:rsid w:val="008748A5"/>
    <w:rsid w:val="00894CF1"/>
    <w:rsid w:val="008F006E"/>
    <w:rsid w:val="008F6138"/>
    <w:rsid w:val="00910137"/>
    <w:rsid w:val="0093186E"/>
    <w:rsid w:val="00950FE0"/>
    <w:rsid w:val="00970F45"/>
    <w:rsid w:val="009A260F"/>
    <w:rsid w:val="009A3D16"/>
    <w:rsid w:val="009B03DB"/>
    <w:rsid w:val="00A05212"/>
    <w:rsid w:val="00A1005E"/>
    <w:rsid w:val="00A163E6"/>
    <w:rsid w:val="00A32D65"/>
    <w:rsid w:val="00A40FF3"/>
    <w:rsid w:val="00A976DE"/>
    <w:rsid w:val="00AA58C6"/>
    <w:rsid w:val="00AB09ED"/>
    <w:rsid w:val="00B35507"/>
    <w:rsid w:val="00B747A2"/>
    <w:rsid w:val="00B97317"/>
    <w:rsid w:val="00BA43B9"/>
    <w:rsid w:val="00BA7D67"/>
    <w:rsid w:val="00BC74C2"/>
    <w:rsid w:val="00BD3508"/>
    <w:rsid w:val="00BD35A9"/>
    <w:rsid w:val="00BE3201"/>
    <w:rsid w:val="00BF1041"/>
    <w:rsid w:val="00BF12EE"/>
    <w:rsid w:val="00C10B2E"/>
    <w:rsid w:val="00C32A17"/>
    <w:rsid w:val="00CC677B"/>
    <w:rsid w:val="00CC7AFF"/>
    <w:rsid w:val="00D0448B"/>
    <w:rsid w:val="00D20170"/>
    <w:rsid w:val="00D23ADB"/>
    <w:rsid w:val="00D578E3"/>
    <w:rsid w:val="00D61114"/>
    <w:rsid w:val="00DB10B2"/>
    <w:rsid w:val="00DC3FBC"/>
    <w:rsid w:val="00DE6FC2"/>
    <w:rsid w:val="00DF4C50"/>
    <w:rsid w:val="00E43089"/>
    <w:rsid w:val="00E83F8D"/>
    <w:rsid w:val="00E87FD2"/>
    <w:rsid w:val="00EB590B"/>
    <w:rsid w:val="00EC0AF0"/>
    <w:rsid w:val="00EC7C6D"/>
    <w:rsid w:val="00ED175B"/>
    <w:rsid w:val="00ED641F"/>
    <w:rsid w:val="00EF062E"/>
    <w:rsid w:val="00F12477"/>
    <w:rsid w:val="00F25566"/>
    <w:rsid w:val="00F33944"/>
    <w:rsid w:val="00F66767"/>
    <w:rsid w:val="00FA2702"/>
    <w:rsid w:val="00FB053D"/>
    <w:rsid w:val="00FD0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63E6"/>
  </w:style>
  <w:style w:type="paragraph" w:styleId="Titolo1">
    <w:name w:val="heading 1"/>
    <w:basedOn w:val="Normale"/>
    <w:link w:val="Titolo1Carattere"/>
    <w:uiPriority w:val="9"/>
    <w:qFormat/>
    <w:rsid w:val="00417C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3394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7C9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417C92"/>
    <w:rPr>
      <w:rFonts w:ascii="Arial" w:hAnsi="Arial" w:cs="Arial" w:hint="default"/>
    </w:rPr>
  </w:style>
  <w:style w:type="paragraph" w:styleId="Rientrocorpodeltesto3">
    <w:name w:val="Body Text Indent 3"/>
    <w:basedOn w:val="Normale"/>
    <w:link w:val="Rientrocorpodeltesto3Carattere"/>
    <w:rsid w:val="00417C92"/>
    <w:pPr>
      <w:tabs>
        <w:tab w:val="left" w:pos="720"/>
        <w:tab w:val="left" w:pos="1418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tLeast"/>
      <w:ind w:left="1418" w:hanging="720"/>
      <w:jc w:val="both"/>
    </w:pPr>
    <w:rPr>
      <w:rFonts w:ascii="Arial" w:eastAsia="Times New Roman" w:hAnsi="Arial" w:cs="Times New Roman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417C92"/>
    <w:rPr>
      <w:rFonts w:ascii="Arial" w:eastAsia="Times New Roman" w:hAnsi="Arial" w:cs="Times New Roman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B35507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AB09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9A3D1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A3D1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A3D1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A3D1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A3D16"/>
    <w:rPr>
      <w:b/>
      <w:bCs/>
      <w:sz w:val="20"/>
      <w:szCs w:val="20"/>
    </w:rPr>
  </w:style>
  <w:style w:type="character" w:customStyle="1" w:styleId="CharacterStyle2">
    <w:name w:val="Character Style 2"/>
    <w:rsid w:val="00583E39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2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5" Type="http://schemas.microsoft.com/office/2011/relationships/people" Target="people.xml"/><Relationship Id="rId4" Type="http://schemas.openxmlformats.org/officeDocument/2006/relationships/webSettings" Target="webSetting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7</cp:revision>
  <dcterms:created xsi:type="dcterms:W3CDTF">2015-10-12T08:28:00Z</dcterms:created>
  <dcterms:modified xsi:type="dcterms:W3CDTF">2015-10-20T15:01:00Z</dcterms:modified>
</cp:coreProperties>
</file>