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326548" w:rsidP="004241AC">
      <w:pPr>
        <w:spacing w:after="0" w:line="240" w:lineRule="auto"/>
        <w:jc w:val="center"/>
        <w:rPr>
          <w:lang w:val="en-US"/>
        </w:rPr>
      </w:pPr>
      <w:r w:rsidRPr="00326548">
        <w:rPr>
          <w:noProof/>
          <w:lang w:eastAsia="it-IT"/>
        </w:rPr>
        <w:drawing>
          <wp:inline distT="0" distB="0" distL="0" distR="0">
            <wp:extent cx="3485385" cy="1322324"/>
            <wp:effectExtent l="19050" t="0" r="76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495375" cy="1326114"/>
                    </a:xfrm>
                    <a:prstGeom prst="rect">
                      <a:avLst/>
                    </a:prstGeom>
                    <a:noFill/>
                    <a:ln w="9525">
                      <a:noFill/>
                      <a:miter lim="800000"/>
                      <a:headEnd/>
                      <a:tailEnd/>
                    </a:ln>
                  </pic:spPr>
                </pic:pic>
              </a:graphicData>
            </a:graphic>
          </wp:inline>
        </w:drawing>
      </w:r>
    </w:p>
    <w:p w:rsidR="004241AC" w:rsidRDefault="004241AC" w:rsidP="004241AC">
      <w:pPr>
        <w:spacing w:after="0" w:line="240" w:lineRule="auto"/>
        <w:jc w:val="center"/>
        <w:rPr>
          <w:b/>
        </w:rPr>
      </w:pPr>
    </w:p>
    <w:p w:rsidR="004241AC" w:rsidRPr="001C7AD0" w:rsidRDefault="00B53B58" w:rsidP="00B32D81">
      <w:pPr>
        <w:spacing w:after="0" w:line="240" w:lineRule="auto"/>
        <w:jc w:val="center"/>
        <w:rPr>
          <w:b/>
          <w:sz w:val="28"/>
        </w:rPr>
      </w:pPr>
      <w:r>
        <w:rPr>
          <w:b/>
          <w:sz w:val="28"/>
        </w:rPr>
        <w:t xml:space="preserve">Riassunto della Relazione Pubblica </w:t>
      </w:r>
      <w:r w:rsidR="004241AC" w:rsidRPr="001C7AD0">
        <w:rPr>
          <w:b/>
          <w:sz w:val="28"/>
        </w:rPr>
        <w:t>di Valutazione</w:t>
      </w:r>
    </w:p>
    <w:p w:rsidR="00B32D81" w:rsidRDefault="00B32D81" w:rsidP="00B32D81">
      <w:pPr>
        <w:spacing w:after="0" w:line="240" w:lineRule="auto"/>
        <w:jc w:val="center"/>
        <w:rPr>
          <w:b/>
        </w:rPr>
      </w:pPr>
    </w:p>
    <w:p w:rsidR="009F0F0B" w:rsidRPr="00B32D81" w:rsidRDefault="009F0F0B" w:rsidP="00B32D81">
      <w:pPr>
        <w:autoSpaceDE w:val="0"/>
        <w:autoSpaceDN w:val="0"/>
        <w:adjustRightInd w:val="0"/>
        <w:spacing w:after="0" w:line="240" w:lineRule="auto"/>
        <w:jc w:val="center"/>
        <w:rPr>
          <w:b/>
          <w:highlight w:val="yellow"/>
        </w:rPr>
      </w:pPr>
      <w:bookmarkStart w:id="0" w:name="Text15"/>
    </w:p>
    <w:p w:rsidR="00DA1945" w:rsidRPr="00C051DB" w:rsidRDefault="00074E7C" w:rsidP="00B32D81">
      <w:pPr>
        <w:widowControl w:val="0"/>
        <w:spacing w:after="0" w:line="240" w:lineRule="auto"/>
        <w:jc w:val="center"/>
        <w:rPr>
          <w:b/>
          <w:sz w:val="32"/>
        </w:rPr>
      </w:pPr>
      <w:r>
        <w:rPr>
          <w:b/>
          <w:sz w:val="32"/>
        </w:rPr>
        <w:t>AMOCLA</w:t>
      </w:r>
    </w:p>
    <w:p w:rsidR="004241AC" w:rsidRPr="00C051DB" w:rsidRDefault="00DA1945" w:rsidP="00B32D81">
      <w:pPr>
        <w:widowControl w:val="0"/>
        <w:spacing w:after="0" w:line="240" w:lineRule="auto"/>
        <w:jc w:val="center"/>
        <w:rPr>
          <w:snapToGrid w:val="0"/>
        </w:rPr>
      </w:pPr>
      <w:r w:rsidRPr="00C051DB">
        <w:rPr>
          <w:snapToGrid w:val="0"/>
        </w:rPr>
        <w:t>(</w:t>
      </w:r>
      <w:r w:rsidR="00074E7C">
        <w:rPr>
          <w:snapToGrid w:val="0"/>
        </w:rPr>
        <w:t xml:space="preserve">AMOXICILLINA E ACIDO CLAVULANICO </w:t>
      </w:r>
      <w:r w:rsidR="004241AC" w:rsidRPr="00C051DB">
        <w:rPr>
          <w:snapToGrid w:val="0"/>
        </w:rPr>
        <w:t>)</w:t>
      </w:r>
    </w:p>
    <w:p w:rsidR="00A15887" w:rsidRDefault="00A15887" w:rsidP="00B32D81">
      <w:pPr>
        <w:autoSpaceDE w:val="0"/>
        <w:autoSpaceDN w:val="0"/>
        <w:adjustRightInd w:val="0"/>
        <w:spacing w:after="0" w:line="240" w:lineRule="auto"/>
        <w:jc w:val="center"/>
        <w:rPr>
          <w:b/>
          <w:highlight w:val="yellow"/>
        </w:rPr>
      </w:pPr>
    </w:p>
    <w:p w:rsidR="00FF3972" w:rsidRDefault="00074E7C" w:rsidP="00B32D81">
      <w:pPr>
        <w:spacing w:after="0" w:line="240" w:lineRule="auto"/>
        <w:jc w:val="center"/>
        <w:rPr>
          <w:b/>
        </w:rPr>
      </w:pPr>
      <w:r w:rsidRPr="00074E7C">
        <w:rPr>
          <w:b/>
        </w:rPr>
        <w:t>IBN Savio srl</w:t>
      </w:r>
    </w:p>
    <w:p w:rsidR="00074E7C" w:rsidRDefault="00074E7C" w:rsidP="00B32D81">
      <w:pPr>
        <w:spacing w:after="0" w:line="240" w:lineRule="auto"/>
        <w:jc w:val="center"/>
        <w:rPr>
          <w:b/>
        </w:rPr>
      </w:pPr>
    </w:p>
    <w:p w:rsidR="00B32D81" w:rsidRPr="00B32D81" w:rsidRDefault="004241AC" w:rsidP="00074E7C">
      <w:pPr>
        <w:spacing w:after="0" w:line="240" w:lineRule="auto"/>
        <w:jc w:val="center"/>
        <w:rPr>
          <w:rFonts w:eastAsia="Calibri" w:cs="Calibri"/>
          <w:b/>
          <w:color w:val="000000"/>
          <w:lang w:eastAsia="it-IT"/>
        </w:rPr>
      </w:pPr>
      <w:r w:rsidRPr="00B32D81">
        <w:rPr>
          <w:b/>
        </w:rPr>
        <w:t xml:space="preserve">Numero di AIC: </w:t>
      </w:r>
      <w:bookmarkEnd w:id="0"/>
      <w:r w:rsidR="00074E7C" w:rsidRPr="00074E7C">
        <w:rPr>
          <w:b/>
        </w:rPr>
        <w:t>045173</w:t>
      </w:r>
      <w:r w:rsidR="00F80DE9">
        <w:rPr>
          <w:rFonts w:eastAsia="Calibri" w:cs="Calibri"/>
          <w:b/>
          <w:color w:val="000000"/>
          <w:lang w:eastAsia="it-IT"/>
        </w:rPr>
        <w:t xml:space="preserve"> </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widowControl w:val="0"/>
        <w:spacing w:after="0" w:line="240" w:lineRule="auto"/>
        <w:jc w:val="both"/>
        <w:rPr>
          <w:rFonts w:cs="Times New Roman"/>
          <w:b/>
          <w:bCs/>
          <w:color w:val="000000"/>
        </w:rPr>
      </w:pPr>
      <w:r w:rsidRPr="00B32D81">
        <w:rPr>
          <w:rFonts w:eastAsia="Calibri" w:cs="Calibri"/>
          <w:color w:val="000000"/>
          <w:lang w:eastAsia="it-IT"/>
        </w:rPr>
        <w:t xml:space="preserve">Questa è la sintesi del </w:t>
      </w:r>
      <w:r w:rsidR="00322BF5" w:rsidRPr="00B32D81">
        <w:rPr>
          <w:rFonts w:eastAsia="Calibri" w:cs="Calibri"/>
          <w:i/>
          <w:color w:val="000000"/>
          <w:lang w:eastAsia="it-IT"/>
        </w:rPr>
        <w:t>Public Assessment Report</w:t>
      </w:r>
      <w:r w:rsidRPr="00B32D81">
        <w:rPr>
          <w:rFonts w:eastAsia="Calibri" w:cs="Calibri"/>
          <w:color w:val="000000"/>
          <w:lang w:eastAsia="it-IT"/>
        </w:rPr>
        <w:t xml:space="preserve"> (PAR) per </w:t>
      </w:r>
      <w:r w:rsidR="00074E7C">
        <w:rPr>
          <w:rFonts w:cs="Times New Roman"/>
          <w:bCs/>
          <w:color w:val="000000"/>
        </w:rPr>
        <w:t>AMOCLA</w:t>
      </w:r>
      <w:r w:rsidR="00FF3972">
        <w:rPr>
          <w:rFonts w:cs="Times New Roman"/>
          <w:bCs/>
          <w:color w:val="000000"/>
        </w:rPr>
        <w:t>.</w:t>
      </w:r>
      <w:r w:rsidRPr="00B32D81">
        <w:rPr>
          <w:rFonts w:eastAsia="Calibri" w:cs="Calibri"/>
          <w:bCs/>
          <w:color w:val="000000"/>
          <w:lang w:eastAsia="it-IT"/>
        </w:rPr>
        <w:t xml:space="preserve"> </w:t>
      </w:r>
      <w:r w:rsidRPr="00B32D81">
        <w:rPr>
          <w:rFonts w:eastAsia="Calibri" w:cs="Calibri"/>
          <w:color w:val="000000"/>
          <w:lang w:eastAsia="it-IT"/>
        </w:rPr>
        <w:t xml:space="preserve">Esso spiega come </w:t>
      </w:r>
      <w:r w:rsidR="00074E7C">
        <w:rPr>
          <w:rFonts w:eastAsia="Calibri" w:cs="Calibri"/>
          <w:color w:val="000000"/>
          <w:lang w:eastAsia="it-IT"/>
        </w:rPr>
        <w:t>AMOCLA</w:t>
      </w:r>
      <w:r w:rsidR="00FF3972" w:rsidRPr="00FF3972">
        <w:rPr>
          <w:rFonts w:eastAsia="Calibri" w:cs="Calibri"/>
          <w:color w:val="000000"/>
          <w:lang w:eastAsia="it-IT"/>
        </w:rPr>
        <w:t xml:space="preserve"> </w:t>
      </w:r>
      <w:r w:rsidRPr="00B32D81">
        <w:rPr>
          <w:rFonts w:eastAsia="Calibri" w:cs="Calibri"/>
          <w:color w:val="000000"/>
          <w:lang w:eastAsia="it-IT"/>
        </w:rPr>
        <w:t xml:space="preserve">è stato valutato dalla Commissione Tecnico-Scientifica (CTS) e sue le condizioni </w:t>
      </w:r>
      <w:r w:rsidR="005D53B9" w:rsidRPr="00B32D81">
        <w:rPr>
          <w:rFonts w:eastAsia="Calibri" w:cs="Calibri"/>
          <w:color w:val="000000"/>
          <w:lang w:eastAsia="it-IT"/>
        </w:rPr>
        <w:t xml:space="preserve">di impiego. Non intende fornire </w:t>
      </w:r>
      <w:r w:rsidRPr="00B32D81">
        <w:rPr>
          <w:rFonts w:eastAsia="Calibri" w:cs="Calibri"/>
          <w:color w:val="000000"/>
          <w:lang w:eastAsia="it-IT"/>
        </w:rPr>
        <w:t xml:space="preserve">consigli pratici su come utilizzare </w:t>
      </w:r>
      <w:r w:rsidR="00074E7C">
        <w:rPr>
          <w:rFonts w:eastAsia="Calibri" w:cs="Calibri"/>
          <w:color w:val="000000"/>
          <w:lang w:eastAsia="it-IT"/>
        </w:rPr>
        <w:t>AMOCLA</w:t>
      </w:r>
      <w:r w:rsidR="00FF3972">
        <w:rPr>
          <w:rFonts w:eastAsia="Calibri" w:cs="Calibri"/>
          <w:color w:val="000000"/>
          <w:lang w:eastAsia="it-IT"/>
        </w:rPr>
        <w:t>.</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color w:val="000000"/>
          <w:lang w:eastAsia="it-IT"/>
        </w:rPr>
        <w:t>Per informazioni pratiche sull'utilizzo di</w:t>
      </w:r>
      <w:r w:rsidRPr="00B32D81">
        <w:rPr>
          <w:rFonts w:eastAsia="Calibri" w:cs="Calibri"/>
          <w:bCs/>
          <w:color w:val="000000"/>
          <w:lang w:eastAsia="it-IT"/>
        </w:rPr>
        <w:t xml:space="preserve"> </w:t>
      </w:r>
      <w:r w:rsidR="00074E7C">
        <w:rPr>
          <w:rFonts w:eastAsia="Calibri" w:cs="Calibri"/>
          <w:color w:val="000000"/>
          <w:lang w:eastAsia="it-IT"/>
        </w:rPr>
        <w:t>AMOCLA</w:t>
      </w:r>
      <w:r w:rsidR="00FF3972" w:rsidRPr="00FF3972">
        <w:rPr>
          <w:rFonts w:eastAsia="Calibri" w:cs="Calibri"/>
          <w:color w:val="000000"/>
          <w:lang w:eastAsia="it-IT"/>
        </w:rPr>
        <w:t xml:space="preserve"> </w:t>
      </w:r>
      <w:r w:rsidRPr="00B32D81">
        <w:rPr>
          <w:rFonts w:eastAsia="Calibri" w:cs="Calibri"/>
          <w:color w:val="000000"/>
          <w:lang w:eastAsia="it-IT"/>
        </w:rPr>
        <w:t xml:space="preserve">i pazienti devono consultare il foglio illustrativo o contattare il loro medico o </w:t>
      </w:r>
      <w:r w:rsidR="00FA55B0" w:rsidRPr="00B32D81">
        <w:rPr>
          <w:rFonts w:eastAsia="Calibri" w:cs="Calibri"/>
          <w:color w:val="000000"/>
          <w:lang w:eastAsia="it-IT"/>
        </w:rPr>
        <w:t xml:space="preserve">il </w:t>
      </w:r>
      <w:r w:rsidRPr="00B32D81">
        <w:rPr>
          <w:rFonts w:eastAsia="Calibri" w:cs="Calibri"/>
          <w:color w:val="000000"/>
          <w:lang w:eastAsia="it-IT"/>
        </w:rPr>
        <w:t xml:space="preserve">farmacista. </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b/>
          <w:bCs/>
          <w:color w:val="000000"/>
          <w:lang w:eastAsia="it-IT"/>
        </w:rPr>
        <w:t xml:space="preserve">1) CHE COS’È </w:t>
      </w:r>
      <w:r w:rsidR="00074E7C">
        <w:rPr>
          <w:rFonts w:eastAsia="Calibri" w:cs="Calibri"/>
          <w:b/>
          <w:color w:val="000000"/>
          <w:lang w:eastAsia="it-IT"/>
        </w:rPr>
        <w:t>AMOCLA</w:t>
      </w:r>
      <w:r w:rsidR="00FF3972" w:rsidRPr="00FF3972">
        <w:rPr>
          <w:rFonts w:eastAsia="Calibri" w:cs="Calibri"/>
          <w:b/>
          <w:color w:val="000000"/>
          <w:lang w:eastAsia="it-IT"/>
        </w:rPr>
        <w:t xml:space="preserve"> </w:t>
      </w:r>
      <w:r w:rsidR="003A0AA5" w:rsidRPr="00B32D81">
        <w:rPr>
          <w:rFonts w:eastAsia="Calibri" w:cs="Calibri"/>
          <w:b/>
          <w:bCs/>
          <w:color w:val="000000"/>
          <w:lang w:eastAsia="it-IT"/>
        </w:rPr>
        <w:t>E A COSA SERVE</w:t>
      </w:r>
      <w:r w:rsidRPr="00B32D81">
        <w:rPr>
          <w:rFonts w:eastAsia="Calibri" w:cs="Calibri"/>
          <w:b/>
          <w:bCs/>
          <w:color w:val="000000"/>
          <w:lang w:eastAsia="it-IT"/>
        </w:rPr>
        <w:t xml:space="preserve">? </w:t>
      </w:r>
    </w:p>
    <w:p w:rsidR="00182C9C" w:rsidRPr="00182C9C" w:rsidRDefault="00074E7C" w:rsidP="00182C9C">
      <w:pPr>
        <w:widowControl w:val="0"/>
        <w:spacing w:after="0" w:line="240" w:lineRule="auto"/>
        <w:jc w:val="both"/>
        <w:rPr>
          <w:rFonts w:eastAsia="Calibri" w:cs="Calibri"/>
          <w:color w:val="000000"/>
          <w:lang w:eastAsia="it-IT"/>
        </w:rPr>
      </w:pPr>
      <w:r>
        <w:rPr>
          <w:rFonts w:eastAsia="Calibri" w:cs="Calibri"/>
          <w:color w:val="000000"/>
          <w:lang w:eastAsia="it-IT"/>
        </w:rPr>
        <w:t>AMOCLA</w:t>
      </w:r>
      <w:r w:rsidR="00FF3972" w:rsidRPr="00FF3972">
        <w:rPr>
          <w:rFonts w:eastAsia="Calibri" w:cs="Calibri"/>
          <w:color w:val="000000"/>
          <w:lang w:eastAsia="it-IT"/>
        </w:rPr>
        <w:t xml:space="preserve"> </w:t>
      </w:r>
      <w:r w:rsidR="004241AC" w:rsidRPr="00B32D81">
        <w:rPr>
          <w:rFonts w:eastAsia="Calibri" w:cs="Calibri"/>
          <w:color w:val="000000"/>
          <w:lang w:eastAsia="it-IT"/>
        </w:rPr>
        <w:t xml:space="preserve">è un medicinale contenente </w:t>
      </w:r>
      <w:r w:rsidR="00062636" w:rsidRPr="00B32D81">
        <w:rPr>
          <w:rFonts w:eastAsia="Calibri" w:cs="Calibri"/>
          <w:color w:val="000000"/>
          <w:lang w:eastAsia="it-IT"/>
        </w:rPr>
        <w:t>i</w:t>
      </w:r>
      <w:r w:rsidR="004241AC" w:rsidRPr="00B32D81">
        <w:rPr>
          <w:rFonts w:eastAsia="Calibri" w:cs="Calibri"/>
          <w:color w:val="000000"/>
          <w:lang w:eastAsia="it-IT"/>
        </w:rPr>
        <w:t xml:space="preserve"> principi</w:t>
      </w:r>
      <w:r w:rsidR="0060553B">
        <w:rPr>
          <w:rFonts w:eastAsia="Calibri" w:cs="Calibri"/>
          <w:color w:val="000000"/>
          <w:lang w:eastAsia="it-IT"/>
        </w:rPr>
        <w:t xml:space="preserve"> attivi amoxicillina e acido cl</w:t>
      </w:r>
      <w:r w:rsidR="0061374D">
        <w:rPr>
          <w:rFonts w:eastAsia="Calibri" w:cs="Calibri"/>
          <w:color w:val="000000"/>
          <w:lang w:eastAsia="it-IT"/>
        </w:rPr>
        <w:t>a</w:t>
      </w:r>
      <w:r w:rsidR="0060553B">
        <w:rPr>
          <w:rFonts w:eastAsia="Calibri" w:cs="Calibri"/>
          <w:color w:val="000000"/>
          <w:lang w:eastAsia="it-IT"/>
        </w:rPr>
        <w:t>vulanico</w:t>
      </w:r>
      <w:r w:rsidR="00D416F1">
        <w:rPr>
          <w:rFonts w:eastAsia="Calibri" w:cs="Calibri"/>
          <w:color w:val="000000"/>
          <w:lang w:eastAsia="it-IT"/>
        </w:rPr>
        <w:t xml:space="preserve"> </w:t>
      </w:r>
      <w:r w:rsidR="00915A40">
        <w:rPr>
          <w:rFonts w:eastAsia="Calibri" w:cs="Calibri"/>
          <w:color w:val="000000"/>
          <w:lang w:eastAsia="it-IT"/>
        </w:rPr>
        <w:t xml:space="preserve">e </w:t>
      </w:r>
      <w:r w:rsidR="004960F4" w:rsidRPr="004A3172">
        <w:rPr>
          <w:rFonts w:eastAsia="Calibri" w:cs="Calibri"/>
          <w:color w:val="000000"/>
          <w:lang w:eastAsia="it-IT"/>
        </w:rPr>
        <w:t>si usa</w:t>
      </w:r>
      <w:r w:rsidR="00915A40">
        <w:rPr>
          <w:rFonts w:eastAsia="Calibri" w:cs="Calibri"/>
          <w:color w:val="000000"/>
          <w:lang w:eastAsia="it-IT"/>
        </w:rPr>
        <w:t xml:space="preserve"> </w:t>
      </w:r>
      <w:r w:rsidR="00182C9C" w:rsidRPr="00182C9C">
        <w:rPr>
          <w:rFonts w:eastAsia="Calibri" w:cs="Calibri"/>
          <w:color w:val="000000"/>
          <w:lang w:eastAsia="it-IT"/>
        </w:rPr>
        <w:t>negli adulti e nei bambini per trattare le seguenti infezioni:</w:t>
      </w:r>
    </w:p>
    <w:p w:rsidR="00182C9C" w:rsidRPr="00182C9C" w:rsidRDefault="00182C9C" w:rsidP="00182C9C">
      <w:pPr>
        <w:widowControl w:val="0"/>
        <w:spacing w:after="0" w:line="240" w:lineRule="auto"/>
        <w:jc w:val="both"/>
        <w:rPr>
          <w:rFonts w:eastAsia="Calibri" w:cs="Calibri"/>
          <w:color w:val="000000"/>
          <w:lang w:eastAsia="it-IT"/>
        </w:rPr>
      </w:pPr>
      <w:r w:rsidRPr="00182C9C">
        <w:rPr>
          <w:rFonts w:eastAsia="Calibri" w:cs="Calibri"/>
          <w:color w:val="000000"/>
          <w:lang w:eastAsia="it-IT"/>
        </w:rPr>
        <w:t>•</w:t>
      </w:r>
      <w:r w:rsidRPr="00182C9C">
        <w:rPr>
          <w:rFonts w:eastAsia="Calibri" w:cs="Calibri"/>
          <w:color w:val="000000"/>
          <w:lang w:eastAsia="it-IT"/>
        </w:rPr>
        <w:tab/>
        <w:t>Infezioni dell’orecchio medio e dei seni nasali</w:t>
      </w:r>
    </w:p>
    <w:p w:rsidR="00182C9C" w:rsidRPr="00182C9C" w:rsidRDefault="00182C9C" w:rsidP="00182C9C">
      <w:pPr>
        <w:widowControl w:val="0"/>
        <w:spacing w:after="0" w:line="240" w:lineRule="auto"/>
        <w:jc w:val="both"/>
        <w:rPr>
          <w:rFonts w:eastAsia="Calibri" w:cs="Calibri"/>
          <w:color w:val="000000"/>
          <w:lang w:eastAsia="it-IT"/>
        </w:rPr>
      </w:pPr>
      <w:r w:rsidRPr="00182C9C">
        <w:rPr>
          <w:rFonts w:eastAsia="Calibri" w:cs="Calibri"/>
          <w:color w:val="000000"/>
          <w:lang w:eastAsia="it-IT"/>
        </w:rPr>
        <w:t>•</w:t>
      </w:r>
      <w:r w:rsidRPr="00182C9C">
        <w:rPr>
          <w:rFonts w:eastAsia="Calibri" w:cs="Calibri"/>
          <w:color w:val="000000"/>
          <w:lang w:eastAsia="it-IT"/>
        </w:rPr>
        <w:tab/>
        <w:t>Infezioni del tratto respiratorio</w:t>
      </w:r>
    </w:p>
    <w:p w:rsidR="00182C9C" w:rsidRPr="00182C9C" w:rsidRDefault="00182C9C" w:rsidP="00182C9C">
      <w:pPr>
        <w:widowControl w:val="0"/>
        <w:spacing w:after="0" w:line="240" w:lineRule="auto"/>
        <w:jc w:val="both"/>
        <w:rPr>
          <w:rFonts w:eastAsia="Calibri" w:cs="Calibri"/>
          <w:color w:val="000000"/>
          <w:lang w:eastAsia="it-IT"/>
        </w:rPr>
      </w:pPr>
      <w:r w:rsidRPr="00182C9C">
        <w:rPr>
          <w:rFonts w:eastAsia="Calibri" w:cs="Calibri"/>
          <w:color w:val="000000"/>
          <w:lang w:eastAsia="it-IT"/>
        </w:rPr>
        <w:t>•</w:t>
      </w:r>
      <w:r w:rsidRPr="00182C9C">
        <w:rPr>
          <w:rFonts w:eastAsia="Calibri" w:cs="Calibri"/>
          <w:color w:val="000000"/>
          <w:lang w:eastAsia="it-IT"/>
        </w:rPr>
        <w:tab/>
        <w:t>Infezioni del tratto urinario</w:t>
      </w:r>
    </w:p>
    <w:p w:rsidR="00182C9C" w:rsidRPr="00182C9C" w:rsidRDefault="00182C9C" w:rsidP="00182C9C">
      <w:pPr>
        <w:widowControl w:val="0"/>
        <w:spacing w:after="0" w:line="240" w:lineRule="auto"/>
        <w:jc w:val="both"/>
        <w:rPr>
          <w:rFonts w:eastAsia="Calibri" w:cs="Calibri"/>
          <w:color w:val="000000"/>
          <w:lang w:eastAsia="it-IT"/>
        </w:rPr>
      </w:pPr>
      <w:r w:rsidRPr="00182C9C">
        <w:rPr>
          <w:rFonts w:eastAsia="Calibri" w:cs="Calibri"/>
          <w:color w:val="000000"/>
          <w:lang w:eastAsia="it-IT"/>
        </w:rPr>
        <w:t>•</w:t>
      </w:r>
      <w:r w:rsidRPr="00182C9C">
        <w:rPr>
          <w:rFonts w:eastAsia="Calibri" w:cs="Calibri"/>
          <w:color w:val="000000"/>
          <w:lang w:eastAsia="it-IT"/>
        </w:rPr>
        <w:tab/>
        <w:t>Infezioni della pelle e dei tessuti molli incluse infezioni dentali</w:t>
      </w:r>
    </w:p>
    <w:p w:rsidR="00182C9C" w:rsidRDefault="00182C9C" w:rsidP="00182C9C">
      <w:pPr>
        <w:widowControl w:val="0"/>
        <w:spacing w:after="0" w:line="240" w:lineRule="auto"/>
        <w:jc w:val="both"/>
        <w:rPr>
          <w:rFonts w:eastAsia="Calibri" w:cs="Calibri"/>
          <w:color w:val="000000"/>
          <w:lang w:eastAsia="it-IT"/>
        </w:rPr>
      </w:pPr>
      <w:r w:rsidRPr="00182C9C">
        <w:rPr>
          <w:rFonts w:eastAsia="Calibri" w:cs="Calibri"/>
          <w:color w:val="000000"/>
          <w:lang w:eastAsia="it-IT"/>
        </w:rPr>
        <w:t xml:space="preserve">•         </w:t>
      </w:r>
      <w:r>
        <w:rPr>
          <w:rFonts w:eastAsia="Calibri" w:cs="Calibri"/>
          <w:color w:val="000000"/>
          <w:lang w:eastAsia="it-IT"/>
        </w:rPr>
        <w:t xml:space="preserve">   </w:t>
      </w:r>
      <w:r w:rsidRPr="00182C9C">
        <w:rPr>
          <w:rFonts w:eastAsia="Calibri" w:cs="Calibri"/>
          <w:color w:val="000000"/>
          <w:lang w:eastAsia="it-IT"/>
        </w:rPr>
        <w:t>Infezioni delle ossa e delle articolazioni</w:t>
      </w:r>
    </w:p>
    <w:p w:rsidR="00E0569D" w:rsidRPr="00182C9C" w:rsidRDefault="00E0569D" w:rsidP="00182C9C">
      <w:pPr>
        <w:widowControl w:val="0"/>
        <w:spacing w:after="0" w:line="240" w:lineRule="auto"/>
        <w:jc w:val="both"/>
        <w:rPr>
          <w:rFonts w:eastAsia="Calibri" w:cs="Calibri"/>
          <w:color w:val="000000"/>
          <w:lang w:eastAsia="it-IT"/>
        </w:rPr>
      </w:pPr>
      <w:r>
        <w:rPr>
          <w:rFonts w:eastAsia="Calibri" w:cs="Calibri"/>
          <w:color w:val="000000"/>
          <w:lang w:eastAsia="it-IT"/>
        </w:rPr>
        <w:t>AMOCLA</w:t>
      </w:r>
      <w:r w:rsidRPr="00E0569D">
        <w:rPr>
          <w:rFonts w:eastAsia="Calibri" w:cs="Calibri"/>
          <w:color w:val="000000"/>
          <w:lang w:eastAsia="it-IT"/>
        </w:rPr>
        <w:t xml:space="preserve"> è un “medicinale generico”, cioè è analogo ad un “medicinale di riferimento”, Augmentin (Titolare GSK) già autorizzato in Italia e disponibile agli stessi dosaggi e forme farmaceutiche.</w:t>
      </w:r>
    </w:p>
    <w:p w:rsidR="00255431" w:rsidRPr="00255431" w:rsidRDefault="00A668D0" w:rsidP="004C0764">
      <w:pPr>
        <w:widowControl w:val="0"/>
        <w:spacing w:after="0" w:line="240" w:lineRule="auto"/>
        <w:jc w:val="both"/>
        <w:rPr>
          <w:rFonts w:eastAsia="Calibri" w:cs="Calibri"/>
          <w:color w:val="000000"/>
          <w:lang w:eastAsia="it-IT"/>
        </w:rPr>
      </w:pPr>
      <w:r>
        <w:rPr>
          <w:rFonts w:eastAsia="Calibri" w:cs="Calibri"/>
          <w:color w:val="000000"/>
          <w:lang w:eastAsia="it-IT"/>
        </w:rPr>
        <w:t xml:space="preserve"> </w:t>
      </w: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2) COME E’ PRESCRITTO/USATO </w:t>
      </w:r>
      <w:r w:rsidR="00074E7C">
        <w:rPr>
          <w:rFonts w:eastAsia="Calibri" w:cs="Calibri"/>
          <w:b/>
          <w:color w:val="000000"/>
          <w:lang w:eastAsia="it-IT"/>
        </w:rPr>
        <w:t>AMOCLA</w:t>
      </w:r>
      <w:r w:rsidRPr="00502AB1">
        <w:rPr>
          <w:rFonts w:eastAsia="Calibri" w:cs="Calibri"/>
          <w:b/>
          <w:bCs/>
          <w:color w:val="000000"/>
          <w:lang w:eastAsia="it-IT"/>
        </w:rPr>
        <w:t>?</w:t>
      </w:r>
    </w:p>
    <w:p w:rsidR="007935FE" w:rsidRPr="00502AB1" w:rsidRDefault="00074E7C" w:rsidP="00AE3426">
      <w:pPr>
        <w:widowControl w:val="0"/>
        <w:spacing w:after="0" w:line="240" w:lineRule="auto"/>
        <w:jc w:val="both"/>
        <w:rPr>
          <w:rFonts w:eastAsia="Calibri" w:cs="Calibri"/>
          <w:color w:val="000000"/>
          <w:lang w:eastAsia="it-IT"/>
        </w:rPr>
      </w:pPr>
      <w:r>
        <w:rPr>
          <w:rFonts w:eastAsia="Calibri" w:cs="Calibri"/>
          <w:color w:val="000000"/>
          <w:lang w:eastAsia="it-IT"/>
        </w:rPr>
        <w:t>AMOCLA</w:t>
      </w:r>
      <w:r w:rsidR="00A668D0" w:rsidRPr="00A668D0">
        <w:rPr>
          <w:rFonts w:eastAsia="Calibri" w:cs="Calibri"/>
          <w:color w:val="000000"/>
          <w:lang w:eastAsia="it-IT"/>
        </w:rPr>
        <w:t xml:space="preserve"> </w:t>
      </w:r>
      <w:r w:rsidR="007935FE" w:rsidRPr="006058B8">
        <w:rPr>
          <w:rFonts w:eastAsia="Calibri" w:cs="Calibri"/>
          <w:color w:val="000000"/>
          <w:lang w:eastAsia="it-IT"/>
        </w:rPr>
        <w:t xml:space="preserve">può essere ottenuto </w:t>
      </w:r>
      <w:r w:rsidR="00182C9C">
        <w:rPr>
          <w:rFonts w:eastAsia="Calibri" w:cs="Calibri"/>
          <w:color w:val="000000"/>
          <w:lang w:eastAsia="it-IT"/>
        </w:rPr>
        <w:t>solo dietro</w:t>
      </w:r>
      <w:r w:rsidR="004960F4">
        <w:rPr>
          <w:rFonts w:eastAsia="Calibri" w:cs="Calibri"/>
          <w:color w:val="000000"/>
          <w:lang w:eastAsia="it-IT"/>
        </w:rPr>
        <w:t xml:space="preserve"> </w:t>
      </w:r>
      <w:r w:rsidR="00D8546C">
        <w:rPr>
          <w:rFonts w:eastAsia="Calibri" w:cs="Calibri"/>
          <w:color w:val="000000"/>
          <w:lang w:eastAsia="it-IT"/>
        </w:rPr>
        <w:t>la</w:t>
      </w:r>
      <w:r w:rsidR="004960F4">
        <w:rPr>
          <w:rFonts w:eastAsia="Calibri" w:cs="Calibri"/>
          <w:color w:val="000000"/>
          <w:lang w:eastAsia="it-IT"/>
        </w:rPr>
        <w:t xml:space="preserve"> </w:t>
      </w:r>
      <w:r w:rsidR="007935FE" w:rsidRPr="006058B8">
        <w:rPr>
          <w:rFonts w:eastAsia="Calibri" w:cs="Calibri"/>
          <w:color w:val="000000"/>
          <w:lang w:eastAsia="it-IT"/>
        </w:rPr>
        <w:t>prescrizione da parte del medico (</w:t>
      </w:r>
      <w:r w:rsidR="00182C9C">
        <w:rPr>
          <w:rFonts w:eastAsia="Calibri" w:cs="Calibri"/>
          <w:color w:val="000000"/>
          <w:lang w:eastAsia="it-IT"/>
        </w:rPr>
        <w:t>Ricetta Ripetibile</w:t>
      </w:r>
      <w:r w:rsidR="004960F4">
        <w:rPr>
          <w:rFonts w:eastAsia="Calibri" w:cs="Calibri"/>
          <w:color w:val="000000"/>
          <w:lang w:eastAsia="it-IT"/>
        </w:rPr>
        <w:t>).</w:t>
      </w:r>
    </w:p>
    <w:p w:rsidR="004C0764" w:rsidRPr="004C0764" w:rsidRDefault="004C0764" w:rsidP="004C0764">
      <w:pPr>
        <w:widowControl w:val="0"/>
        <w:spacing w:after="0" w:line="240" w:lineRule="auto"/>
        <w:jc w:val="both"/>
        <w:rPr>
          <w:rFonts w:eastAsia="Calibri" w:cs="Calibri"/>
          <w:color w:val="000000"/>
          <w:lang w:eastAsia="it-IT"/>
        </w:rPr>
      </w:pPr>
      <w:r w:rsidRPr="004C0764">
        <w:rPr>
          <w:rFonts w:eastAsia="Calibri" w:cs="Calibri"/>
          <w:color w:val="000000"/>
          <w:lang w:eastAsia="it-IT"/>
        </w:rPr>
        <w:t>AMOCLA è disponibile in:</w:t>
      </w:r>
    </w:p>
    <w:p w:rsidR="004C0764" w:rsidRPr="004C0764" w:rsidRDefault="004C0764" w:rsidP="004C0764">
      <w:pPr>
        <w:widowControl w:val="0"/>
        <w:spacing w:after="0" w:line="240" w:lineRule="auto"/>
        <w:jc w:val="both"/>
        <w:rPr>
          <w:rFonts w:eastAsia="Calibri" w:cs="Calibri"/>
          <w:color w:val="000000"/>
          <w:lang w:eastAsia="it-IT"/>
        </w:rPr>
      </w:pPr>
      <w:r w:rsidRPr="004C0764">
        <w:rPr>
          <w:rFonts w:eastAsia="Calibri" w:cs="Calibri"/>
          <w:color w:val="000000"/>
          <w:lang w:eastAsia="it-IT"/>
        </w:rPr>
        <w:t>- compresse rivestite con film contenenti amoxicillina triidrato equivalente a 875 mg di amoxicillina e potassio clavulanato equivalente a 125 mg di acido clavulanico;</w:t>
      </w:r>
    </w:p>
    <w:p w:rsidR="004C0764" w:rsidRPr="004C0764" w:rsidRDefault="004C0764" w:rsidP="004C0764">
      <w:pPr>
        <w:widowControl w:val="0"/>
        <w:spacing w:after="0" w:line="240" w:lineRule="auto"/>
        <w:jc w:val="both"/>
        <w:rPr>
          <w:rFonts w:eastAsia="Calibri" w:cs="Calibri"/>
          <w:color w:val="000000"/>
          <w:lang w:eastAsia="it-IT"/>
        </w:rPr>
      </w:pPr>
      <w:r w:rsidRPr="004C0764">
        <w:rPr>
          <w:rFonts w:eastAsia="Calibri" w:cs="Calibri"/>
          <w:color w:val="000000"/>
          <w:lang w:eastAsia="it-IT"/>
        </w:rPr>
        <w:t>- polvere per sospensione orale in bustine contenenti amoxicillina triidrato equivalente a 875 mg di amoxicillina e potassio clavulanato equivalente a 125 mg di acido clavulanico;</w:t>
      </w:r>
    </w:p>
    <w:p w:rsidR="004C0764" w:rsidRPr="004C0764" w:rsidRDefault="004C0764" w:rsidP="004C0764">
      <w:pPr>
        <w:widowControl w:val="0"/>
        <w:spacing w:after="0" w:line="240" w:lineRule="auto"/>
        <w:jc w:val="both"/>
        <w:rPr>
          <w:rFonts w:eastAsia="Calibri" w:cs="Calibri"/>
          <w:color w:val="000000"/>
          <w:lang w:eastAsia="it-IT"/>
        </w:rPr>
      </w:pPr>
      <w:r w:rsidRPr="004C0764">
        <w:rPr>
          <w:rFonts w:eastAsia="Calibri" w:cs="Calibri"/>
          <w:color w:val="000000"/>
          <w:lang w:eastAsia="it-IT"/>
        </w:rPr>
        <w:t xml:space="preserve">- polvere per sospensione orale </w:t>
      </w:r>
      <w:r w:rsidR="006378A8">
        <w:rPr>
          <w:rFonts w:eastAsia="Calibri" w:cs="Calibri"/>
          <w:color w:val="000000"/>
          <w:lang w:eastAsia="it-IT"/>
        </w:rPr>
        <w:t xml:space="preserve">contenente </w:t>
      </w:r>
      <w:r w:rsidR="006378A8" w:rsidRPr="004C0764">
        <w:rPr>
          <w:rFonts w:eastAsia="Calibri" w:cs="Calibri"/>
          <w:color w:val="000000"/>
          <w:lang w:eastAsia="it-IT"/>
        </w:rPr>
        <w:t>amoxicillina triidrato equivalente a 400 mg di amoxicillina e potassio clavulanato equivalente a 57 mg di acido clavulanico</w:t>
      </w:r>
      <w:r w:rsidR="006378A8">
        <w:rPr>
          <w:rFonts w:eastAsia="Calibri" w:cs="Calibri"/>
          <w:color w:val="000000"/>
          <w:lang w:eastAsia="it-IT"/>
        </w:rPr>
        <w:t xml:space="preserve"> in</w:t>
      </w:r>
      <w:r w:rsidRPr="004C0764">
        <w:rPr>
          <w:rFonts w:eastAsia="Calibri" w:cs="Calibri"/>
          <w:color w:val="000000"/>
          <w:lang w:eastAsia="it-IT"/>
        </w:rPr>
        <w:t xml:space="preserve"> 5 ml di sospensione orale </w:t>
      </w:r>
      <w:r w:rsidR="006378A8">
        <w:rPr>
          <w:rFonts w:eastAsia="Calibri" w:cs="Calibri"/>
          <w:color w:val="000000"/>
          <w:lang w:eastAsia="it-IT"/>
        </w:rPr>
        <w:t xml:space="preserve">ricostituita. </w:t>
      </w:r>
    </w:p>
    <w:p w:rsidR="00E0569D" w:rsidRDefault="004C0764" w:rsidP="004C0764">
      <w:pPr>
        <w:widowControl w:val="0"/>
        <w:spacing w:after="0" w:line="240" w:lineRule="auto"/>
        <w:jc w:val="both"/>
        <w:rPr>
          <w:rFonts w:eastAsia="Calibri" w:cs="Calibri"/>
          <w:color w:val="000000"/>
          <w:lang w:eastAsia="it-IT"/>
        </w:rPr>
      </w:pPr>
      <w:r>
        <w:rPr>
          <w:rFonts w:eastAsia="Calibri" w:cs="Calibri"/>
          <w:color w:val="000000"/>
          <w:lang w:eastAsia="it-IT"/>
        </w:rPr>
        <w:t xml:space="preserve">AMOCLA polvere per sospensione orale e AMOCLA </w:t>
      </w:r>
      <w:r w:rsidRPr="004C0764">
        <w:rPr>
          <w:rFonts w:eastAsia="Calibri" w:cs="Calibri"/>
          <w:color w:val="000000"/>
          <w:lang w:eastAsia="it-IT"/>
        </w:rPr>
        <w:t>polvere per sospensione orale</w:t>
      </w:r>
      <w:r>
        <w:rPr>
          <w:rFonts w:eastAsia="Calibri" w:cs="Calibri"/>
          <w:color w:val="000000"/>
          <w:lang w:eastAsia="it-IT"/>
        </w:rPr>
        <w:t xml:space="preserve"> in bustine</w:t>
      </w:r>
      <w:r w:rsidRPr="004C0764">
        <w:rPr>
          <w:rFonts w:eastAsia="Calibri" w:cs="Calibri"/>
          <w:color w:val="000000"/>
          <w:lang w:eastAsia="it-IT"/>
        </w:rPr>
        <w:t xml:space="preserve"> </w:t>
      </w:r>
      <w:r>
        <w:rPr>
          <w:rFonts w:eastAsia="Calibri" w:cs="Calibri"/>
          <w:color w:val="000000"/>
          <w:lang w:eastAsia="it-IT"/>
        </w:rPr>
        <w:t>devono essere ricostituiti con acqua prima dell’assunzione</w:t>
      </w:r>
      <w:r w:rsidR="006378A8">
        <w:rPr>
          <w:rFonts w:eastAsia="Calibri" w:cs="Calibri"/>
          <w:color w:val="000000"/>
          <w:lang w:eastAsia="it-IT"/>
        </w:rPr>
        <w:t>.</w:t>
      </w:r>
    </w:p>
    <w:p w:rsidR="00467B27" w:rsidRDefault="004C0764" w:rsidP="00467B27">
      <w:pPr>
        <w:widowControl w:val="0"/>
        <w:spacing w:after="0" w:line="240" w:lineRule="auto"/>
        <w:jc w:val="both"/>
        <w:rPr>
          <w:rFonts w:eastAsia="Calibri" w:cs="Calibri"/>
          <w:color w:val="000000"/>
          <w:lang w:eastAsia="it-IT"/>
        </w:rPr>
      </w:pPr>
      <w:r w:rsidRPr="004C0764">
        <w:rPr>
          <w:rFonts w:eastAsia="Calibri" w:cs="Calibri"/>
          <w:color w:val="000000"/>
          <w:lang w:eastAsia="it-IT"/>
        </w:rPr>
        <w:t>Per ma</w:t>
      </w:r>
      <w:r>
        <w:rPr>
          <w:rFonts w:eastAsia="Calibri" w:cs="Calibri"/>
          <w:color w:val="000000"/>
          <w:lang w:eastAsia="it-IT"/>
        </w:rPr>
        <w:t xml:space="preserve">ggiori informazioni riguardo la posologia raccomandata, la via </w:t>
      </w:r>
      <w:r w:rsidR="00E0569D">
        <w:rPr>
          <w:rFonts w:eastAsia="Calibri" w:cs="Calibri"/>
          <w:color w:val="000000"/>
          <w:lang w:eastAsia="it-IT"/>
        </w:rPr>
        <w:t xml:space="preserve">e la modalità di </w:t>
      </w:r>
      <w:r>
        <w:rPr>
          <w:rFonts w:eastAsia="Calibri" w:cs="Calibri"/>
          <w:color w:val="000000"/>
          <w:lang w:eastAsia="it-IT"/>
        </w:rPr>
        <w:t xml:space="preserve">somministrazione e la durata del trattamento con AMOCLA si </w:t>
      </w:r>
      <w:r w:rsidRPr="004C0764">
        <w:rPr>
          <w:rFonts w:eastAsia="Calibri" w:cs="Calibri"/>
          <w:color w:val="000000"/>
          <w:lang w:eastAsia="it-IT"/>
        </w:rPr>
        <w:t xml:space="preserve">può leggere il foglio illustrativo </w:t>
      </w:r>
      <w:r>
        <w:rPr>
          <w:rFonts w:eastAsia="Calibri" w:cs="Calibri"/>
          <w:color w:val="000000"/>
          <w:lang w:eastAsia="it-IT"/>
        </w:rPr>
        <w:t>(</w:t>
      </w:r>
      <w:r w:rsidRPr="004C0764">
        <w:rPr>
          <w:rFonts w:eastAsia="Calibri" w:cs="Calibri"/>
          <w:color w:val="000000"/>
          <w:lang w:eastAsia="it-IT"/>
        </w:rPr>
        <w:t xml:space="preserve">https://farmaci.agenziafarmaco.gov.it/bancadatifarmaci) o contattare il medico o il farmacista. </w:t>
      </w:r>
      <w:r w:rsidR="00467B27" w:rsidRPr="004C0764">
        <w:rPr>
          <w:rFonts w:eastAsia="Calibri" w:cs="Calibri"/>
          <w:color w:val="000000"/>
          <w:lang w:eastAsia="it-IT"/>
        </w:rPr>
        <w:t xml:space="preserve">  </w:t>
      </w:r>
    </w:p>
    <w:p w:rsidR="00E0569D" w:rsidRPr="004C0764" w:rsidRDefault="00E0569D" w:rsidP="00467B27">
      <w:pPr>
        <w:widowControl w:val="0"/>
        <w:spacing w:after="0" w:line="240" w:lineRule="auto"/>
        <w:jc w:val="both"/>
        <w:rPr>
          <w:rFonts w:eastAsia="Calibri" w:cs="Calibri"/>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3) COME FUNZIONA </w:t>
      </w:r>
      <w:r w:rsidR="00074E7C">
        <w:rPr>
          <w:rFonts w:eastAsia="Calibri" w:cs="Calibri"/>
          <w:b/>
          <w:color w:val="000000"/>
          <w:lang w:eastAsia="it-IT"/>
        </w:rPr>
        <w:t>AMOCLA</w:t>
      </w:r>
      <w:r w:rsidRPr="00502AB1">
        <w:rPr>
          <w:rFonts w:eastAsia="Calibri" w:cs="Calibri"/>
          <w:b/>
          <w:bCs/>
          <w:color w:val="000000"/>
          <w:lang w:eastAsia="it-IT"/>
        </w:rPr>
        <w:t xml:space="preserve">? </w:t>
      </w:r>
    </w:p>
    <w:p w:rsidR="00182C9C" w:rsidRPr="00915A40" w:rsidRDefault="00074E7C" w:rsidP="00182C9C">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lastRenderedPageBreak/>
        <w:t>AMOCLA</w:t>
      </w:r>
      <w:r w:rsidR="00502AB1" w:rsidRPr="00255431">
        <w:rPr>
          <w:rFonts w:eastAsia="Calibri" w:cs="Calibri"/>
          <w:color w:val="000000"/>
          <w:lang w:eastAsia="it-IT"/>
        </w:rPr>
        <w:t xml:space="preserve">, il cui codice ATC è </w:t>
      </w:r>
      <w:r w:rsidR="00182C9C" w:rsidRPr="00182C9C">
        <w:rPr>
          <w:rFonts w:eastAsia="Calibri" w:cs="Calibri"/>
          <w:color w:val="000000"/>
          <w:lang w:val="de-DE" w:eastAsia="it-IT"/>
        </w:rPr>
        <w:t>J01CR02</w:t>
      </w:r>
      <w:r w:rsidR="00502AB1" w:rsidRPr="00255431">
        <w:rPr>
          <w:rFonts w:eastAsia="Calibri" w:cs="Calibri"/>
          <w:color w:val="000000"/>
          <w:lang w:eastAsia="it-IT"/>
        </w:rPr>
        <w:t>,</w:t>
      </w:r>
      <w:r w:rsidR="005A2741" w:rsidRPr="00255431">
        <w:rPr>
          <w:rFonts w:eastAsia="Calibri" w:cs="Calibri"/>
          <w:color w:val="000000"/>
          <w:lang w:eastAsia="it-IT"/>
        </w:rPr>
        <w:t xml:space="preserve"> </w:t>
      </w:r>
      <w:r w:rsidR="004241AC" w:rsidRPr="00502AB1">
        <w:rPr>
          <w:rFonts w:eastAsia="Calibri" w:cs="Calibri"/>
          <w:color w:val="000000"/>
          <w:lang w:eastAsia="it-IT"/>
        </w:rPr>
        <w:t>contiene i principi attiv</w:t>
      </w:r>
      <w:r w:rsidR="00182C9C">
        <w:rPr>
          <w:rFonts w:eastAsia="Calibri" w:cs="Calibri"/>
          <w:color w:val="000000"/>
          <w:lang w:eastAsia="it-IT"/>
        </w:rPr>
        <w:t>i amoxicillina e acido clavulanico.</w:t>
      </w:r>
      <w:r w:rsidR="004241AC" w:rsidRPr="00502AB1">
        <w:rPr>
          <w:rFonts w:eastAsia="Calibri" w:cs="Calibri"/>
          <w:color w:val="000000"/>
          <w:lang w:eastAsia="it-IT"/>
        </w:rPr>
        <w:t xml:space="preserve"> </w:t>
      </w:r>
      <w:r w:rsidR="00182C9C" w:rsidRPr="00182C9C">
        <w:rPr>
          <w:rFonts w:eastAsia="Calibri" w:cs="Calibri"/>
          <w:color w:val="000000"/>
          <w:lang w:eastAsia="it-IT"/>
        </w:rPr>
        <w:t xml:space="preserve">L’amoxicillina appartiene ad un gruppo di medicinali chiamati ‘penicilline‘ </w:t>
      </w:r>
      <w:r w:rsidR="00867ED3">
        <w:rPr>
          <w:rFonts w:eastAsia="Calibri" w:cs="Calibri"/>
          <w:color w:val="000000"/>
          <w:lang w:eastAsia="it-IT"/>
        </w:rPr>
        <w:t>che agiscono uccidendo i batteri che causano le infezioni. L’</w:t>
      </w:r>
      <w:r w:rsidR="00182C9C" w:rsidRPr="00182C9C">
        <w:rPr>
          <w:rFonts w:eastAsia="Calibri" w:cs="Calibri"/>
          <w:color w:val="000000"/>
          <w:lang w:eastAsia="it-IT"/>
        </w:rPr>
        <w:t>attività</w:t>
      </w:r>
      <w:r w:rsidR="00867ED3">
        <w:rPr>
          <w:rFonts w:eastAsia="Calibri" w:cs="Calibri"/>
          <w:color w:val="000000"/>
          <w:lang w:eastAsia="it-IT"/>
        </w:rPr>
        <w:t xml:space="preserve"> dell’amoxicillina può</w:t>
      </w:r>
      <w:r w:rsidR="00182C9C" w:rsidRPr="00182C9C">
        <w:rPr>
          <w:rFonts w:eastAsia="Calibri" w:cs="Calibri"/>
          <w:color w:val="000000"/>
          <w:lang w:eastAsia="it-IT"/>
        </w:rPr>
        <w:t xml:space="preserve"> </w:t>
      </w:r>
      <w:r w:rsidR="00867ED3">
        <w:rPr>
          <w:rFonts w:eastAsia="Calibri" w:cs="Calibri"/>
          <w:color w:val="000000"/>
          <w:lang w:eastAsia="it-IT"/>
        </w:rPr>
        <w:t xml:space="preserve">a </w:t>
      </w:r>
      <w:r w:rsidR="00182C9C" w:rsidRPr="00182C9C">
        <w:rPr>
          <w:rFonts w:eastAsia="Calibri" w:cs="Calibri"/>
          <w:color w:val="000000"/>
          <w:lang w:eastAsia="it-IT"/>
        </w:rPr>
        <w:t>volte essere bloccata (</w:t>
      </w:r>
      <w:r w:rsidR="00867ED3">
        <w:rPr>
          <w:rFonts w:eastAsia="Calibri" w:cs="Calibri"/>
          <w:color w:val="000000"/>
          <w:lang w:eastAsia="it-IT"/>
        </w:rPr>
        <w:t>essere resa</w:t>
      </w:r>
      <w:r w:rsidR="00182C9C" w:rsidRPr="00182C9C">
        <w:rPr>
          <w:rFonts w:eastAsia="Calibri" w:cs="Calibri"/>
          <w:color w:val="000000"/>
          <w:lang w:eastAsia="it-IT"/>
        </w:rPr>
        <w:t xml:space="preserve"> </w:t>
      </w:r>
      <w:r w:rsidR="00867ED3">
        <w:rPr>
          <w:rFonts w:eastAsia="Calibri" w:cs="Calibri"/>
          <w:color w:val="000000"/>
          <w:lang w:eastAsia="it-IT"/>
        </w:rPr>
        <w:t>inattiva</w:t>
      </w:r>
      <w:r w:rsidR="00182C9C" w:rsidRPr="00182C9C">
        <w:rPr>
          <w:rFonts w:eastAsia="Calibri" w:cs="Calibri"/>
          <w:color w:val="000000"/>
          <w:lang w:eastAsia="it-IT"/>
        </w:rPr>
        <w:t xml:space="preserve">). </w:t>
      </w:r>
      <w:r w:rsidR="00182C9C" w:rsidRPr="00915A40">
        <w:rPr>
          <w:rFonts w:eastAsia="Calibri" w:cs="Calibri"/>
          <w:color w:val="000000"/>
          <w:lang w:eastAsia="it-IT"/>
        </w:rPr>
        <w:t>L’altro componente attivo (</w:t>
      </w:r>
      <w:r w:rsidR="00867ED3" w:rsidRPr="00915A40">
        <w:rPr>
          <w:rFonts w:eastAsia="Calibri" w:cs="Calibri"/>
          <w:color w:val="000000"/>
          <w:lang w:eastAsia="it-IT"/>
        </w:rPr>
        <w:t>l’</w:t>
      </w:r>
      <w:r w:rsidR="00182C9C" w:rsidRPr="00915A40">
        <w:rPr>
          <w:rFonts w:eastAsia="Calibri" w:cs="Calibri"/>
          <w:color w:val="000000"/>
          <w:lang w:eastAsia="it-IT"/>
        </w:rPr>
        <w:t>acido clavulanico) impedisce che questo avvenga.</w:t>
      </w:r>
    </w:p>
    <w:p w:rsidR="00D416F1" w:rsidRPr="00915A40" w:rsidRDefault="00D416F1" w:rsidP="00B32D81">
      <w:pPr>
        <w:autoSpaceDE w:val="0"/>
        <w:autoSpaceDN w:val="0"/>
        <w:adjustRightInd w:val="0"/>
        <w:spacing w:after="0" w:line="240" w:lineRule="auto"/>
        <w:jc w:val="both"/>
        <w:rPr>
          <w:rFonts w:eastAsia="Calibri" w:cs="Calibri"/>
          <w:b/>
          <w:bCs/>
          <w:lang w:eastAsia="it-IT"/>
        </w:rPr>
      </w:pPr>
    </w:p>
    <w:p w:rsidR="004241AC" w:rsidRPr="00502AB1" w:rsidRDefault="004241AC" w:rsidP="00B32D81">
      <w:pPr>
        <w:autoSpaceDE w:val="0"/>
        <w:autoSpaceDN w:val="0"/>
        <w:adjustRightInd w:val="0"/>
        <w:spacing w:after="0" w:line="240" w:lineRule="auto"/>
        <w:jc w:val="both"/>
        <w:rPr>
          <w:rFonts w:eastAsia="Calibri" w:cs="Calibri"/>
          <w:lang w:eastAsia="it-IT"/>
        </w:rPr>
      </w:pPr>
      <w:r w:rsidRPr="00502AB1">
        <w:rPr>
          <w:rFonts w:eastAsia="Calibri" w:cs="Calibri"/>
          <w:b/>
          <w:bCs/>
          <w:lang w:eastAsia="it-IT"/>
        </w:rPr>
        <w:t xml:space="preserve">4) COME È STATO STUDIATO </w:t>
      </w:r>
      <w:r w:rsidR="00074E7C">
        <w:rPr>
          <w:rFonts w:eastAsia="Calibri" w:cs="Calibri"/>
          <w:b/>
          <w:color w:val="000000"/>
          <w:lang w:eastAsia="it-IT"/>
        </w:rPr>
        <w:t>AMOCLA</w:t>
      </w:r>
      <w:r w:rsidR="005A2741" w:rsidRPr="00502AB1">
        <w:rPr>
          <w:rFonts w:eastAsia="Calibri" w:cs="Calibri"/>
          <w:b/>
          <w:bCs/>
          <w:color w:val="000000"/>
          <w:lang w:eastAsia="it-IT"/>
        </w:rPr>
        <w:t xml:space="preserve">? </w:t>
      </w:r>
      <w:r w:rsidRPr="00502AB1">
        <w:rPr>
          <w:rFonts w:eastAsia="Calibri" w:cs="Calibri"/>
          <w:b/>
          <w:bCs/>
          <w:lang w:eastAsia="it-IT"/>
        </w:rPr>
        <w:t xml:space="preserve"> </w:t>
      </w:r>
    </w:p>
    <w:p w:rsidR="002C6868" w:rsidRDefault="002C6868" w:rsidP="002C6868">
      <w:pPr>
        <w:spacing w:after="0" w:line="240" w:lineRule="auto"/>
        <w:jc w:val="both"/>
        <w:rPr>
          <w:rFonts w:ascii="Calibri" w:eastAsia="Calibri" w:hAnsi="Calibri" w:cs="Calibri"/>
          <w:color w:val="000000"/>
          <w:lang w:eastAsia="it-IT"/>
        </w:rPr>
      </w:pPr>
      <w:r w:rsidRPr="00255431">
        <w:rPr>
          <w:rFonts w:ascii="Calibri" w:eastAsia="Calibri" w:hAnsi="Calibri" w:cs="Calibri"/>
          <w:color w:val="000000"/>
          <w:lang w:eastAsia="it-IT"/>
        </w:rPr>
        <w:t xml:space="preserve">Poiché </w:t>
      </w:r>
      <w:r w:rsidR="00074E7C">
        <w:rPr>
          <w:rFonts w:eastAsia="Calibri" w:cs="Calibri"/>
          <w:color w:val="000000"/>
          <w:lang w:eastAsia="it-IT"/>
        </w:rPr>
        <w:t>AMOCLA</w:t>
      </w:r>
      <w:r w:rsidRPr="00255431" w:rsidDel="000E20BD">
        <w:rPr>
          <w:rFonts w:ascii="Calibri" w:eastAsia="Calibri" w:hAnsi="Calibri" w:cs="Calibri"/>
          <w:color w:val="000000"/>
          <w:lang w:eastAsia="it-IT"/>
        </w:rPr>
        <w:t xml:space="preserve"> </w:t>
      </w:r>
      <w:r w:rsidRPr="00255431">
        <w:rPr>
          <w:rFonts w:ascii="Calibri" w:eastAsia="Calibri" w:hAnsi="Calibri" w:cs="Calibri"/>
          <w:color w:val="000000"/>
          <w:lang w:eastAsia="it-IT"/>
        </w:rPr>
        <w:t xml:space="preserve">è un medicinale generico, è stato sufficiente effettuare prove cliniche per determinare la bioequivalenza rispetto al medicinale di riferimento </w:t>
      </w:r>
      <w:r w:rsidR="00867ED3">
        <w:rPr>
          <w:rFonts w:eastAsia="Calibri" w:cs="Calibri"/>
          <w:color w:val="000000"/>
          <w:lang w:eastAsia="it-IT"/>
        </w:rPr>
        <w:t>Augmentin</w:t>
      </w:r>
      <w:r w:rsidR="00D416F1">
        <w:rPr>
          <w:rFonts w:eastAsia="Calibri" w:cs="Calibri"/>
          <w:color w:val="000000"/>
          <w:lang w:eastAsia="it-IT"/>
        </w:rPr>
        <w:t>.</w:t>
      </w:r>
      <w:r w:rsidRPr="00255431">
        <w:rPr>
          <w:rFonts w:ascii="Calibri" w:eastAsia="Calibri" w:hAnsi="Calibri" w:cs="Calibri"/>
          <w:color w:val="000000"/>
          <w:lang w:eastAsia="it-IT"/>
        </w:rPr>
        <w:t xml:space="preserve"> Due medicinali sono bioequivalenti quando producono gli stessi livelli di principio attivo nell’organismo. </w:t>
      </w:r>
    </w:p>
    <w:p w:rsidR="004241AC" w:rsidRPr="00B32D81" w:rsidRDefault="004241AC" w:rsidP="00DE2447">
      <w:pPr>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5) QUAL È IL RAPPORTO BENEFICIO/RISCHIO </w:t>
      </w:r>
      <w:r w:rsidR="00D57289">
        <w:rPr>
          <w:rFonts w:eastAsia="Calibri" w:cs="Calibri"/>
          <w:b/>
          <w:bCs/>
          <w:lang w:eastAsia="it-IT"/>
        </w:rPr>
        <w:t>DI</w:t>
      </w:r>
      <w:r w:rsidR="00D57289" w:rsidRPr="00B32D81">
        <w:rPr>
          <w:rFonts w:eastAsia="Calibri" w:cs="Calibri"/>
          <w:b/>
          <w:bCs/>
          <w:lang w:eastAsia="it-IT"/>
        </w:rPr>
        <w:t xml:space="preserve"> </w:t>
      </w:r>
      <w:r w:rsidR="00074E7C">
        <w:rPr>
          <w:rFonts w:eastAsia="Calibri" w:cs="Calibri"/>
          <w:b/>
          <w:color w:val="000000"/>
          <w:lang w:eastAsia="it-IT"/>
        </w:rPr>
        <w:t>AMOCLA</w:t>
      </w:r>
      <w:r w:rsidR="005A2741" w:rsidRPr="00B32D81">
        <w:rPr>
          <w:rFonts w:eastAsia="Calibri" w:cs="Calibri"/>
          <w:b/>
          <w:bCs/>
          <w:color w:val="000000"/>
          <w:lang w:eastAsia="it-IT"/>
        </w:rPr>
        <w:t xml:space="preserve">? </w:t>
      </w:r>
    </w:p>
    <w:p w:rsidR="004241AC" w:rsidRDefault="00074E7C" w:rsidP="00B32D81">
      <w:pPr>
        <w:autoSpaceDE w:val="0"/>
        <w:autoSpaceDN w:val="0"/>
        <w:adjustRightInd w:val="0"/>
        <w:spacing w:after="0" w:line="240" w:lineRule="auto"/>
        <w:jc w:val="both"/>
        <w:rPr>
          <w:rFonts w:eastAsia="Calibri" w:cs="Calibri"/>
          <w:lang w:eastAsia="it-IT"/>
        </w:rPr>
      </w:pPr>
      <w:r>
        <w:rPr>
          <w:rFonts w:eastAsia="Calibri" w:cs="Calibri"/>
          <w:color w:val="000000"/>
          <w:lang w:eastAsia="it-IT"/>
        </w:rPr>
        <w:t>AMOCLA</w:t>
      </w:r>
      <w:r w:rsidR="00D416F1" w:rsidRPr="00D416F1">
        <w:rPr>
          <w:rFonts w:eastAsia="Calibri" w:cs="Calibri"/>
          <w:color w:val="000000"/>
          <w:lang w:eastAsia="it-IT"/>
        </w:rPr>
        <w:t xml:space="preserve"> </w:t>
      </w:r>
      <w:r w:rsidR="00D416F1">
        <w:rPr>
          <w:rFonts w:eastAsia="Calibri" w:cs="Calibri"/>
          <w:color w:val="000000"/>
          <w:lang w:eastAsia="it-IT"/>
        </w:rPr>
        <w:t xml:space="preserve"> </w:t>
      </w:r>
      <w:r w:rsidR="004241AC" w:rsidRPr="00B32D81">
        <w:rPr>
          <w:rFonts w:eastAsia="Calibri" w:cs="Calibri"/>
          <w:lang w:eastAsia="it-IT"/>
        </w:rPr>
        <w:t xml:space="preserve">è un medicinale </w:t>
      </w:r>
      <w:r w:rsidR="00013020" w:rsidRPr="00B32D81">
        <w:rPr>
          <w:rFonts w:eastAsia="Calibri" w:cs="Calibri"/>
          <w:lang w:eastAsia="it-IT"/>
        </w:rPr>
        <w:t>generico</w:t>
      </w:r>
      <w:r w:rsidR="00D57289">
        <w:rPr>
          <w:rFonts w:eastAsia="Calibri" w:cs="Calibri"/>
          <w:lang w:eastAsia="it-IT"/>
        </w:rPr>
        <w:t>,</w:t>
      </w:r>
      <w:r w:rsidR="004349A2" w:rsidRPr="00B32D81">
        <w:rPr>
          <w:rFonts w:eastAsia="Calibri" w:cs="Calibri"/>
          <w:lang w:eastAsia="it-IT"/>
        </w:rPr>
        <w:t xml:space="preserve"> pertanto</w:t>
      </w:r>
      <w:r w:rsidR="004241AC" w:rsidRPr="00B32D81">
        <w:rPr>
          <w:rFonts w:eastAsia="Calibri" w:cs="Calibri"/>
          <w:lang w:eastAsia="it-IT"/>
        </w:rPr>
        <w:t xml:space="preserve"> </w:t>
      </w:r>
      <w:r w:rsidR="00013020" w:rsidRPr="00B32D81">
        <w:rPr>
          <w:rFonts w:eastAsia="Calibri" w:cs="Calibri"/>
          <w:lang w:eastAsia="it-IT"/>
        </w:rPr>
        <w:t>i suoi</w:t>
      </w:r>
      <w:r w:rsidR="004241AC" w:rsidRPr="00B32D81">
        <w:rPr>
          <w:rFonts w:eastAsia="Calibri" w:cs="Calibri"/>
          <w:lang w:eastAsia="it-IT"/>
        </w:rPr>
        <w:t xml:space="preserve"> benefici e rischi sono sovrapponibili a quelli de</w:t>
      </w:r>
      <w:r w:rsidR="00013020" w:rsidRPr="00B32D81">
        <w:rPr>
          <w:rFonts w:eastAsia="Calibri" w:cs="Calibri"/>
          <w:lang w:eastAsia="it-IT"/>
        </w:rPr>
        <w:t>l</w:t>
      </w:r>
      <w:r w:rsidR="004241AC" w:rsidRPr="00B32D81">
        <w:rPr>
          <w:rFonts w:eastAsia="Calibri" w:cs="Calibri"/>
          <w:lang w:eastAsia="it-IT"/>
        </w:rPr>
        <w:t xml:space="preserve"> medicinal</w:t>
      </w:r>
      <w:r w:rsidR="00013020" w:rsidRPr="00B32D81">
        <w:rPr>
          <w:rFonts w:eastAsia="Calibri" w:cs="Calibri"/>
          <w:lang w:eastAsia="it-IT"/>
        </w:rPr>
        <w:t>e</w:t>
      </w:r>
      <w:r w:rsidR="004241AC" w:rsidRPr="00B32D81">
        <w:rPr>
          <w:rFonts w:eastAsia="Calibri" w:cs="Calibri"/>
          <w:lang w:eastAsia="it-IT"/>
        </w:rPr>
        <w:t xml:space="preserve"> di riferimento. </w:t>
      </w:r>
    </w:p>
    <w:p w:rsidR="00E0569D" w:rsidRPr="006378A8" w:rsidRDefault="00E0569D"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6) PERCHE’ </w:t>
      </w:r>
      <w:r w:rsidR="00074E7C">
        <w:rPr>
          <w:rFonts w:eastAsia="Calibri" w:cs="Calibri"/>
          <w:b/>
          <w:color w:val="000000"/>
          <w:lang w:eastAsia="it-IT"/>
        </w:rPr>
        <w:t>AMOCLA</w:t>
      </w:r>
      <w:r w:rsidR="00D416F1" w:rsidRPr="00D416F1">
        <w:rPr>
          <w:rFonts w:eastAsia="Calibri" w:cs="Calibri"/>
          <w:b/>
          <w:color w:val="000000"/>
          <w:lang w:eastAsia="it-IT"/>
        </w:rPr>
        <w:t xml:space="preserve"> </w:t>
      </w:r>
      <w:r w:rsidRPr="00B32D81">
        <w:rPr>
          <w:rFonts w:eastAsia="Calibri" w:cs="Calibri"/>
          <w:b/>
          <w:bCs/>
          <w:lang w:eastAsia="it-IT"/>
        </w:rPr>
        <w:t xml:space="preserve">E’ STATO APPROVATO? </w:t>
      </w:r>
    </w:p>
    <w:p w:rsidR="004241AC" w:rsidRPr="00B32D81" w:rsidRDefault="00D416F1" w:rsidP="00B32D81">
      <w:pPr>
        <w:autoSpaceDE w:val="0"/>
        <w:autoSpaceDN w:val="0"/>
        <w:adjustRightInd w:val="0"/>
        <w:spacing w:after="0" w:line="240" w:lineRule="auto"/>
        <w:jc w:val="both"/>
        <w:rPr>
          <w:rFonts w:eastAsia="Calibri" w:cs="Calibri"/>
          <w:lang w:eastAsia="it-IT"/>
        </w:rPr>
      </w:pPr>
      <w:r w:rsidRPr="003F00E7">
        <w:rPr>
          <w:rFonts w:eastAsia="Calibri" w:cs="Calibri"/>
          <w:lang w:eastAsia="it-IT"/>
        </w:rPr>
        <w:t xml:space="preserve">La </w:t>
      </w:r>
      <w:r>
        <w:rPr>
          <w:rFonts w:eastAsia="Calibri" w:cs="Calibri"/>
          <w:lang w:eastAsia="it-IT"/>
        </w:rPr>
        <w:t>Commissione Tecnico-Scientifica (CTS)</w:t>
      </w:r>
      <w:r w:rsidR="00867ED3">
        <w:rPr>
          <w:rFonts w:eastAsia="Calibri" w:cs="Calibri"/>
          <w:lang w:eastAsia="it-IT"/>
        </w:rPr>
        <w:t xml:space="preserve"> nella seduta dell’</w:t>
      </w:r>
      <w:r w:rsidR="00867ED3" w:rsidRPr="00867ED3">
        <w:rPr>
          <w:rFonts w:eastAsia="Calibri" w:cs="Calibri"/>
          <w:b/>
          <w:bCs/>
          <w:i/>
          <w:iCs/>
          <w:lang w:eastAsia="it-IT"/>
        </w:rPr>
        <w:t xml:space="preserve"> </w:t>
      </w:r>
      <w:r w:rsidR="00867ED3" w:rsidRPr="00867ED3">
        <w:rPr>
          <w:rFonts w:eastAsia="Calibri" w:cs="Calibri"/>
          <w:bCs/>
          <w:i/>
          <w:iCs/>
          <w:lang w:eastAsia="it-IT"/>
        </w:rPr>
        <w:t>11, 12, e 13 giugno 2018</w:t>
      </w:r>
      <w:r w:rsidRPr="003F00E7">
        <w:rPr>
          <w:rFonts w:eastAsia="Calibri" w:cs="Calibri"/>
          <w:lang w:eastAsia="it-IT"/>
        </w:rPr>
        <w:t xml:space="preserve"> </w:t>
      </w:r>
      <w:r w:rsidR="00F80DE9">
        <w:rPr>
          <w:rFonts w:eastAsia="Calibri" w:cs="Calibri"/>
          <w:lang w:eastAsia="it-IT"/>
        </w:rPr>
        <w:t>ha</w:t>
      </w:r>
      <w:r>
        <w:rPr>
          <w:rFonts w:eastAsia="Calibri" w:cs="Calibri"/>
          <w:lang w:eastAsia="it-IT"/>
        </w:rPr>
        <w:t xml:space="preserve"> </w:t>
      </w:r>
      <w:r w:rsidR="004241AC" w:rsidRPr="006312EE">
        <w:rPr>
          <w:rFonts w:eastAsia="Calibri" w:cs="Calibri"/>
          <w:lang w:eastAsia="it-IT"/>
        </w:rPr>
        <w:t>concluso che,</w:t>
      </w:r>
      <w:r w:rsidR="004241AC" w:rsidRPr="00B32D81">
        <w:rPr>
          <w:rFonts w:eastAsia="Calibri" w:cs="Calibri"/>
          <w:lang w:eastAsia="it-IT"/>
        </w:rPr>
        <w:t xml:space="preserve"> conformemente ai requisiti della normativa vigente, come nel caso </w:t>
      </w:r>
      <w:r w:rsidR="00D20170" w:rsidRPr="00B32D81">
        <w:rPr>
          <w:rFonts w:eastAsia="Calibri" w:cs="Calibri"/>
          <w:lang w:eastAsia="it-IT"/>
        </w:rPr>
        <w:t>del</w:t>
      </w:r>
      <w:r w:rsidR="004241AC" w:rsidRPr="00B32D81">
        <w:rPr>
          <w:rFonts w:eastAsia="Calibri" w:cs="Calibri"/>
          <w:lang w:eastAsia="it-IT"/>
        </w:rPr>
        <w:t xml:space="preserve"> medicinal</w:t>
      </w:r>
      <w:r w:rsidR="00D20170" w:rsidRPr="00B32D81">
        <w:rPr>
          <w:rFonts w:eastAsia="Calibri" w:cs="Calibri"/>
          <w:lang w:eastAsia="it-IT"/>
        </w:rPr>
        <w:t>e</w:t>
      </w:r>
      <w:r w:rsidR="004241AC" w:rsidRPr="00B32D81">
        <w:rPr>
          <w:rFonts w:eastAsia="Calibri" w:cs="Calibri"/>
          <w:lang w:eastAsia="it-IT"/>
        </w:rPr>
        <w:t xml:space="preserve"> di riferimento </w:t>
      </w:r>
      <w:r w:rsidR="00867ED3">
        <w:rPr>
          <w:rFonts w:eastAsia="Calibri" w:cs="Calibri"/>
          <w:lang w:eastAsia="it-IT"/>
        </w:rPr>
        <w:t>Augmentin</w:t>
      </w:r>
      <w:r w:rsidR="00156285" w:rsidRPr="00B32D81">
        <w:rPr>
          <w:rFonts w:eastAsia="Calibri" w:cs="Calibri"/>
          <w:color w:val="000000"/>
          <w:lang w:eastAsia="it-IT"/>
        </w:rPr>
        <w:t>,</w:t>
      </w:r>
      <w:r w:rsidR="004241AC" w:rsidRPr="00B32D81">
        <w:rPr>
          <w:rFonts w:eastAsia="Calibri" w:cs="Calibri"/>
          <w:lang w:eastAsia="it-IT"/>
        </w:rPr>
        <w:t xml:space="preserve"> i benefici di </w:t>
      </w:r>
      <w:r w:rsidR="00074E7C">
        <w:rPr>
          <w:rFonts w:eastAsia="Calibri" w:cs="Calibri"/>
          <w:color w:val="000000"/>
          <w:lang w:eastAsia="it-IT"/>
        </w:rPr>
        <w:t>AMOCLA</w:t>
      </w:r>
      <w:r w:rsidRPr="00D416F1">
        <w:rPr>
          <w:rFonts w:eastAsia="Calibri" w:cs="Calibri"/>
          <w:color w:val="000000"/>
          <w:lang w:eastAsia="it-IT"/>
        </w:rPr>
        <w:t xml:space="preserve"> </w:t>
      </w:r>
      <w:r w:rsidR="004241AC" w:rsidRPr="00B32D81">
        <w:rPr>
          <w:rFonts w:eastAsia="Calibri" w:cs="Calibri"/>
          <w:lang w:eastAsia="it-IT"/>
        </w:rPr>
        <w:t xml:space="preserve">siano superiori ai rischi individuati. La CTS ha, inoltre, definito le modalità di prescrizione di cui al punto 2) di questo Riassunto e la classe di rimborsabilità del </w:t>
      </w:r>
      <w:r w:rsidR="004241AC" w:rsidRPr="00D57567">
        <w:rPr>
          <w:rFonts w:eastAsia="Calibri" w:cs="Calibri"/>
          <w:lang w:eastAsia="it-IT"/>
        </w:rPr>
        <w:t>medicinale</w:t>
      </w:r>
      <w:r w:rsidR="00D20170" w:rsidRPr="00D57567">
        <w:rPr>
          <w:rFonts w:eastAsia="Calibri" w:cs="Calibri"/>
          <w:lang w:eastAsia="it-IT"/>
        </w:rPr>
        <w:t xml:space="preserve"> </w:t>
      </w:r>
      <w:r w:rsidR="007935FE" w:rsidRPr="00590665">
        <w:rPr>
          <w:rFonts w:eastAsia="Calibri" w:cs="Calibri"/>
          <w:lang w:eastAsia="it-IT"/>
        </w:rPr>
        <w:t>(</w:t>
      </w:r>
      <w:r w:rsidR="005F2D30">
        <w:rPr>
          <w:rFonts w:eastAsia="Calibri" w:cs="Calibri"/>
          <w:lang w:eastAsia="it-IT"/>
        </w:rPr>
        <w:t>A</w:t>
      </w:r>
      <w:r w:rsidR="007935FE" w:rsidRPr="00590665">
        <w:rPr>
          <w:rFonts w:eastAsia="Calibri" w:cs="Calibri"/>
          <w:lang w:eastAsia="it-IT"/>
        </w:rPr>
        <w:t>)</w:t>
      </w:r>
      <w:r w:rsidR="004241AC" w:rsidRPr="00590665">
        <w:rPr>
          <w:rFonts w:eastAsia="Calibri" w:cs="Calibri"/>
          <w:lang w:eastAsia="it-IT"/>
        </w:rPr>
        <w:t>.</w:t>
      </w:r>
      <w:r w:rsidR="004241AC" w:rsidRPr="00B32D81">
        <w:rPr>
          <w:rFonts w:eastAsia="Calibri" w:cs="Calibri"/>
          <w:lang w:eastAsia="it-IT"/>
        </w:rPr>
        <w:t xml:space="preserve"> </w:t>
      </w: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7) QUALI MISURE SONO STATE PRESE PER ASSICURARE LA SICUREZZA E L’EFFICACIA NELL’USO DI </w:t>
      </w:r>
      <w:r w:rsidR="00074E7C">
        <w:rPr>
          <w:rFonts w:eastAsia="Calibri" w:cs="Calibri"/>
          <w:b/>
          <w:color w:val="000000"/>
          <w:lang w:eastAsia="it-IT"/>
        </w:rPr>
        <w:t>AMOCLA</w:t>
      </w:r>
      <w:r w:rsidR="005A2741" w:rsidRPr="00B32D81">
        <w:rPr>
          <w:rFonts w:eastAsia="Calibri" w:cs="Calibri"/>
          <w:b/>
          <w:bCs/>
          <w:color w:val="000000"/>
          <w:lang w:eastAsia="it-IT"/>
        </w:rPr>
        <w:t>?</w:t>
      </w:r>
    </w:p>
    <w:p w:rsidR="004241AC" w:rsidRDefault="007935FE" w:rsidP="00B32D81">
      <w:pPr>
        <w:autoSpaceDE w:val="0"/>
        <w:autoSpaceDN w:val="0"/>
        <w:adjustRightInd w:val="0"/>
        <w:spacing w:after="0" w:line="240" w:lineRule="auto"/>
        <w:jc w:val="both"/>
        <w:rPr>
          <w:rFonts w:eastAsia="Calibri" w:cs="Calibri"/>
          <w:color w:val="000000"/>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w:t>
      </w:r>
      <w:r w:rsidR="004241AC" w:rsidRPr="00B32D81">
        <w:rPr>
          <w:rFonts w:eastAsia="Calibri" w:cs="Calibri"/>
          <w:lang w:eastAsia="it-IT"/>
        </w:rPr>
        <w:t xml:space="preserve">a </w:t>
      </w:r>
      <w:r w:rsidR="00074E7C">
        <w:rPr>
          <w:rFonts w:eastAsia="Calibri" w:cs="Calibri"/>
          <w:color w:val="000000"/>
          <w:lang w:eastAsia="it-IT"/>
        </w:rPr>
        <w:t>AMOCLA</w:t>
      </w:r>
      <w:r w:rsidR="00D416F1">
        <w:rPr>
          <w:rFonts w:eastAsia="Calibri" w:cs="Calibri"/>
          <w:color w:val="000000"/>
          <w:lang w:eastAsia="it-IT"/>
        </w:rPr>
        <w:t>.</w:t>
      </w:r>
    </w:p>
    <w:p w:rsidR="00D416F1" w:rsidRPr="00B32D81" w:rsidRDefault="00D416F1" w:rsidP="00B32D81">
      <w:pPr>
        <w:autoSpaceDE w:val="0"/>
        <w:autoSpaceDN w:val="0"/>
        <w:adjustRightInd w:val="0"/>
        <w:spacing w:after="0" w:line="240" w:lineRule="auto"/>
        <w:jc w:val="both"/>
        <w:rPr>
          <w:rFonts w:eastAsia="Calibri" w:cs="Calibri"/>
          <w:lang w:eastAsia="it-IT"/>
        </w:rPr>
      </w:pPr>
    </w:p>
    <w:p w:rsidR="005A2741" w:rsidRPr="00B32D81" w:rsidRDefault="00092BAB" w:rsidP="00B32D81">
      <w:pPr>
        <w:autoSpaceDE w:val="0"/>
        <w:autoSpaceDN w:val="0"/>
        <w:adjustRightInd w:val="0"/>
        <w:spacing w:after="0" w:line="240" w:lineRule="auto"/>
        <w:jc w:val="both"/>
        <w:rPr>
          <w:rFonts w:eastAsia="Calibri" w:cs="Calibri"/>
          <w:b/>
          <w:bCs/>
          <w:color w:val="000000"/>
          <w:lang w:eastAsia="it-IT"/>
        </w:rPr>
      </w:pPr>
      <w:r>
        <w:rPr>
          <w:rFonts w:eastAsia="Calibri" w:cs="Calibri"/>
          <w:b/>
          <w:bCs/>
          <w:lang w:eastAsia="it-IT"/>
        </w:rPr>
        <w:t>8) ALTRE INFORMAZIONI RELATIVE A</w:t>
      </w:r>
      <w:r w:rsidR="004241AC" w:rsidRPr="00B32D81">
        <w:rPr>
          <w:rFonts w:eastAsia="Calibri" w:cs="Calibri"/>
          <w:b/>
          <w:bCs/>
          <w:lang w:eastAsia="it-IT"/>
        </w:rPr>
        <w:t xml:space="preserve"> </w:t>
      </w:r>
      <w:r w:rsidR="00074E7C">
        <w:rPr>
          <w:rFonts w:eastAsia="Calibri" w:cs="Calibri"/>
          <w:b/>
          <w:color w:val="000000"/>
          <w:lang w:eastAsia="it-IT"/>
        </w:rPr>
        <w:t>AMOCLA</w:t>
      </w:r>
      <w:r w:rsidR="00D416F1" w:rsidRPr="00D416F1">
        <w:rPr>
          <w:rFonts w:eastAsia="Calibri" w:cs="Calibri"/>
          <w:b/>
          <w:color w:val="000000"/>
          <w:lang w:eastAsia="it-IT"/>
        </w:rPr>
        <w:t xml:space="preserve"> </w:t>
      </w:r>
    </w:p>
    <w:p w:rsidR="007935FE" w:rsidRDefault="00867ED3" w:rsidP="00B32D81">
      <w:pPr>
        <w:autoSpaceDE w:val="0"/>
        <w:autoSpaceDN w:val="0"/>
        <w:adjustRightInd w:val="0"/>
        <w:spacing w:after="0" w:line="240" w:lineRule="auto"/>
        <w:jc w:val="both"/>
        <w:rPr>
          <w:rFonts w:eastAsia="Calibri" w:cs="Calibri"/>
          <w:color w:val="000000"/>
          <w:lang w:eastAsia="it-IT"/>
        </w:rPr>
      </w:pPr>
      <w:r>
        <w:rPr>
          <w:rFonts w:eastAsia="Calibri" w:cs="Calibri"/>
          <w:bCs/>
          <w:iCs/>
          <w:lang w:eastAsia="it-IT"/>
        </w:rPr>
        <w:t xml:space="preserve">Il </w:t>
      </w:r>
      <w:r w:rsidR="00E0569D" w:rsidRPr="004708AC">
        <w:rPr>
          <w:rFonts w:eastAsia="Calibri" w:cs="Calibri"/>
          <w:b/>
          <w:bCs/>
          <w:iCs/>
          <w:lang w:eastAsia="it-IT"/>
        </w:rPr>
        <w:t>06/02/2019</w:t>
      </w:r>
      <w:r w:rsidR="00674664">
        <w:rPr>
          <w:rFonts w:eastAsia="Calibri" w:cs="Calibri"/>
          <w:bCs/>
          <w:iCs/>
          <w:lang w:eastAsia="it-IT"/>
        </w:rPr>
        <w:t xml:space="preserve"> l’AIFA </w:t>
      </w:r>
      <w:r w:rsidR="00674664" w:rsidRPr="00CA3A1E">
        <w:rPr>
          <w:rFonts w:eastAsia="Calibri" w:cs="Calibri"/>
          <w:bCs/>
          <w:iCs/>
          <w:lang w:eastAsia="it-IT"/>
        </w:rPr>
        <w:t xml:space="preserve">ha rilasciato </w:t>
      </w:r>
      <w:r w:rsidR="004241AC" w:rsidRPr="00B32D81">
        <w:rPr>
          <w:rFonts w:eastAsia="Calibri" w:cs="Calibri"/>
          <w:bCs/>
          <w:iCs/>
          <w:lang w:eastAsia="it-IT"/>
        </w:rPr>
        <w:t xml:space="preserve">l’autorizzazione all’immissione in commercio di </w:t>
      </w:r>
      <w:r w:rsidR="00074E7C">
        <w:rPr>
          <w:rFonts w:eastAsia="Calibri" w:cs="Calibri"/>
          <w:color w:val="000000"/>
          <w:lang w:eastAsia="it-IT"/>
        </w:rPr>
        <w:t>AMOCLA</w:t>
      </w:r>
      <w:r w:rsidR="00674664">
        <w:rPr>
          <w:rFonts w:eastAsia="Calibri" w:cs="Calibri"/>
          <w:color w:val="000000"/>
          <w:lang w:eastAsia="it-IT"/>
        </w:rPr>
        <w:t>.</w:t>
      </w:r>
    </w:p>
    <w:p w:rsidR="007935FE" w:rsidRDefault="007935FE" w:rsidP="007935FE">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w:t>
      </w:r>
      <w:r w:rsidR="00256B5A">
        <w:rPr>
          <w:rFonts w:eastAsia="Calibri" w:cs="Calibri"/>
          <w:lang w:eastAsia="it-IT"/>
        </w:rPr>
        <w:t xml:space="preserve">per </w:t>
      </w:r>
      <w:r w:rsidR="00074E7C">
        <w:rPr>
          <w:rFonts w:eastAsia="Calibri" w:cs="Calibri"/>
          <w:lang w:eastAsia="it-IT"/>
        </w:rPr>
        <w:t>AMOCLA</w:t>
      </w:r>
      <w:r w:rsidR="00256B5A" w:rsidRPr="00256B5A">
        <w:rPr>
          <w:rFonts w:eastAsia="Calibri" w:cs="Calibri"/>
          <w:lang w:eastAsia="it-IT"/>
        </w:rPr>
        <w:t xml:space="preserve">  </w:t>
      </w:r>
      <w:r>
        <w:rPr>
          <w:rFonts w:eastAsia="Calibri" w:cs="Calibri"/>
          <w:lang w:eastAsia="it-IT"/>
        </w:rPr>
        <w:t xml:space="preserve">segue questo Riassunto.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lang w:eastAsia="it-IT"/>
        </w:rPr>
        <w:t xml:space="preserve">Per maggiori informazioni riguardo il trattamento con </w:t>
      </w:r>
      <w:r w:rsidR="00074E7C">
        <w:rPr>
          <w:rFonts w:eastAsia="Calibri" w:cs="Calibri"/>
          <w:color w:val="000000"/>
          <w:lang w:eastAsia="it-IT"/>
        </w:rPr>
        <w:t>AMOCLA</w:t>
      </w:r>
      <w:r w:rsidR="00674664" w:rsidRPr="00674664">
        <w:rPr>
          <w:rFonts w:eastAsia="Calibri" w:cs="Calibri"/>
          <w:color w:val="000000"/>
          <w:lang w:eastAsia="it-IT"/>
        </w:rPr>
        <w:t xml:space="preserve"> </w:t>
      </w:r>
      <w:r w:rsidRPr="00B32D81">
        <w:rPr>
          <w:rFonts w:eastAsia="Calibri" w:cs="Calibri"/>
          <w:bCs/>
          <w:color w:val="000000"/>
          <w:lang w:eastAsia="it-IT"/>
        </w:rPr>
        <w:t xml:space="preserve"> </w:t>
      </w:r>
      <w:r w:rsidRPr="00B32D81">
        <w:rPr>
          <w:rFonts w:eastAsia="Calibri" w:cs="Calibri"/>
          <w:lang w:eastAsia="it-IT"/>
        </w:rPr>
        <w:t>si può leggere il foglio illustrativo</w:t>
      </w:r>
      <w:r w:rsidR="00D20170" w:rsidRPr="00B32D81">
        <w:rPr>
          <w:rFonts w:eastAsia="Calibri" w:cs="Calibri"/>
          <w:lang w:eastAsia="it-IT"/>
        </w:rPr>
        <w:t xml:space="preserve"> </w:t>
      </w:r>
      <w:r w:rsidR="00B75EA4" w:rsidRPr="00B32D81">
        <w:rPr>
          <w:rFonts w:eastAsia="Calibri" w:cs="Calibri"/>
          <w:lang w:eastAsia="it-IT"/>
        </w:rPr>
        <w:t>(</w:t>
      </w:r>
      <w:hyperlink r:id="rId7" w:history="1">
        <w:r w:rsidR="00B75EA4" w:rsidRPr="00B32D81">
          <w:rPr>
            <w:rStyle w:val="Collegamentoipertestuale"/>
            <w:rFonts w:eastAsia="Calibri" w:cs="Calibri"/>
            <w:lang w:eastAsia="it-IT"/>
          </w:rPr>
          <w:t>https://farmaci.agenziafarmaco.gov.it/bancadatifarmaci</w:t>
        </w:r>
      </w:hyperlink>
      <w:r w:rsidR="00B75EA4" w:rsidRPr="00B32D81">
        <w:rPr>
          <w:rFonts w:eastAsia="Calibri" w:cs="Calibri"/>
          <w:lang w:eastAsia="it-IT"/>
        </w:rPr>
        <w:t xml:space="preserve">) </w:t>
      </w:r>
      <w:r w:rsidRPr="00B32D81">
        <w:rPr>
          <w:rFonts w:eastAsia="Calibri" w:cs="Calibri"/>
          <w:lang w:eastAsia="it-IT"/>
        </w:rPr>
        <w:t xml:space="preserve">o contattare il medico o </w:t>
      </w:r>
      <w:r w:rsidR="00FA55B0" w:rsidRPr="00B32D81">
        <w:rPr>
          <w:rFonts w:eastAsia="Calibri" w:cs="Calibri"/>
          <w:lang w:eastAsia="it-IT"/>
        </w:rPr>
        <w:t xml:space="preserve">il </w:t>
      </w:r>
      <w:r w:rsidRPr="00B32D81">
        <w:rPr>
          <w:rFonts w:eastAsia="Calibri" w:cs="Calibri"/>
          <w:lang w:eastAsia="it-IT"/>
        </w:rPr>
        <w:t xml:space="preserve">farmacista. </w:t>
      </w:r>
    </w:p>
    <w:p w:rsidR="004241AC" w:rsidRDefault="004241AC" w:rsidP="00B32D81">
      <w:pPr>
        <w:spacing w:after="0" w:line="240" w:lineRule="auto"/>
        <w:jc w:val="both"/>
        <w:rPr>
          <w:rFonts w:eastAsia="Calibri" w:cs="Calibri"/>
          <w:lang w:eastAsia="it-IT"/>
        </w:rPr>
      </w:pPr>
      <w:r w:rsidRPr="00B32D81">
        <w:rPr>
          <w:rFonts w:eastAsia="Calibri" w:cs="Calibri"/>
          <w:lang w:eastAsia="it-IT"/>
        </w:rPr>
        <w:t>Questo riassunto è stato redatto in dat</w:t>
      </w:r>
      <w:r w:rsidRPr="009F0F0B">
        <w:rPr>
          <w:rFonts w:eastAsia="Calibri" w:cs="Calibri"/>
          <w:lang w:eastAsia="it-IT"/>
        </w:rPr>
        <w:t xml:space="preserve">a </w:t>
      </w:r>
      <w:r w:rsidR="00867ED3">
        <w:rPr>
          <w:rFonts w:eastAsia="Calibri" w:cs="Calibri"/>
          <w:lang w:eastAsia="it-IT"/>
        </w:rPr>
        <w:t>25</w:t>
      </w:r>
      <w:r w:rsidR="005F2D30">
        <w:rPr>
          <w:rFonts w:eastAsia="Calibri" w:cs="Calibri"/>
          <w:lang w:eastAsia="it-IT"/>
        </w:rPr>
        <w:t>/11/2019</w:t>
      </w:r>
      <w:r w:rsidR="00C55B9A">
        <w:rPr>
          <w:rFonts w:eastAsia="Calibri" w:cs="Calibri"/>
          <w:lang w:eastAsia="it-IT"/>
        </w:rPr>
        <w:t>.</w:t>
      </w:r>
    </w:p>
    <w:p w:rsidR="005F2D30" w:rsidRDefault="005F2D30"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867ED3" w:rsidRDefault="00867ED3" w:rsidP="00B32D81">
      <w:pPr>
        <w:spacing w:after="0" w:line="240" w:lineRule="auto"/>
        <w:jc w:val="both"/>
        <w:rPr>
          <w:rFonts w:eastAsia="Calibri" w:cs="Calibri"/>
          <w:lang w:eastAsia="it-IT"/>
        </w:rPr>
      </w:pPr>
    </w:p>
    <w:p w:rsidR="007C68D2" w:rsidRPr="007935FE" w:rsidRDefault="007C68D2" w:rsidP="00B32D81">
      <w:pPr>
        <w:spacing w:after="0" w:line="240" w:lineRule="auto"/>
        <w:jc w:val="center"/>
        <w:rPr>
          <w:b/>
          <w:sz w:val="28"/>
        </w:rPr>
      </w:pPr>
      <w:r w:rsidRPr="007935FE">
        <w:rPr>
          <w:b/>
          <w:sz w:val="28"/>
        </w:rPr>
        <w:t>RELAZIONE PUBBLICA DI VALUTAZIONE</w:t>
      </w: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r w:rsidRPr="00B32D81">
        <w:rPr>
          <w:b/>
        </w:rPr>
        <w:t>INDICE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rPr>
          <w:b/>
        </w:rPr>
      </w:pPr>
      <w:r w:rsidRPr="00B32D81">
        <w:rPr>
          <w:b/>
        </w:rPr>
        <w:t>INTRODUZIONE</w:t>
      </w: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jc w:val="both"/>
        <w:rPr>
          <w:b/>
        </w:rPr>
      </w:pPr>
      <w:r w:rsidRPr="00B32D81">
        <w:rPr>
          <w:b/>
        </w:rPr>
        <w:t>ASPETTI DI QUALITA’</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NON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CONSULTAZIONE SUL FOGLIO ILLUSTRATIVO</w:t>
      </w:r>
    </w:p>
    <w:p w:rsidR="007C68D2" w:rsidRPr="00B32D81" w:rsidRDefault="007C68D2" w:rsidP="00B32D81">
      <w:pPr>
        <w:pStyle w:val="Paragrafoelenco"/>
        <w:spacing w:after="0" w:line="240" w:lineRule="auto"/>
        <w:ind w:left="1080"/>
        <w:jc w:val="both"/>
        <w:rPr>
          <w:b/>
        </w:rPr>
      </w:pPr>
    </w:p>
    <w:p w:rsidR="007C68D2" w:rsidRPr="00B32D81" w:rsidRDefault="007C68D2" w:rsidP="00B32D81">
      <w:pPr>
        <w:pStyle w:val="Paragrafoelenco"/>
        <w:numPr>
          <w:ilvl w:val="0"/>
          <w:numId w:val="1"/>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Default="00F80DE9" w:rsidP="00B32D81">
      <w:pPr>
        <w:spacing w:after="0" w:line="240" w:lineRule="auto"/>
      </w:pPr>
    </w:p>
    <w:p w:rsidR="00F80DE9" w:rsidRPr="00B32D81" w:rsidRDefault="00F80DE9"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256B5A" w:rsidRDefault="00256B5A" w:rsidP="00B32D81">
      <w:pPr>
        <w:spacing w:after="0" w:line="240" w:lineRule="auto"/>
      </w:pPr>
    </w:p>
    <w:p w:rsidR="00256B5A" w:rsidRDefault="00256B5A" w:rsidP="00B32D81">
      <w:pPr>
        <w:spacing w:after="0" w:line="240" w:lineRule="auto"/>
      </w:pPr>
    </w:p>
    <w:p w:rsidR="00256B5A" w:rsidRDefault="00256B5A" w:rsidP="00B32D81">
      <w:pPr>
        <w:spacing w:after="0" w:line="240" w:lineRule="auto"/>
      </w:pPr>
    </w:p>
    <w:p w:rsidR="00256B5A" w:rsidRDefault="00256B5A" w:rsidP="00B32D81">
      <w:pPr>
        <w:spacing w:after="0" w:line="240" w:lineRule="auto"/>
      </w:pPr>
    </w:p>
    <w:p w:rsidR="00256B5A" w:rsidRDefault="00256B5A" w:rsidP="00B32D81">
      <w:pPr>
        <w:spacing w:after="0" w:line="240" w:lineRule="auto"/>
      </w:pPr>
    </w:p>
    <w:p w:rsidR="00256B5A" w:rsidRDefault="00256B5A"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1C7AD0" w:rsidRPr="00B32D81" w:rsidRDefault="001C7AD0" w:rsidP="00B32D81">
      <w:pPr>
        <w:spacing w:after="0" w:line="240" w:lineRule="auto"/>
      </w:pPr>
    </w:p>
    <w:p w:rsidR="007C68D2" w:rsidRPr="00B32D81" w:rsidRDefault="007C68D2" w:rsidP="00B32D81">
      <w:pPr>
        <w:pStyle w:val="Paragrafoelenco"/>
        <w:numPr>
          <w:ilvl w:val="0"/>
          <w:numId w:val="2"/>
        </w:numPr>
        <w:spacing w:after="0" w:line="240" w:lineRule="auto"/>
        <w:rPr>
          <w:b/>
        </w:rPr>
      </w:pPr>
      <w:r w:rsidRPr="00B32D81">
        <w:rPr>
          <w:b/>
        </w:rPr>
        <w:t>INTRODUZIONE</w:t>
      </w:r>
    </w:p>
    <w:p w:rsidR="007C68D2" w:rsidRDefault="007C68D2" w:rsidP="00256B5A">
      <w:pPr>
        <w:autoSpaceDE w:val="0"/>
        <w:autoSpaceDN w:val="0"/>
        <w:adjustRightInd w:val="0"/>
        <w:spacing w:after="0" w:line="240" w:lineRule="auto"/>
        <w:jc w:val="both"/>
      </w:pPr>
      <w:r w:rsidRPr="00B32D81">
        <w:t xml:space="preserve">Sulla base dei dati di qualità, sicurezza ed efficacia, l’AIFA ha rilasciato </w:t>
      </w:r>
      <w:r w:rsidR="00D57289" w:rsidRPr="00293095">
        <w:t xml:space="preserve">a </w:t>
      </w:r>
      <w:r w:rsidR="00E0569D" w:rsidRPr="00E0569D">
        <w:t>I.B.N. SAVIO S.R.L</w:t>
      </w:r>
      <w:r w:rsidR="00E0569D">
        <w:t xml:space="preserve"> </w:t>
      </w:r>
      <w:r w:rsidRPr="00293095">
        <w:t>l’autorizzazione</w:t>
      </w:r>
      <w:r w:rsidRPr="00B32D81">
        <w:t xml:space="preserve"> </w:t>
      </w:r>
      <w:r w:rsidRPr="00CA29BF">
        <w:t xml:space="preserve">all’immissione in commercio (AIC) per il medicinale </w:t>
      </w:r>
      <w:r w:rsidR="00074E7C">
        <w:t>AMOCLA</w:t>
      </w:r>
      <w:r w:rsidR="00F80DE9" w:rsidRPr="00F80DE9">
        <w:t xml:space="preserve"> </w:t>
      </w:r>
      <w:r w:rsidR="00E0569D">
        <w:t>875 mg/125 mg compresse rivestite con film, 875 mg/125 mg polvere per sospensione orale in bustine e 400</w:t>
      </w:r>
      <w:r w:rsidR="00256B5A" w:rsidRPr="00256B5A">
        <w:t>mg</w:t>
      </w:r>
      <w:r w:rsidR="00E0569D">
        <w:t xml:space="preserve">/57mg/5ml polvere per sospensione orale  </w:t>
      </w:r>
      <w:r w:rsidR="00256B5A">
        <w:t xml:space="preserve"> il </w:t>
      </w:r>
      <w:r w:rsidR="00E0569D" w:rsidRPr="00480244">
        <w:rPr>
          <w:b/>
        </w:rPr>
        <w:t>06/02/2019.</w:t>
      </w:r>
    </w:p>
    <w:p w:rsidR="00256B5A" w:rsidRPr="00502AB1" w:rsidRDefault="00256B5A" w:rsidP="00256B5A">
      <w:pPr>
        <w:autoSpaceDE w:val="0"/>
        <w:autoSpaceDN w:val="0"/>
        <w:adjustRightInd w:val="0"/>
        <w:spacing w:after="0" w:line="240" w:lineRule="auto"/>
        <w:jc w:val="both"/>
      </w:pPr>
    </w:p>
    <w:p w:rsidR="007935FE" w:rsidRPr="00B8240C" w:rsidRDefault="00074E7C" w:rsidP="00502AB1">
      <w:pPr>
        <w:autoSpaceDE w:val="0"/>
        <w:autoSpaceDN w:val="0"/>
        <w:adjustRightInd w:val="0"/>
        <w:spacing w:after="0" w:line="240" w:lineRule="auto"/>
        <w:jc w:val="both"/>
      </w:pPr>
      <w:r>
        <w:t>AMOCLA</w:t>
      </w:r>
      <w:r w:rsidR="00256B5A" w:rsidRPr="00256B5A">
        <w:t xml:space="preserve"> </w:t>
      </w:r>
      <w:r w:rsidR="007935FE" w:rsidRPr="00B8240C">
        <w:t xml:space="preserve">può essere </w:t>
      </w:r>
      <w:r w:rsidR="004708AC">
        <w:t xml:space="preserve">dispensato </w:t>
      </w:r>
      <w:r w:rsidR="00E0569D">
        <w:t xml:space="preserve">solo dietro </w:t>
      </w:r>
      <w:r w:rsidR="007935FE" w:rsidRPr="00B8240C">
        <w:t>prescrizione da parte del medico (</w:t>
      </w:r>
      <w:r w:rsidR="00E0569D">
        <w:t>RR</w:t>
      </w:r>
      <w:r w:rsidR="00256B5A">
        <w:t>).</w:t>
      </w:r>
    </w:p>
    <w:p w:rsidR="007C68D2" w:rsidRPr="00502AB1" w:rsidRDefault="007C68D2" w:rsidP="00502AB1">
      <w:pPr>
        <w:spacing w:after="0" w:line="240" w:lineRule="auto"/>
        <w:jc w:val="both"/>
      </w:pPr>
    </w:p>
    <w:p w:rsidR="007C68D2" w:rsidRDefault="007C68D2" w:rsidP="00502AB1">
      <w:pPr>
        <w:spacing w:after="0" w:line="240" w:lineRule="auto"/>
        <w:jc w:val="both"/>
      </w:pPr>
      <w:r w:rsidRPr="00502AB1">
        <w:t xml:space="preserve">Questa procedura è stata presentata ai sensi </w:t>
      </w:r>
      <w:r w:rsidRPr="00293095">
        <w:t xml:space="preserve">dell’art. </w:t>
      </w:r>
      <w:r w:rsidR="00FF53CA" w:rsidRPr="00293095">
        <w:t>10(1)</w:t>
      </w:r>
      <w:r w:rsidRPr="00293095">
        <w:t xml:space="preserve"> della Direttiva</w:t>
      </w:r>
      <w:r w:rsidRPr="00502AB1">
        <w:t xml:space="preserve"> 2001/83/EU s.m.i.</w:t>
      </w:r>
    </w:p>
    <w:p w:rsidR="00AD4E22" w:rsidRDefault="00AD4E22" w:rsidP="00502AB1">
      <w:pPr>
        <w:spacing w:after="0" w:line="240" w:lineRule="auto"/>
        <w:jc w:val="both"/>
      </w:pPr>
    </w:p>
    <w:p w:rsidR="002C6868" w:rsidRPr="00B8240C" w:rsidRDefault="00074E7C" w:rsidP="002C6868">
      <w:pPr>
        <w:widowControl w:val="0"/>
        <w:spacing w:after="0" w:line="240" w:lineRule="auto"/>
        <w:jc w:val="both"/>
      </w:pPr>
      <w:r>
        <w:t>AMOCLA</w:t>
      </w:r>
      <w:r w:rsidR="00256B5A" w:rsidRPr="00256B5A">
        <w:t xml:space="preserve"> </w:t>
      </w:r>
      <w:r w:rsidR="002C6868" w:rsidRPr="00B8240C">
        <w:t>è un m</w:t>
      </w:r>
      <w:r w:rsidR="00E0569D">
        <w:t>edicinale generico contenente i principi attivi amoxicillina triidrato e potassio clavulanato</w:t>
      </w:r>
      <w:r w:rsidR="002C6868" w:rsidRPr="00B8240C">
        <w:t>, present</w:t>
      </w:r>
      <w:r w:rsidR="00E0569D">
        <w:t>i</w:t>
      </w:r>
      <w:r w:rsidR="002C6868" w:rsidRPr="00B8240C">
        <w:t xml:space="preserve"> nel medicinale di riferimento </w:t>
      </w:r>
      <w:r w:rsidR="00E0569D">
        <w:t>Augmentin</w:t>
      </w:r>
      <w:r w:rsidR="002C6868" w:rsidRPr="00B8240C">
        <w:t>, autorizzato in Italia da più di 10 anni.</w:t>
      </w:r>
    </w:p>
    <w:p w:rsidR="007C68D2" w:rsidRPr="00B8240C" w:rsidRDefault="007C68D2" w:rsidP="002D71A8">
      <w:pPr>
        <w:spacing w:after="0" w:line="240" w:lineRule="auto"/>
        <w:jc w:val="both"/>
      </w:pPr>
    </w:p>
    <w:p w:rsidR="00E0569D" w:rsidRPr="00E0569D" w:rsidRDefault="00D57289" w:rsidP="00E0569D">
      <w:pPr>
        <w:spacing w:after="0" w:line="240" w:lineRule="auto"/>
        <w:jc w:val="both"/>
        <w:rPr>
          <w:lang w:val="de-DE"/>
        </w:rPr>
      </w:pPr>
      <w:r w:rsidRPr="002D71A8">
        <w:t>Il medicinale</w:t>
      </w:r>
      <w:r w:rsidR="002C6868" w:rsidRPr="002D71A8">
        <w:t xml:space="preserve"> </w:t>
      </w:r>
      <w:r w:rsidR="00074E7C">
        <w:t>AMOCLA</w:t>
      </w:r>
      <w:r w:rsidR="00256B5A" w:rsidRPr="002D71A8">
        <w:t xml:space="preserve"> </w:t>
      </w:r>
      <w:r w:rsidR="00502AB1" w:rsidRPr="002D71A8">
        <w:t xml:space="preserve">è </w:t>
      </w:r>
      <w:r w:rsidR="00E0569D" w:rsidRPr="00E0569D">
        <w:rPr>
          <w:lang w:val="de-DE"/>
        </w:rPr>
        <w:t>indicato nel trattamento delle seguenti infezioni negli adulti e nei bambini (vedere paragrafi 4.2, 4.4 e 5.1):</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Sinusite batterica acuta (diagnosticate in modo adeguato)</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Otite media acuta</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Esacerbazioni acute di bronchiti croniche (diagnosticate in modo adeguato)</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Polmonite acquisita in comunità</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Cistite</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Pielonefrite</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Infezioni della pelle e dei tessuti molli in particolare cellulite, morsi di animale ed ascesso dentale grave con cellulite diffusa</w:t>
      </w:r>
    </w:p>
    <w:p w:rsidR="00E0569D" w:rsidRPr="00E0569D" w:rsidRDefault="00E0569D" w:rsidP="00E0569D">
      <w:pPr>
        <w:pStyle w:val="Paragrafoelenco"/>
        <w:numPr>
          <w:ilvl w:val="0"/>
          <w:numId w:val="12"/>
        </w:numPr>
        <w:spacing w:after="0" w:line="240" w:lineRule="auto"/>
        <w:jc w:val="both"/>
        <w:rPr>
          <w:lang w:val="de-DE"/>
        </w:rPr>
      </w:pPr>
      <w:r w:rsidRPr="00E0569D">
        <w:rPr>
          <w:lang w:val="de-DE"/>
        </w:rPr>
        <w:t>Infezioni ossee ed articolari, in particolare osteomielite.</w:t>
      </w:r>
    </w:p>
    <w:p w:rsidR="00E0569D" w:rsidRPr="00E0569D" w:rsidRDefault="00E0569D" w:rsidP="00E0569D">
      <w:pPr>
        <w:spacing w:after="0" w:line="240" w:lineRule="auto"/>
        <w:jc w:val="both"/>
        <w:rPr>
          <w:lang w:val="de-DE"/>
        </w:rPr>
      </w:pPr>
      <w:r w:rsidRPr="00E0569D">
        <w:rPr>
          <w:lang w:val="de-DE"/>
        </w:rPr>
        <w:t>Si devono tenere in considerazione le linee-guida ufficiali sull’uso appropriato degli agenti antibatterici.</w:t>
      </w:r>
    </w:p>
    <w:p w:rsidR="00256B5A" w:rsidRDefault="00E0569D" w:rsidP="002D71A8">
      <w:pPr>
        <w:spacing w:after="0" w:line="240" w:lineRule="auto"/>
        <w:jc w:val="both"/>
      </w:pPr>
      <w:r>
        <w:t xml:space="preserve"> </w:t>
      </w:r>
    </w:p>
    <w:p w:rsidR="00F84949" w:rsidRPr="00F84949" w:rsidRDefault="00F84949" w:rsidP="00F84949">
      <w:pPr>
        <w:spacing w:after="0" w:line="240" w:lineRule="auto"/>
        <w:jc w:val="both"/>
        <w:rPr>
          <w:bCs/>
          <w:lang w:val="de-DE"/>
        </w:rPr>
      </w:pPr>
      <w:r>
        <w:rPr>
          <w:bCs/>
        </w:rPr>
        <w:t>L’amoxicillina e l’acido clavulanico</w:t>
      </w:r>
      <w:r w:rsidR="00064299">
        <w:rPr>
          <w:bCs/>
        </w:rPr>
        <w:t xml:space="preserve"> </w:t>
      </w:r>
      <w:r>
        <w:rPr>
          <w:bCs/>
        </w:rPr>
        <w:t>appartengono</w:t>
      </w:r>
      <w:r w:rsidR="002D71A8">
        <w:rPr>
          <w:bCs/>
        </w:rPr>
        <w:t xml:space="preserve"> alla c</w:t>
      </w:r>
      <w:r w:rsidR="002D71A8" w:rsidRPr="002D71A8">
        <w:rPr>
          <w:bCs/>
        </w:rPr>
        <w:t>ategoria farmaco terapeutica</w:t>
      </w:r>
      <w:r w:rsidR="002D71A8">
        <w:rPr>
          <w:bCs/>
        </w:rPr>
        <w:t xml:space="preserve"> </w:t>
      </w:r>
      <w:r w:rsidRPr="00F84949">
        <w:rPr>
          <w:bCs/>
          <w:lang w:val="de-DE"/>
        </w:rPr>
        <w:t>Associazione di penicilline, inclusi gli inibitori delle beta-lattamasi;</w:t>
      </w:r>
      <w:r>
        <w:rPr>
          <w:bCs/>
          <w:lang w:val="de-DE"/>
        </w:rPr>
        <w:t xml:space="preserve"> </w:t>
      </w:r>
      <w:r w:rsidRPr="00F84949">
        <w:rPr>
          <w:bCs/>
          <w:lang w:val="de-DE"/>
        </w:rPr>
        <w:t>codice ATC: J01CR02</w:t>
      </w:r>
      <w:r>
        <w:rPr>
          <w:bCs/>
          <w:lang w:val="de-DE"/>
        </w:rPr>
        <w:t>.</w:t>
      </w:r>
    </w:p>
    <w:p w:rsidR="00350CDB" w:rsidRPr="00350CDB" w:rsidRDefault="00350CDB" w:rsidP="00350CDB">
      <w:pPr>
        <w:spacing w:after="0" w:line="240" w:lineRule="auto"/>
        <w:jc w:val="both"/>
        <w:rPr>
          <w:lang w:val="de-DE"/>
        </w:rPr>
      </w:pPr>
      <w:r w:rsidRPr="00350CDB">
        <w:rPr>
          <w:lang w:val="de-DE"/>
        </w:rPr>
        <w:t>L’amoxicillina è una penicillina semisintetica (antibiotico beta-lattamico) che inibisce uno o più enzimi (spesso riferiti come proteine leganti la penicillina, PBP) della via biosintetica del peptidoglicano batterico, un componente strutturale integrale della parete cellulare batterica. L’inibizione della sintesi del peptidoglicano porta all’indebolimento della struttura, a cui fa seguito in genere la lisi cellulare e la morte batterica.</w:t>
      </w:r>
    </w:p>
    <w:p w:rsidR="00350CDB" w:rsidRPr="00350CDB" w:rsidRDefault="00350CDB" w:rsidP="00350CDB">
      <w:pPr>
        <w:spacing w:after="0" w:line="240" w:lineRule="auto"/>
        <w:jc w:val="both"/>
        <w:rPr>
          <w:lang w:val="de-DE"/>
        </w:rPr>
      </w:pPr>
      <w:r w:rsidRPr="00350CDB">
        <w:rPr>
          <w:lang w:val="de-DE"/>
        </w:rPr>
        <w:t>L’amoxicillina è suscettibile alla degradazione da parte delle beta-lattamasi e pertanto lo spettro di attività dell’amoxicillina da sola non include organismi che producono tali enzimi.</w:t>
      </w:r>
    </w:p>
    <w:p w:rsidR="00350CDB" w:rsidRPr="00350CDB" w:rsidRDefault="00350CDB" w:rsidP="00350CDB">
      <w:pPr>
        <w:spacing w:after="0" w:line="240" w:lineRule="auto"/>
        <w:jc w:val="both"/>
        <w:rPr>
          <w:lang w:val="de-DE"/>
        </w:rPr>
      </w:pPr>
      <w:r w:rsidRPr="00350CDB">
        <w:rPr>
          <w:lang w:val="de-DE"/>
        </w:rPr>
        <w:t>L’acido clavulanico è un beta-lattamico strutturalmente correlato alle penicilline. Inattiva alcuni enzimi beta-lattamici, prevenendo di conseguenza l’inattivazione dell’amoxicillina. L’acido clavulanico da solo non esercita un effetto antibatterico clinicamente utile.</w:t>
      </w:r>
    </w:p>
    <w:p w:rsidR="00350CDB" w:rsidRPr="00350CDB" w:rsidRDefault="00350CDB" w:rsidP="002D71A8">
      <w:pPr>
        <w:spacing w:after="0" w:line="240" w:lineRule="auto"/>
        <w:jc w:val="both"/>
        <w:rPr>
          <w:lang w:val="de-DE"/>
        </w:rPr>
      </w:pPr>
    </w:p>
    <w:p w:rsidR="0012124D" w:rsidRDefault="003F5446" w:rsidP="00256B5A">
      <w:pPr>
        <w:spacing w:after="0" w:line="240" w:lineRule="auto"/>
        <w:jc w:val="both"/>
      </w:pPr>
      <w:r w:rsidRPr="00894064">
        <w:t xml:space="preserve">La richiesta di AIC </w:t>
      </w:r>
      <w:r>
        <w:t xml:space="preserve">delle compresse </w:t>
      </w:r>
      <w:r w:rsidRPr="00894064">
        <w:t xml:space="preserve">è supportata </w:t>
      </w:r>
      <w:r w:rsidRPr="00655AE3">
        <w:t>da</w:t>
      </w:r>
      <w:r w:rsidR="0012124D">
        <w:t xml:space="preserve"> </w:t>
      </w:r>
      <w:r w:rsidR="00655AE3">
        <w:t>studi</w:t>
      </w:r>
      <w:r w:rsidRPr="00655AE3">
        <w:t xml:space="preserve"> di bioequivalenza</w:t>
      </w:r>
      <w:r w:rsidR="0012124D" w:rsidRPr="00F54633">
        <w:t xml:space="preserve">, condotti </w:t>
      </w:r>
      <w:r w:rsidR="00856A2D">
        <w:t xml:space="preserve">a digiuno e </w:t>
      </w:r>
      <w:r w:rsidR="00F54633" w:rsidRPr="00F54633">
        <w:t>con somministrazione a stomaco pieno</w:t>
      </w:r>
      <w:r w:rsidR="0012124D" w:rsidRPr="00F54633">
        <w:t>,</w:t>
      </w:r>
      <w:r w:rsidRPr="00655AE3">
        <w:t xml:space="preserve"> che ha</w:t>
      </w:r>
      <w:r w:rsidR="00655AE3">
        <w:t>nno</w:t>
      </w:r>
      <w:r w:rsidRPr="00655AE3">
        <w:t xml:space="preserve"> confrontato i profili farmacocinetici del medicinale test </w:t>
      </w:r>
      <w:r w:rsidRPr="00655AE3">
        <w:rPr>
          <w:snapToGrid w:val="0"/>
        </w:rPr>
        <w:t>AMOCLA</w:t>
      </w:r>
      <w:r w:rsidR="00655AE3">
        <w:rPr>
          <w:snapToGrid w:val="0"/>
        </w:rPr>
        <w:t xml:space="preserve"> 875 mg/125 m</w:t>
      </w:r>
      <w:r w:rsidR="00655AE3" w:rsidRPr="00655AE3">
        <w:rPr>
          <w:snapToGrid w:val="0"/>
        </w:rPr>
        <w:t xml:space="preserve">g </w:t>
      </w:r>
      <w:r w:rsidR="00655AE3">
        <w:rPr>
          <w:snapToGrid w:val="0"/>
        </w:rPr>
        <w:t>compresse rivestite con film</w:t>
      </w:r>
      <w:r w:rsidR="0012124D">
        <w:rPr>
          <w:snapToGrid w:val="0"/>
        </w:rPr>
        <w:t xml:space="preserve">, </w:t>
      </w:r>
      <w:r w:rsidR="0012124D" w:rsidRPr="0012124D">
        <w:rPr>
          <w:snapToGrid w:val="0"/>
        </w:rPr>
        <w:t xml:space="preserve">875 mg/125 </w:t>
      </w:r>
      <w:r w:rsidR="0012124D">
        <w:rPr>
          <w:snapToGrid w:val="0"/>
        </w:rPr>
        <w:t xml:space="preserve">mg </w:t>
      </w:r>
      <w:r w:rsidR="006C34C0">
        <w:rPr>
          <w:snapToGrid w:val="0"/>
        </w:rPr>
        <w:t xml:space="preserve">polvere per </w:t>
      </w:r>
      <w:r w:rsidR="0012124D">
        <w:t xml:space="preserve">soluzione orale in bustine e </w:t>
      </w:r>
      <w:r w:rsidR="0012124D" w:rsidRPr="0012124D">
        <w:t xml:space="preserve">400 Mg + 57 Mg/5 MI polvere per sospensione orale </w:t>
      </w:r>
      <w:r w:rsidR="0012124D">
        <w:t xml:space="preserve">con </w:t>
      </w:r>
      <w:r w:rsidRPr="00655AE3">
        <w:t>quelli del medi</w:t>
      </w:r>
      <w:r w:rsidR="00655AE3">
        <w:t>cinale di riferimento Augmentin</w:t>
      </w:r>
      <w:r w:rsidR="0012124D">
        <w:t xml:space="preserve"> negli stessi dosaggi e forme farmaceutiche</w:t>
      </w:r>
      <w:r w:rsidR="006C34C0">
        <w:t>.</w:t>
      </w:r>
      <w:r w:rsidR="0012124D">
        <w:t xml:space="preserve"> Gli</w:t>
      </w:r>
      <w:r w:rsidR="0012124D" w:rsidRPr="0012124D">
        <w:t xml:space="preserve"> studi di bioequivalenza </w:t>
      </w:r>
      <w:r w:rsidR="0012124D">
        <w:t>sono stati condotti</w:t>
      </w:r>
      <w:r w:rsidR="0012124D" w:rsidRPr="0012124D">
        <w:t xml:space="preserve"> in conformità alle linee guida di Buona Pratica Clinica (Good Clinical Practice - GCP). </w:t>
      </w:r>
    </w:p>
    <w:p w:rsidR="006C34C0" w:rsidRPr="00AD2871" w:rsidRDefault="006C34C0" w:rsidP="00256B5A">
      <w:pPr>
        <w:spacing w:after="0" w:line="240" w:lineRule="auto"/>
        <w:jc w:val="both"/>
      </w:pPr>
    </w:p>
    <w:p w:rsidR="007935FE" w:rsidRPr="00AD2871" w:rsidRDefault="007C68D2" w:rsidP="00502AB1">
      <w:pPr>
        <w:spacing w:after="0" w:line="240" w:lineRule="auto"/>
        <w:contextualSpacing/>
        <w:jc w:val="both"/>
      </w:pPr>
      <w:r w:rsidRPr="00502AB1">
        <w:t xml:space="preserve">Poiché </w:t>
      </w:r>
      <w:r w:rsidR="00074E7C">
        <w:t>AMOCLA</w:t>
      </w:r>
      <w:r w:rsidR="002D71A8" w:rsidRPr="002D71A8">
        <w:t xml:space="preserve"> </w:t>
      </w:r>
      <w:r w:rsidRPr="00502AB1">
        <w:t>contiene un principio attivo noto</w:t>
      </w:r>
      <w:r w:rsidR="00DC0AB6">
        <w:t>,</w:t>
      </w:r>
      <w:r w:rsidRPr="00502AB1">
        <w:t xml:space="preserve"> non sono stati forniti nuovi dati non clinici e clinici: questo approccio è accettabile poiché il medicinale di riferimento </w:t>
      </w:r>
      <w:r w:rsidR="000D3DA6">
        <w:t xml:space="preserve">Augmentin </w:t>
      </w:r>
      <w:r w:rsidRPr="00502AB1">
        <w:t>è autorizzato in Italia da oltre 10 anni</w:t>
      </w:r>
      <w:r w:rsidR="005A2DC6">
        <w:t>.</w:t>
      </w:r>
    </w:p>
    <w:p w:rsidR="007C68D2" w:rsidRPr="00502AB1" w:rsidRDefault="007C68D2" w:rsidP="00B32D81">
      <w:pPr>
        <w:spacing w:after="0" w:line="240" w:lineRule="auto"/>
        <w:jc w:val="both"/>
      </w:pPr>
    </w:p>
    <w:p w:rsidR="007C68D2" w:rsidRPr="00B32D81" w:rsidRDefault="007C68D2" w:rsidP="00B32D81">
      <w:pPr>
        <w:spacing w:after="0" w:line="240" w:lineRule="auto"/>
        <w:jc w:val="both"/>
      </w:pPr>
      <w:r w:rsidRPr="00B32D81">
        <w:lastRenderedPageBreak/>
        <w:t>Le officine coinvolte nella produzione sono conformi alle linee guida di Buona Pratica di Fabbricazione (</w:t>
      </w:r>
      <w:r w:rsidRPr="00AD2871">
        <w:t>Good Manufacturing Practice</w:t>
      </w:r>
      <w:r w:rsidRPr="00B32D81">
        <w:t xml:space="preserve"> - GMP). Le autorità regolator</w:t>
      </w:r>
      <w:r w:rsidR="002C389F" w:rsidRPr="00B32D81">
        <w:t>i</w:t>
      </w:r>
      <w:r w:rsidRPr="00B32D81">
        <w:t>e competenti hanno rilasciato i certificati GMP per i siti di produzione sul territorio dell’Unione Europea.</w:t>
      </w:r>
    </w:p>
    <w:p w:rsidR="007C68D2" w:rsidRPr="00AD2871" w:rsidRDefault="007C68D2" w:rsidP="00B32D81">
      <w:pPr>
        <w:spacing w:after="0" w:line="240" w:lineRule="auto"/>
        <w:jc w:val="both"/>
      </w:pPr>
    </w:p>
    <w:p w:rsidR="007C68D2" w:rsidRPr="00B32D81" w:rsidRDefault="007C68D2" w:rsidP="00B32D81">
      <w:pPr>
        <w:spacing w:after="0" w:line="240" w:lineRule="auto"/>
        <w:jc w:val="both"/>
      </w:pPr>
      <w:r w:rsidRPr="00B32D81">
        <w:t>Il sistema di Farmacovigilanza descritto dal titolare dell’AIC è conforme ai requisiti previsti dalla normativa corrente. E’ stato presentato un Piano di gestione del rischio (</w:t>
      </w:r>
      <w:r w:rsidRPr="00AD2871">
        <w:t>Risk Management Plan</w:t>
      </w:r>
      <w:r w:rsidRPr="00B32D81">
        <w:t xml:space="preserve"> – RMP) accettabile.</w:t>
      </w:r>
    </w:p>
    <w:p w:rsidR="007C68D2" w:rsidRPr="00B32D81" w:rsidRDefault="007C68D2" w:rsidP="00B32D81">
      <w:pPr>
        <w:spacing w:after="0" w:line="240" w:lineRule="auto"/>
        <w:jc w:val="both"/>
      </w:pPr>
    </w:p>
    <w:p w:rsidR="007C68D2" w:rsidRDefault="007C68D2" w:rsidP="00B32D81">
      <w:pPr>
        <w:spacing w:after="0" w:line="240" w:lineRule="auto"/>
        <w:jc w:val="both"/>
      </w:pPr>
      <w:r w:rsidRPr="00B32D81">
        <w:t xml:space="preserve">Il titolare di AIC ha presentato una adeguata giustificazione </w:t>
      </w:r>
      <w:r w:rsidR="00A048B7">
        <w:t>per la mancata</w:t>
      </w:r>
      <w:r w:rsidRPr="00B32D81">
        <w:t xml:space="preserve"> presentazione della Valutazione del Rischio ambientale; questo approccio è accettabile in quanto </w:t>
      </w:r>
      <w:r w:rsidR="00074E7C">
        <w:t>AMOCLA</w:t>
      </w:r>
      <w:r w:rsidR="002D71A8" w:rsidRPr="002D71A8">
        <w:t xml:space="preserve"> </w:t>
      </w:r>
      <w:r w:rsidRPr="00B32D81">
        <w:t>contiene un principio attivo noto presente in medicinali autorizzati; inoltre, non sono presenti componenti geneticamente modificati; il metodo di produzione e la formulazione del medicinale non presentano problematiche di carattere ambientale.</w:t>
      </w:r>
    </w:p>
    <w:p w:rsidR="002D71A8" w:rsidRPr="00B32D81" w:rsidRDefault="002D71A8" w:rsidP="00B32D81">
      <w:pPr>
        <w:spacing w:after="0" w:line="240" w:lineRule="auto"/>
        <w:jc w:val="both"/>
      </w:pPr>
    </w:p>
    <w:p w:rsidR="007C68D2" w:rsidRDefault="007C68D2" w:rsidP="00B32D81">
      <w:pPr>
        <w:spacing w:after="0" w:line="240" w:lineRule="auto"/>
        <w:jc w:val="both"/>
      </w:pPr>
    </w:p>
    <w:p w:rsidR="00B70D8F" w:rsidRDefault="00B70D8F" w:rsidP="00B32D81">
      <w:pPr>
        <w:spacing w:after="0" w:line="240" w:lineRule="auto"/>
        <w:jc w:val="both"/>
      </w:pPr>
    </w:p>
    <w:p w:rsidR="00064299" w:rsidRPr="006312EE" w:rsidRDefault="00064299" w:rsidP="00B32D81">
      <w:pPr>
        <w:spacing w:after="0" w:line="240" w:lineRule="auto"/>
        <w:jc w:val="both"/>
      </w:pPr>
    </w:p>
    <w:p w:rsidR="007C68D2" w:rsidRPr="006312EE" w:rsidRDefault="007C68D2" w:rsidP="00B32D81">
      <w:pPr>
        <w:spacing w:after="0" w:line="240" w:lineRule="auto"/>
        <w:jc w:val="both"/>
      </w:pPr>
    </w:p>
    <w:p w:rsidR="007C68D2" w:rsidRPr="006312EE" w:rsidRDefault="007C68D2" w:rsidP="00B32D81">
      <w:pPr>
        <w:pStyle w:val="Paragrafoelenco"/>
        <w:numPr>
          <w:ilvl w:val="0"/>
          <w:numId w:val="2"/>
        </w:numPr>
        <w:spacing w:after="0" w:line="240" w:lineRule="auto"/>
        <w:jc w:val="both"/>
        <w:rPr>
          <w:b/>
        </w:rPr>
      </w:pPr>
      <w:r w:rsidRPr="006312EE">
        <w:rPr>
          <w:b/>
        </w:rPr>
        <w:t>ASPETTI DI QUALITA’</w:t>
      </w:r>
    </w:p>
    <w:p w:rsidR="007C68D2" w:rsidRPr="006312EE" w:rsidRDefault="007C68D2" w:rsidP="00B32D81">
      <w:pPr>
        <w:spacing w:after="0" w:line="240" w:lineRule="auto"/>
        <w:jc w:val="both"/>
      </w:pPr>
      <w:r w:rsidRPr="006312EE">
        <w:rPr>
          <w:b/>
        </w:rPr>
        <w:t>II.1</w:t>
      </w:r>
      <w:r w:rsidR="006C34C0">
        <w:rPr>
          <w:b/>
        </w:rPr>
        <w:t>.1</w:t>
      </w:r>
      <w:r w:rsidRPr="006312EE">
        <w:rPr>
          <w:b/>
        </w:rPr>
        <w:t xml:space="preserve"> PRINCIPIO ATTIVO </w:t>
      </w:r>
      <w:r w:rsidR="006C34C0">
        <w:rPr>
          <w:b/>
        </w:rPr>
        <w:t>AMOXICILLINA TRIIDRATO</w:t>
      </w:r>
    </w:p>
    <w:p w:rsidR="00EB16E6" w:rsidRPr="00E25334" w:rsidRDefault="00EB16E6" w:rsidP="00E25334">
      <w:pPr>
        <w:spacing w:after="0" w:line="240" w:lineRule="auto"/>
        <w:jc w:val="both"/>
      </w:pPr>
      <w:r w:rsidRPr="00DE2C61">
        <w:rPr>
          <w:u w:val="single"/>
        </w:rPr>
        <w:t>INN</w:t>
      </w:r>
      <w:r w:rsidRPr="00E25334">
        <w:t xml:space="preserve">: </w:t>
      </w:r>
      <w:r w:rsidR="00064299">
        <w:t xml:space="preserve"> </w:t>
      </w:r>
      <w:r w:rsidR="00DE2C61" w:rsidRPr="00DE2C61">
        <w:t xml:space="preserve">Amoxicillin trihydrate </w:t>
      </w:r>
    </w:p>
    <w:p w:rsidR="00E927A4" w:rsidRDefault="007C68D2" w:rsidP="00E25334">
      <w:pPr>
        <w:spacing w:after="0" w:line="240" w:lineRule="auto"/>
        <w:jc w:val="both"/>
      </w:pPr>
      <w:r w:rsidRPr="00A048B7">
        <w:rPr>
          <w:u w:val="single"/>
        </w:rPr>
        <w:t>Nome chimico</w:t>
      </w:r>
      <w:r w:rsidRPr="006312EE">
        <w:t xml:space="preserve">: </w:t>
      </w:r>
      <w:r w:rsidR="00064299">
        <w:t xml:space="preserve"> </w:t>
      </w:r>
      <w:r w:rsidR="00DE2C61" w:rsidRPr="00DE2C61">
        <w:t xml:space="preserve">(2S,5R,6R)-6-[[(2R)-2-Amino-2-(4-hydroxyphenyl)acetyl]amino]-3,3-dimethyl-7-oxo-4-thia-1-azabicyclo[3.2.0]heptane-2-carboxylic acid trihydrate </w:t>
      </w:r>
    </w:p>
    <w:p w:rsidR="00700F7D" w:rsidRDefault="007C68D2" w:rsidP="00E25334">
      <w:pPr>
        <w:spacing w:after="0" w:line="240" w:lineRule="auto"/>
        <w:jc w:val="both"/>
      </w:pPr>
      <w:r w:rsidRPr="00E25334">
        <w:t>Struttura</w:t>
      </w:r>
      <w:r w:rsidRPr="006312EE">
        <w:t>:</w:t>
      </w:r>
      <w:r w:rsidR="00700F7D" w:rsidRPr="00E25334">
        <w:t xml:space="preserve"> </w:t>
      </w:r>
    </w:p>
    <w:p w:rsidR="006C34C0" w:rsidRPr="00E25334" w:rsidRDefault="006C34C0" w:rsidP="00E25334">
      <w:pPr>
        <w:spacing w:after="0" w:line="240" w:lineRule="auto"/>
        <w:jc w:val="both"/>
      </w:pPr>
    </w:p>
    <w:p w:rsidR="006C34C0" w:rsidRPr="006C34C0" w:rsidRDefault="00DE2C61" w:rsidP="006C34C0">
      <w:pPr>
        <w:pStyle w:val="Default"/>
        <w:rPr>
          <w:rFonts w:eastAsiaTheme="minorHAnsi"/>
        </w:rPr>
      </w:pPr>
      <w:r>
        <w:rPr>
          <w:noProof/>
          <w:lang w:eastAsia="it-IT"/>
        </w:rPr>
        <w:drawing>
          <wp:inline distT="0" distB="0" distL="0" distR="0">
            <wp:extent cx="2795677" cy="1309421"/>
            <wp:effectExtent l="19050" t="0" r="4673" b="0"/>
            <wp:docPr id="6" name="Immagine 6" descr="http://www.pharmagen.com.pk/images/aboutimg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harmagen.com.pk/images/aboutimg_6.png"/>
                    <pic:cNvPicPr>
                      <a:picLocks noChangeAspect="1" noChangeArrowheads="1"/>
                    </pic:cNvPicPr>
                  </pic:nvPicPr>
                  <pic:blipFill>
                    <a:blip r:embed="rId8" cstate="print"/>
                    <a:srcRect/>
                    <a:stretch>
                      <a:fillRect/>
                    </a:stretch>
                  </pic:blipFill>
                  <pic:spPr bwMode="auto">
                    <a:xfrm>
                      <a:off x="0" y="0"/>
                      <a:ext cx="2795317" cy="1309252"/>
                    </a:xfrm>
                    <a:prstGeom prst="rect">
                      <a:avLst/>
                    </a:prstGeom>
                    <a:noFill/>
                    <a:ln w="9525">
                      <a:noFill/>
                      <a:miter lim="800000"/>
                      <a:headEnd/>
                      <a:tailEnd/>
                    </a:ln>
                  </pic:spPr>
                </pic:pic>
              </a:graphicData>
            </a:graphic>
          </wp:inline>
        </w:drawing>
      </w:r>
      <w:r w:rsidR="00064299">
        <w:rPr>
          <w:noProof/>
          <w:lang w:eastAsia="it-IT"/>
        </w:rPr>
        <w:t xml:space="preserve"> </w:t>
      </w:r>
      <w:r w:rsidR="00F01566" w:rsidRPr="00E25334">
        <w:t xml:space="preserve">  </w:t>
      </w:r>
    </w:p>
    <w:p w:rsidR="006C34C0" w:rsidRPr="006C34C0" w:rsidRDefault="00DE2C61" w:rsidP="006C34C0">
      <w:pPr>
        <w:autoSpaceDE w:val="0"/>
        <w:autoSpaceDN w:val="0"/>
        <w:adjustRightInd w:val="0"/>
        <w:spacing w:after="0" w:line="240" w:lineRule="auto"/>
      </w:pPr>
      <w:r w:rsidRPr="00D61BEE">
        <w:rPr>
          <w:u w:val="single"/>
        </w:rPr>
        <w:t>Formula m</w:t>
      </w:r>
      <w:r w:rsidRPr="006C34C0">
        <w:rPr>
          <w:u w:val="single"/>
        </w:rPr>
        <w:t>olec</w:t>
      </w:r>
      <w:r w:rsidRPr="00D61BEE">
        <w:rPr>
          <w:u w:val="single"/>
        </w:rPr>
        <w:t>o</w:t>
      </w:r>
      <w:r w:rsidRPr="006C34C0">
        <w:rPr>
          <w:u w:val="single"/>
        </w:rPr>
        <w:t>lar</w:t>
      </w:r>
      <w:r w:rsidRPr="00D61BEE">
        <w:rPr>
          <w:u w:val="single"/>
        </w:rPr>
        <w:t>e</w:t>
      </w:r>
      <w:r w:rsidRPr="00D61BEE">
        <w:t>:</w:t>
      </w:r>
      <w:r w:rsidRPr="006C34C0">
        <w:t xml:space="preserve"> </w:t>
      </w:r>
      <w:r w:rsidR="006C34C0" w:rsidRPr="006C34C0">
        <w:t xml:space="preserve"> C</w:t>
      </w:r>
      <w:r w:rsidR="006C34C0" w:rsidRPr="006C34C0">
        <w:rPr>
          <w:vertAlign w:val="subscript"/>
        </w:rPr>
        <w:t>16</w:t>
      </w:r>
      <w:r w:rsidR="006C34C0" w:rsidRPr="006C34C0">
        <w:t>H</w:t>
      </w:r>
      <w:r w:rsidR="006C34C0" w:rsidRPr="006C34C0">
        <w:rPr>
          <w:vertAlign w:val="subscript"/>
        </w:rPr>
        <w:t>19</w:t>
      </w:r>
      <w:r w:rsidR="006C34C0" w:rsidRPr="006C34C0">
        <w:t>N</w:t>
      </w:r>
      <w:r w:rsidR="006C34C0" w:rsidRPr="006C34C0">
        <w:rPr>
          <w:vertAlign w:val="subscript"/>
        </w:rPr>
        <w:t>3</w:t>
      </w:r>
      <w:r w:rsidR="006C34C0" w:rsidRPr="006C34C0">
        <w:t>O</w:t>
      </w:r>
      <w:r w:rsidR="006C34C0" w:rsidRPr="006C34C0">
        <w:rPr>
          <w:vertAlign w:val="subscript"/>
        </w:rPr>
        <w:t>5</w:t>
      </w:r>
      <w:r w:rsidR="006C34C0" w:rsidRPr="006C34C0">
        <w:t>S,3H</w:t>
      </w:r>
      <w:r w:rsidR="006C34C0" w:rsidRPr="006C34C0">
        <w:rPr>
          <w:vertAlign w:val="subscript"/>
        </w:rPr>
        <w:t>2</w:t>
      </w:r>
      <w:r w:rsidR="006C34C0" w:rsidRPr="006C34C0">
        <w:t xml:space="preserve">O </w:t>
      </w:r>
    </w:p>
    <w:p w:rsidR="006C34C0" w:rsidRPr="006C34C0" w:rsidRDefault="00DE2C61" w:rsidP="00D61BEE">
      <w:pPr>
        <w:autoSpaceDE w:val="0"/>
        <w:autoSpaceDN w:val="0"/>
        <w:adjustRightInd w:val="0"/>
        <w:spacing w:after="0" w:line="240" w:lineRule="auto"/>
      </w:pPr>
      <w:r w:rsidRPr="00D61BEE">
        <w:rPr>
          <w:u w:val="single"/>
        </w:rPr>
        <w:t xml:space="preserve">Massa </w:t>
      </w:r>
      <w:r w:rsidR="006C34C0" w:rsidRPr="00D61BEE">
        <w:rPr>
          <w:u w:val="single"/>
        </w:rPr>
        <w:t>molec</w:t>
      </w:r>
      <w:r w:rsidRPr="00D61BEE">
        <w:rPr>
          <w:u w:val="single"/>
        </w:rPr>
        <w:t>o</w:t>
      </w:r>
      <w:r w:rsidR="006C34C0" w:rsidRPr="00D61BEE">
        <w:rPr>
          <w:u w:val="single"/>
        </w:rPr>
        <w:t>lar</w:t>
      </w:r>
      <w:r w:rsidRPr="00D61BEE">
        <w:rPr>
          <w:u w:val="single"/>
        </w:rPr>
        <w:t>e relativa</w:t>
      </w:r>
      <w:r w:rsidR="006C34C0" w:rsidRPr="006C34C0">
        <w:t xml:space="preserve">: 419.4 </w:t>
      </w:r>
    </w:p>
    <w:p w:rsidR="006C34C0" w:rsidRPr="006C34C0" w:rsidRDefault="00DE2C61" w:rsidP="006C34C0">
      <w:pPr>
        <w:autoSpaceDE w:val="0"/>
        <w:autoSpaceDN w:val="0"/>
        <w:adjustRightInd w:val="0"/>
        <w:spacing w:after="0" w:line="240" w:lineRule="auto"/>
      </w:pPr>
      <w:r w:rsidRPr="00D61BEE">
        <w:rPr>
          <w:u w:val="single"/>
        </w:rPr>
        <w:t>Aspetto</w:t>
      </w:r>
      <w:r w:rsidRPr="00D61BEE">
        <w:t>: polvere cristallina bianca o biancastra.</w:t>
      </w:r>
      <w:r w:rsidR="006C34C0" w:rsidRPr="006C34C0">
        <w:t xml:space="preserve"> </w:t>
      </w:r>
    </w:p>
    <w:p w:rsidR="006C34C0" w:rsidRPr="006C34C0" w:rsidRDefault="006C34C0" w:rsidP="006C34C0">
      <w:pPr>
        <w:autoSpaceDE w:val="0"/>
        <w:autoSpaceDN w:val="0"/>
        <w:adjustRightInd w:val="0"/>
        <w:spacing w:after="0" w:line="240" w:lineRule="auto"/>
      </w:pPr>
      <w:r w:rsidRPr="006C34C0">
        <w:rPr>
          <w:u w:val="single"/>
        </w:rPr>
        <w:t>Solubilit</w:t>
      </w:r>
      <w:r w:rsidR="00DE2C61" w:rsidRPr="00D61BEE">
        <w:rPr>
          <w:u w:val="single"/>
        </w:rPr>
        <w:t>à</w:t>
      </w:r>
      <w:r w:rsidRPr="006C34C0">
        <w:rPr>
          <w:u w:val="single"/>
        </w:rPr>
        <w:t>:</w:t>
      </w:r>
      <w:r w:rsidRPr="006C34C0">
        <w:t xml:space="preserve"> </w:t>
      </w:r>
      <w:r w:rsidR="00DE2C61" w:rsidRPr="00D61BEE">
        <w:t>leggermente solubile in acqua, molto solubile in etanolo (96%), praticamente</w:t>
      </w:r>
      <w:r w:rsidRPr="006C34C0">
        <w:t xml:space="preserve"> insolub</w:t>
      </w:r>
      <w:r w:rsidR="00DE2C61" w:rsidRPr="00D61BEE">
        <w:t>i</w:t>
      </w:r>
      <w:r w:rsidRPr="006C34C0">
        <w:t xml:space="preserve">le in </w:t>
      </w:r>
      <w:r w:rsidR="00DE2C61" w:rsidRPr="00D61BEE">
        <w:t>solventi oleosi</w:t>
      </w:r>
      <w:r w:rsidRPr="006C34C0">
        <w:t xml:space="preserve">. </w:t>
      </w:r>
      <w:r w:rsidR="00DE2C61" w:rsidRPr="00D61BEE">
        <w:t xml:space="preserve">Si dissolve in acidi diluiti e soluzioni diluite </w:t>
      </w:r>
      <w:r w:rsidR="00D61BEE" w:rsidRPr="00D61BEE">
        <w:t xml:space="preserve">di idrossidi alcalini. </w:t>
      </w:r>
      <w:r w:rsidRPr="006C34C0">
        <w:t xml:space="preserve"> </w:t>
      </w:r>
      <w:r w:rsidR="00D61BEE" w:rsidRPr="00D61BEE">
        <w:t xml:space="preserve"> </w:t>
      </w:r>
    </w:p>
    <w:p w:rsidR="006C34C0" w:rsidRPr="006C34C0" w:rsidRDefault="006C34C0" w:rsidP="006C34C0">
      <w:pPr>
        <w:autoSpaceDE w:val="0"/>
        <w:autoSpaceDN w:val="0"/>
        <w:adjustRightInd w:val="0"/>
        <w:spacing w:after="0" w:line="240" w:lineRule="auto"/>
      </w:pPr>
      <w:r w:rsidRPr="006C34C0">
        <w:rPr>
          <w:u w:val="single"/>
        </w:rPr>
        <w:t>pH</w:t>
      </w:r>
      <w:r w:rsidRPr="006C34C0">
        <w:t xml:space="preserve">: 3.5 </w:t>
      </w:r>
      <w:r w:rsidR="00D61BEE" w:rsidRPr="00D61BEE">
        <w:t>-</w:t>
      </w:r>
      <w:r w:rsidRPr="006C34C0">
        <w:t xml:space="preserve">5.5 </w:t>
      </w:r>
      <w:r w:rsidR="00D61BEE" w:rsidRPr="00D61BEE">
        <w:t>per la soluz</w:t>
      </w:r>
      <w:r w:rsidRPr="006C34C0">
        <w:t>ion</w:t>
      </w:r>
      <w:r w:rsidR="00D61BEE" w:rsidRPr="00D61BEE">
        <w:t>e</w:t>
      </w:r>
      <w:r w:rsidRPr="006C34C0">
        <w:t xml:space="preserve"> S. </w:t>
      </w:r>
    </w:p>
    <w:p w:rsidR="006C34C0" w:rsidRPr="00856A2D" w:rsidRDefault="00EA43C8" w:rsidP="006C34C0">
      <w:pPr>
        <w:autoSpaceDE w:val="0"/>
        <w:autoSpaceDN w:val="0"/>
        <w:adjustRightInd w:val="0"/>
        <w:spacing w:after="0" w:line="240" w:lineRule="auto"/>
      </w:pPr>
      <w:r w:rsidRPr="00856A2D">
        <w:rPr>
          <w:u w:val="single"/>
        </w:rPr>
        <w:t>Acqua</w:t>
      </w:r>
      <w:r w:rsidR="006C34C0" w:rsidRPr="00856A2D">
        <w:t xml:space="preserve">: 11.5 </w:t>
      </w:r>
      <w:r w:rsidR="00EF27CC" w:rsidRPr="00856A2D">
        <w:t>%-</w:t>
      </w:r>
      <w:r w:rsidR="006C34C0" w:rsidRPr="00856A2D">
        <w:t xml:space="preserve"> 14.5 </w:t>
      </w:r>
      <w:r w:rsidR="00EF27CC" w:rsidRPr="00856A2D">
        <w:t>%, determinato</w:t>
      </w:r>
      <w:r w:rsidR="006C34C0" w:rsidRPr="00856A2D">
        <w:t xml:space="preserve"> </w:t>
      </w:r>
      <w:r w:rsidR="00EF27CC" w:rsidRPr="00856A2D">
        <w:t>su 0,</w:t>
      </w:r>
      <w:r w:rsidR="006C34C0" w:rsidRPr="00856A2D">
        <w:t xml:space="preserve">100 g. </w:t>
      </w:r>
    </w:p>
    <w:p w:rsidR="006C34C0" w:rsidRPr="006C34C0" w:rsidRDefault="00D61BEE" w:rsidP="006C34C0">
      <w:pPr>
        <w:autoSpaceDE w:val="0"/>
        <w:autoSpaceDN w:val="0"/>
        <w:adjustRightInd w:val="0"/>
        <w:spacing w:after="0" w:line="240" w:lineRule="auto"/>
      </w:pPr>
      <w:r w:rsidRPr="00D61BEE">
        <w:rPr>
          <w:u w:val="single"/>
        </w:rPr>
        <w:t>Rotazione ottica specifica</w:t>
      </w:r>
      <w:r w:rsidRPr="00D61BEE">
        <w:t xml:space="preserve">: + 290° - + 315° (sostanza anidra), determinata sulla soluzione S.  </w:t>
      </w:r>
    </w:p>
    <w:p w:rsidR="00B12DF7" w:rsidRPr="00D61BEE" w:rsidRDefault="00D61BEE" w:rsidP="006C34C0">
      <w:pPr>
        <w:spacing w:after="0" w:line="240" w:lineRule="auto"/>
        <w:jc w:val="both"/>
      </w:pPr>
      <w:r w:rsidRPr="00D61BEE">
        <w:rPr>
          <w:u w:val="single"/>
        </w:rPr>
        <w:t>Polimorf</w:t>
      </w:r>
      <w:r w:rsidR="006C34C0" w:rsidRPr="00D61BEE">
        <w:rPr>
          <w:u w:val="single"/>
        </w:rPr>
        <w:t>ism</w:t>
      </w:r>
      <w:r w:rsidRPr="00D61BEE">
        <w:rPr>
          <w:u w:val="single"/>
        </w:rPr>
        <w:t>o</w:t>
      </w:r>
      <w:r w:rsidR="006C34C0" w:rsidRPr="00D61BEE">
        <w:rPr>
          <w:u w:val="single"/>
        </w:rPr>
        <w:t>:</w:t>
      </w:r>
      <w:r w:rsidR="006C34C0" w:rsidRPr="00D61BEE">
        <w:t xml:space="preserve"> Amoxicillin</w:t>
      </w:r>
      <w:r w:rsidRPr="00D61BEE">
        <w:t>a non esibisce polimorfismo.</w:t>
      </w:r>
      <w:r w:rsidR="006C34C0" w:rsidRPr="00D61BEE">
        <w:t xml:space="preserve"> </w:t>
      </w:r>
    </w:p>
    <w:p w:rsidR="00EB16E6" w:rsidRPr="00186D72" w:rsidRDefault="00D61BEE" w:rsidP="00186D72">
      <w:pPr>
        <w:spacing w:after="0" w:line="240" w:lineRule="auto"/>
        <w:jc w:val="both"/>
      </w:pPr>
      <w:r>
        <w:rPr>
          <w:u w:val="single"/>
        </w:rPr>
        <w:t xml:space="preserve"> </w:t>
      </w:r>
    </w:p>
    <w:p w:rsidR="00E927A4" w:rsidRDefault="00B81A2B" w:rsidP="00E927A4">
      <w:pPr>
        <w:spacing w:after="0" w:line="240" w:lineRule="auto"/>
        <w:jc w:val="both"/>
      </w:pPr>
      <w:r>
        <w:t>La qualità del</w:t>
      </w:r>
      <w:r w:rsidR="00502AB1" w:rsidRPr="00032587">
        <w:t xml:space="preserve"> principio </w:t>
      </w:r>
      <w:r w:rsidR="00B70D8F">
        <w:t xml:space="preserve">attivo </w:t>
      </w:r>
      <w:r>
        <w:t xml:space="preserve">amoxicillina triidrato </w:t>
      </w:r>
      <w:r w:rsidR="006E0162">
        <w:t>usato nella produzione del medicinale</w:t>
      </w:r>
      <w:r>
        <w:t xml:space="preserve"> AMOCLA</w:t>
      </w:r>
      <w:r w:rsidR="006E0162">
        <w:t xml:space="preserve"> è </w:t>
      </w:r>
      <w:r>
        <w:t xml:space="preserve">controllata in accordo alla versione attualmente in vigore della </w:t>
      </w:r>
      <w:r w:rsidR="006E0162">
        <w:t xml:space="preserve">monografia di </w:t>
      </w:r>
      <w:r w:rsidR="00E927A4">
        <w:t>Farmacopea Europea</w:t>
      </w:r>
      <w:r w:rsidR="006E0162">
        <w:t xml:space="preserve"> </w:t>
      </w:r>
      <w:r>
        <w:t>No 0260. Tutti gli aspetti della produzione e del controllo della sostanza attiva sono stati valutati dal Direttorato Europeo della Qualità dei medicinali (EDQM) prima del rilascio al produttore del relativo CEP (</w:t>
      </w:r>
      <w:r w:rsidRPr="00B81A2B">
        <w:t>Certificate of Suitability</w:t>
      </w:r>
      <w:r>
        <w:t>).</w:t>
      </w:r>
      <w:r w:rsidRPr="00B81A2B">
        <w:t xml:space="preserve"> </w:t>
      </w:r>
      <w:r>
        <w:t xml:space="preserve"> </w:t>
      </w:r>
    </w:p>
    <w:p w:rsidR="006C34C0" w:rsidRPr="00B81A2B" w:rsidRDefault="00D61BEE" w:rsidP="006C34C0">
      <w:pPr>
        <w:spacing w:after="0" w:line="240" w:lineRule="auto"/>
        <w:jc w:val="both"/>
      </w:pPr>
      <w:r>
        <w:t xml:space="preserve"> </w:t>
      </w:r>
    </w:p>
    <w:p w:rsidR="0032701C" w:rsidRDefault="00B81A2B" w:rsidP="00B81A2B">
      <w:pPr>
        <w:spacing w:after="0" w:line="240" w:lineRule="auto"/>
        <w:jc w:val="both"/>
        <w:rPr>
          <w:b/>
        </w:rPr>
      </w:pPr>
      <w:r>
        <w:rPr>
          <w:b/>
        </w:rPr>
        <w:t xml:space="preserve"> </w:t>
      </w:r>
    </w:p>
    <w:p w:rsidR="00B81A2B" w:rsidRDefault="006C34C0" w:rsidP="006C34C0">
      <w:pPr>
        <w:spacing w:after="0" w:line="240" w:lineRule="auto"/>
        <w:jc w:val="both"/>
        <w:rPr>
          <w:b/>
        </w:rPr>
      </w:pPr>
      <w:r>
        <w:rPr>
          <w:b/>
        </w:rPr>
        <w:t>II.1.2</w:t>
      </w:r>
      <w:r w:rsidRPr="006C34C0">
        <w:rPr>
          <w:b/>
        </w:rPr>
        <w:t xml:space="preserve"> PRINCIPIO ATTIVO </w:t>
      </w:r>
      <w:r>
        <w:rPr>
          <w:b/>
        </w:rPr>
        <w:t>POTASSIO CLAVULANATO</w:t>
      </w:r>
      <w:r w:rsidR="00B81A2B">
        <w:rPr>
          <w:b/>
        </w:rPr>
        <w:t>*</w:t>
      </w:r>
    </w:p>
    <w:p w:rsidR="006C34C0" w:rsidRPr="00EF27CC" w:rsidRDefault="00B81A2B" w:rsidP="006C34C0">
      <w:pPr>
        <w:spacing w:after="0" w:line="240" w:lineRule="auto"/>
        <w:jc w:val="both"/>
        <w:rPr>
          <w:i/>
        </w:rPr>
      </w:pPr>
      <w:r w:rsidRPr="00EF27CC">
        <w:rPr>
          <w:b/>
        </w:rPr>
        <w:t>*</w:t>
      </w:r>
      <w:r w:rsidR="00EF27CC" w:rsidRPr="00EF27CC">
        <w:rPr>
          <w:b/>
          <w:i/>
        </w:rPr>
        <w:t>diluito con silice, colloidale i</w:t>
      </w:r>
      <w:r w:rsidR="00EF27CC" w:rsidRPr="00EF27CC">
        <w:rPr>
          <w:b/>
          <w:i/>
          <w:u w:val="single"/>
        </w:rPr>
        <w:t>drata</w:t>
      </w:r>
      <w:r w:rsidRPr="00EF27CC">
        <w:rPr>
          <w:i/>
        </w:rPr>
        <w:t xml:space="preserve"> </w:t>
      </w:r>
      <w:r w:rsidR="00EF27CC">
        <w:rPr>
          <w:i/>
        </w:rPr>
        <w:t>nel rapporto</w:t>
      </w:r>
      <w:r w:rsidRPr="00EF27CC">
        <w:rPr>
          <w:i/>
        </w:rPr>
        <w:t xml:space="preserve"> 1:1 </w:t>
      </w:r>
    </w:p>
    <w:p w:rsidR="00B81A2B" w:rsidRPr="00856A2D" w:rsidRDefault="00B81A2B" w:rsidP="00B81A2B">
      <w:pPr>
        <w:pStyle w:val="Default"/>
        <w:rPr>
          <w:rFonts w:asciiTheme="minorHAnsi" w:eastAsiaTheme="minorHAnsi" w:hAnsiTheme="minorHAnsi" w:cstheme="minorBidi"/>
          <w:color w:val="auto"/>
          <w:sz w:val="22"/>
          <w:szCs w:val="22"/>
        </w:rPr>
      </w:pPr>
      <w:r w:rsidRPr="00856A2D">
        <w:rPr>
          <w:rFonts w:asciiTheme="minorHAnsi" w:eastAsiaTheme="minorHAnsi" w:hAnsiTheme="minorHAnsi" w:cstheme="minorBidi"/>
          <w:color w:val="auto"/>
          <w:sz w:val="22"/>
          <w:szCs w:val="22"/>
          <w:u w:val="single"/>
        </w:rPr>
        <w:t>INN</w:t>
      </w:r>
      <w:r w:rsidRPr="00856A2D">
        <w:rPr>
          <w:rFonts w:asciiTheme="minorHAnsi" w:eastAsiaTheme="minorHAnsi" w:hAnsiTheme="minorHAnsi" w:cstheme="minorBidi"/>
          <w:color w:val="auto"/>
          <w:sz w:val="22"/>
          <w:szCs w:val="22"/>
        </w:rPr>
        <w:t xml:space="preserve">: Potassium clavulanate  </w:t>
      </w:r>
    </w:p>
    <w:p w:rsidR="009D0BE5" w:rsidRPr="00856A2D" w:rsidRDefault="009D0BE5" w:rsidP="009D0BE5">
      <w:pPr>
        <w:pStyle w:val="Default"/>
        <w:rPr>
          <w:rFonts w:asciiTheme="minorHAnsi" w:eastAsiaTheme="minorHAnsi" w:hAnsiTheme="minorHAnsi" w:cstheme="minorBidi"/>
          <w:color w:val="auto"/>
          <w:sz w:val="22"/>
          <w:szCs w:val="22"/>
        </w:rPr>
      </w:pPr>
      <w:r w:rsidRPr="00856A2D">
        <w:rPr>
          <w:rFonts w:asciiTheme="minorHAnsi" w:eastAsiaTheme="minorHAnsi" w:hAnsiTheme="minorHAnsi" w:cstheme="minorBidi"/>
          <w:color w:val="auto"/>
          <w:sz w:val="22"/>
          <w:szCs w:val="22"/>
          <w:u w:val="single"/>
        </w:rPr>
        <w:t>Nome chimico</w:t>
      </w:r>
      <w:r w:rsidRPr="00856A2D">
        <w:rPr>
          <w:rFonts w:asciiTheme="minorHAnsi" w:eastAsiaTheme="minorHAnsi" w:hAnsiTheme="minorHAnsi" w:cstheme="minorBidi"/>
          <w:color w:val="auto"/>
          <w:sz w:val="22"/>
          <w:szCs w:val="22"/>
        </w:rPr>
        <w:t xml:space="preserve">: Potassium (2R,3Z,5R)-3-(2-hydroxyethylidene)-7-oxo-4-oxa-1-azabicyclo[3.2.0]heptane-2-carboxylate </w:t>
      </w:r>
    </w:p>
    <w:p w:rsidR="00B81A2B" w:rsidRPr="00B81A2B" w:rsidRDefault="00B81A2B" w:rsidP="00B81A2B">
      <w:pPr>
        <w:pStyle w:val="Default"/>
        <w:rPr>
          <w:rFonts w:asciiTheme="minorHAnsi" w:eastAsiaTheme="minorHAnsi" w:hAnsiTheme="minorHAnsi" w:cstheme="minorBidi"/>
          <w:color w:val="auto"/>
          <w:sz w:val="22"/>
          <w:szCs w:val="22"/>
          <w:lang w:val="en-US"/>
        </w:rPr>
      </w:pPr>
      <w:r w:rsidRPr="00B81A2B">
        <w:rPr>
          <w:rFonts w:asciiTheme="minorHAnsi" w:eastAsiaTheme="minorHAnsi" w:hAnsiTheme="minorHAnsi" w:cstheme="minorBidi"/>
          <w:color w:val="auto"/>
          <w:sz w:val="22"/>
          <w:szCs w:val="22"/>
          <w:u w:val="single"/>
          <w:lang w:val="en-US"/>
        </w:rPr>
        <w:lastRenderedPageBreak/>
        <w:t>Struttura</w:t>
      </w:r>
      <w:r>
        <w:rPr>
          <w:rFonts w:asciiTheme="minorHAnsi" w:eastAsiaTheme="minorHAnsi" w:hAnsiTheme="minorHAnsi" w:cstheme="minorBidi"/>
          <w:color w:val="auto"/>
          <w:sz w:val="22"/>
          <w:szCs w:val="22"/>
          <w:lang w:val="en-US"/>
        </w:rPr>
        <w:t>:</w:t>
      </w:r>
    </w:p>
    <w:p w:rsidR="006C34C0" w:rsidRPr="00B81A2B" w:rsidRDefault="006C34C0" w:rsidP="006C34C0">
      <w:pPr>
        <w:autoSpaceDE w:val="0"/>
        <w:autoSpaceDN w:val="0"/>
        <w:adjustRightInd w:val="0"/>
        <w:spacing w:after="0" w:line="240" w:lineRule="auto"/>
        <w:rPr>
          <w:rFonts w:ascii="Times New Roman" w:hAnsi="Times New Roman" w:cs="Times New Roman"/>
          <w:noProof/>
          <w:color w:val="000000"/>
          <w:sz w:val="24"/>
          <w:szCs w:val="24"/>
          <w:lang w:val="en-US" w:eastAsia="it-IT"/>
        </w:rPr>
      </w:pPr>
    </w:p>
    <w:p w:rsidR="006C34C0" w:rsidRPr="00B81A2B" w:rsidRDefault="006C34C0" w:rsidP="006C34C0">
      <w:pPr>
        <w:autoSpaceDE w:val="0"/>
        <w:autoSpaceDN w:val="0"/>
        <w:adjustRightInd w:val="0"/>
        <w:spacing w:after="0" w:line="240" w:lineRule="auto"/>
        <w:rPr>
          <w:rFonts w:ascii="Times New Roman" w:hAnsi="Times New Roman" w:cs="Times New Roman"/>
          <w:noProof/>
          <w:color w:val="000000"/>
          <w:sz w:val="24"/>
          <w:szCs w:val="24"/>
          <w:lang w:val="en-US" w:eastAsia="it-IT"/>
        </w:rPr>
      </w:pPr>
      <w:r>
        <w:rPr>
          <w:noProof/>
          <w:lang w:eastAsia="it-IT"/>
        </w:rPr>
        <w:drawing>
          <wp:inline distT="0" distB="0" distL="0" distR="0">
            <wp:extent cx="1465463" cy="1111911"/>
            <wp:effectExtent l="19050" t="0" r="1387" b="0"/>
            <wp:docPr id="4" name="Immagine 3" descr="Click to Vie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ck to View Image"/>
                    <pic:cNvPicPr>
                      <a:picLocks noChangeAspect="1" noChangeArrowheads="1"/>
                    </pic:cNvPicPr>
                  </pic:nvPicPr>
                  <pic:blipFill>
                    <a:blip r:embed="rId9" cstate="print"/>
                    <a:srcRect/>
                    <a:stretch>
                      <a:fillRect/>
                    </a:stretch>
                  </pic:blipFill>
                  <pic:spPr bwMode="auto">
                    <a:xfrm>
                      <a:off x="0" y="0"/>
                      <a:ext cx="1465384" cy="1111851"/>
                    </a:xfrm>
                    <a:prstGeom prst="rect">
                      <a:avLst/>
                    </a:prstGeom>
                    <a:noFill/>
                    <a:ln w="9525">
                      <a:noFill/>
                      <a:miter lim="800000"/>
                      <a:headEnd/>
                      <a:tailEnd/>
                    </a:ln>
                  </pic:spPr>
                </pic:pic>
              </a:graphicData>
            </a:graphic>
          </wp:inline>
        </w:drawing>
      </w:r>
    </w:p>
    <w:p w:rsidR="00B81A2B" w:rsidRPr="00B81A2B" w:rsidRDefault="00B81A2B" w:rsidP="00B81A2B">
      <w:pPr>
        <w:autoSpaceDE w:val="0"/>
        <w:autoSpaceDN w:val="0"/>
        <w:adjustRightInd w:val="0"/>
        <w:spacing w:after="0" w:line="240" w:lineRule="auto"/>
      </w:pPr>
      <w:r w:rsidRPr="00EA43C8">
        <w:rPr>
          <w:u w:val="single"/>
        </w:rPr>
        <w:t>Formula Moleculare</w:t>
      </w:r>
      <w:r w:rsidRPr="00B81A2B">
        <w:t>: C</w:t>
      </w:r>
      <w:r w:rsidRPr="00B81A2B">
        <w:rPr>
          <w:vertAlign w:val="subscript"/>
        </w:rPr>
        <w:t>8</w:t>
      </w:r>
      <w:r w:rsidRPr="00B81A2B">
        <w:t>H</w:t>
      </w:r>
      <w:r w:rsidRPr="00B81A2B">
        <w:rPr>
          <w:vertAlign w:val="subscript"/>
        </w:rPr>
        <w:t>8</w:t>
      </w:r>
      <w:r w:rsidRPr="00B81A2B">
        <w:t>KNO</w:t>
      </w:r>
      <w:r w:rsidRPr="00B81A2B">
        <w:rPr>
          <w:vertAlign w:val="subscript"/>
        </w:rPr>
        <w:t>5</w:t>
      </w:r>
      <w:r w:rsidRPr="00B81A2B">
        <w:t xml:space="preserve"> </w:t>
      </w:r>
    </w:p>
    <w:p w:rsidR="00B81A2B" w:rsidRPr="00EA43C8" w:rsidRDefault="00B81A2B" w:rsidP="00B81A2B">
      <w:pPr>
        <w:autoSpaceDE w:val="0"/>
        <w:autoSpaceDN w:val="0"/>
        <w:adjustRightInd w:val="0"/>
        <w:spacing w:after="0" w:line="240" w:lineRule="auto"/>
      </w:pPr>
      <w:r w:rsidRPr="00EA43C8">
        <w:rPr>
          <w:u w:val="single"/>
        </w:rPr>
        <w:t>Massa moleculare relativa</w:t>
      </w:r>
      <w:r w:rsidRPr="00EA43C8">
        <w:t xml:space="preserve">: 237.3 </w:t>
      </w:r>
    </w:p>
    <w:p w:rsidR="006C34C0" w:rsidRPr="006C34C0" w:rsidRDefault="00B81A2B" w:rsidP="006C34C0">
      <w:pPr>
        <w:autoSpaceDE w:val="0"/>
        <w:autoSpaceDN w:val="0"/>
        <w:adjustRightInd w:val="0"/>
        <w:spacing w:after="0" w:line="240" w:lineRule="auto"/>
      </w:pPr>
      <w:r w:rsidRPr="00EA43C8">
        <w:rPr>
          <w:u w:val="single"/>
        </w:rPr>
        <w:t>Aspetto</w:t>
      </w:r>
      <w:r w:rsidRPr="009D0BE5">
        <w:t xml:space="preserve">: </w:t>
      </w:r>
      <w:r w:rsidR="009D0BE5" w:rsidRPr="009D0BE5">
        <w:t>polvere cristallina, bianca o biancastra, igroscopica</w:t>
      </w:r>
      <w:r w:rsidR="006C34C0" w:rsidRPr="006C34C0">
        <w:t xml:space="preserve">. </w:t>
      </w:r>
    </w:p>
    <w:p w:rsidR="00EA43C8" w:rsidRPr="000D3DA6" w:rsidRDefault="00EA43C8" w:rsidP="00EA43C8">
      <w:pPr>
        <w:spacing w:after="0" w:line="240" w:lineRule="auto"/>
        <w:jc w:val="both"/>
      </w:pPr>
      <w:r w:rsidRPr="000D3DA6">
        <w:rPr>
          <w:u w:val="single"/>
        </w:rPr>
        <w:t>Solubilità</w:t>
      </w:r>
      <w:r w:rsidRPr="000D3DA6">
        <w:t xml:space="preserve">: </w:t>
      </w:r>
      <w:r w:rsidR="000D3DA6">
        <w:t>liberamente</w:t>
      </w:r>
      <w:r w:rsidR="000D3DA6" w:rsidRPr="000D3DA6">
        <w:t xml:space="preserve"> </w:t>
      </w:r>
      <w:r w:rsidRPr="000D3DA6">
        <w:t xml:space="preserve">solubile in acqua, </w:t>
      </w:r>
      <w:r w:rsidR="000D3DA6">
        <w:t xml:space="preserve">poco </w:t>
      </w:r>
      <w:r w:rsidRPr="000D3DA6">
        <w:t xml:space="preserve">solubile in etanolo (96%), </w:t>
      </w:r>
      <w:r w:rsidR="000D3DA6">
        <w:t>molto poco solubile in acetone</w:t>
      </w:r>
      <w:r w:rsidRPr="000D3DA6">
        <w:t xml:space="preserve">.   </w:t>
      </w:r>
    </w:p>
    <w:p w:rsidR="00EA43C8" w:rsidRPr="000D3DA6" w:rsidRDefault="00EA43C8" w:rsidP="00EA43C8">
      <w:pPr>
        <w:spacing w:after="0" w:line="240" w:lineRule="auto"/>
        <w:jc w:val="both"/>
      </w:pPr>
      <w:r w:rsidRPr="000D3DA6">
        <w:t>pH: 5.5</w:t>
      </w:r>
      <w:r w:rsidR="000D3DA6">
        <w:t>-8.0</w:t>
      </w:r>
      <w:r w:rsidRPr="000D3DA6">
        <w:t xml:space="preserve"> per la soluzione S. </w:t>
      </w:r>
    </w:p>
    <w:p w:rsidR="00EA43C8" w:rsidRPr="000D3DA6" w:rsidRDefault="00EA43C8" w:rsidP="00EA43C8">
      <w:pPr>
        <w:spacing w:after="0" w:line="240" w:lineRule="auto"/>
        <w:jc w:val="both"/>
      </w:pPr>
      <w:r w:rsidRPr="000D3DA6">
        <w:rPr>
          <w:u w:val="single"/>
        </w:rPr>
        <w:t>Rotazione ottica specifica</w:t>
      </w:r>
      <w:r w:rsidRPr="000D3DA6">
        <w:t xml:space="preserve">: + </w:t>
      </w:r>
      <w:r w:rsidR="000D3DA6">
        <w:t>53</w:t>
      </w:r>
      <w:r w:rsidRPr="000D3DA6">
        <w:t xml:space="preserve">° - + </w:t>
      </w:r>
      <w:r w:rsidR="000D3DA6">
        <w:t>63</w:t>
      </w:r>
      <w:r w:rsidRPr="000D3DA6">
        <w:t xml:space="preserve">° (sostanza anidra).  </w:t>
      </w:r>
    </w:p>
    <w:p w:rsidR="006C34C0" w:rsidRPr="009D0BE5" w:rsidRDefault="00EA43C8" w:rsidP="00EA43C8">
      <w:pPr>
        <w:spacing w:after="0" w:line="240" w:lineRule="auto"/>
        <w:jc w:val="both"/>
      </w:pPr>
      <w:r w:rsidRPr="000D3DA6">
        <w:rPr>
          <w:u w:val="single"/>
        </w:rPr>
        <w:t>Polimorfismo</w:t>
      </w:r>
      <w:r w:rsidRPr="000D3DA6">
        <w:t xml:space="preserve">: </w:t>
      </w:r>
      <w:r w:rsidR="000D3DA6">
        <w:t>Potassio Clavulanato</w:t>
      </w:r>
      <w:r w:rsidR="000D3DA6" w:rsidRPr="000D3DA6">
        <w:t xml:space="preserve"> </w:t>
      </w:r>
      <w:r w:rsidRPr="000D3DA6">
        <w:t xml:space="preserve">non esibisce polimorfismo. </w:t>
      </w:r>
      <w:r w:rsidR="009D0BE5" w:rsidRPr="000D3DA6">
        <w:t>Il p</w:t>
      </w:r>
      <w:r w:rsidR="00EF27CC" w:rsidRPr="000D3DA6">
        <w:t>otassio</w:t>
      </w:r>
      <w:r w:rsidR="006C34C0" w:rsidRPr="000D3DA6">
        <w:t xml:space="preserve"> clavulanat</w:t>
      </w:r>
      <w:r w:rsidR="009D0BE5" w:rsidRPr="000D3DA6">
        <w:t>o</w:t>
      </w:r>
      <w:r w:rsidR="006C34C0" w:rsidRPr="000D3DA6">
        <w:t xml:space="preserve"> </w:t>
      </w:r>
      <w:r w:rsidR="009D0BE5" w:rsidRPr="000D3DA6">
        <w:t>deve essere mescolato con una sostanza neutra per essere manipolato con sicurezza</w:t>
      </w:r>
      <w:r w:rsidR="006C34C0" w:rsidRPr="000D3DA6">
        <w:t>.</w:t>
      </w:r>
      <w:r w:rsidR="006C34C0" w:rsidRPr="009D0BE5">
        <w:t xml:space="preserve"> </w:t>
      </w:r>
    </w:p>
    <w:p w:rsidR="006C34C0" w:rsidRPr="00B81A2B" w:rsidRDefault="009D0BE5" w:rsidP="006C34C0">
      <w:pPr>
        <w:spacing w:after="0" w:line="240" w:lineRule="auto"/>
        <w:jc w:val="both"/>
      </w:pPr>
      <w:r>
        <w:t xml:space="preserve"> </w:t>
      </w:r>
    </w:p>
    <w:p w:rsidR="006C34C0" w:rsidRPr="00B81A2B" w:rsidRDefault="009D0BE5" w:rsidP="009D0BE5">
      <w:pPr>
        <w:spacing w:after="0" w:line="240" w:lineRule="auto"/>
        <w:jc w:val="both"/>
      </w:pPr>
      <w:r>
        <w:t xml:space="preserve">La qualità del principio attivo potassio clavulanato diluito (1:1) con silice colloidale idrata, usato nella produzione del medicinale AMOCLA, è controllata in accordo alla versione attualmente in vigore della monografia di Farmacopea Europea </w:t>
      </w:r>
      <w:r w:rsidRPr="009D0BE5">
        <w:t xml:space="preserve"> N</w:t>
      </w:r>
      <w:r>
        <w:t>.</w:t>
      </w:r>
      <w:r w:rsidRPr="009D0BE5">
        <w:t xml:space="preserve"> 1653 </w:t>
      </w:r>
      <w:r>
        <w:t>per il Potassio clavulanato</w:t>
      </w:r>
      <w:r w:rsidRPr="009D0BE5">
        <w:t>, dilu</w:t>
      </w:r>
      <w:r>
        <w:t xml:space="preserve">ito. Tutti gli aspetti della produzione e del controllo della sostanza attiva sono stati valutati dal Direttorato Europeo della Qualità dei medicinali (EDQM) prima del rilascio al produttore del relativo CEP (Certificate of Suitability).   </w:t>
      </w:r>
    </w:p>
    <w:p w:rsidR="00DE2C61" w:rsidRPr="00DE2C61" w:rsidRDefault="00DE2C61" w:rsidP="00DE2C61">
      <w:pPr>
        <w:autoSpaceDE w:val="0"/>
        <w:autoSpaceDN w:val="0"/>
        <w:adjustRightInd w:val="0"/>
        <w:spacing w:after="0" w:line="240" w:lineRule="auto"/>
      </w:pPr>
    </w:p>
    <w:p w:rsidR="009D0BE5" w:rsidRDefault="009D0BE5" w:rsidP="009D0BE5">
      <w:pPr>
        <w:spacing w:after="0" w:line="240" w:lineRule="auto"/>
        <w:jc w:val="both"/>
        <w:rPr>
          <w:b/>
        </w:rPr>
      </w:pPr>
      <w:r>
        <w:rPr>
          <w:b/>
        </w:rPr>
        <w:t>II.1.2</w:t>
      </w:r>
      <w:r w:rsidRPr="006C34C0">
        <w:rPr>
          <w:b/>
        </w:rPr>
        <w:t xml:space="preserve"> PRINCIPIO ATTIVO </w:t>
      </w:r>
      <w:r>
        <w:rPr>
          <w:b/>
        </w:rPr>
        <w:t>POTASSIO CLAVULANATO**</w:t>
      </w:r>
    </w:p>
    <w:p w:rsidR="009D0BE5" w:rsidRPr="00EF27CC" w:rsidRDefault="009D0BE5" w:rsidP="009D0BE5">
      <w:pPr>
        <w:spacing w:after="0" w:line="240" w:lineRule="auto"/>
        <w:jc w:val="both"/>
      </w:pPr>
      <w:r w:rsidRPr="00EF27CC">
        <w:rPr>
          <w:b/>
        </w:rPr>
        <w:t>**</w:t>
      </w:r>
      <w:r w:rsidR="00EF27CC" w:rsidRPr="00EF27CC">
        <w:rPr>
          <w:b/>
          <w:i/>
        </w:rPr>
        <w:t xml:space="preserve">diluito con silice, colloidale </w:t>
      </w:r>
      <w:r w:rsidR="00EF27CC" w:rsidRPr="00EF27CC">
        <w:rPr>
          <w:b/>
          <w:i/>
          <w:u w:val="single"/>
        </w:rPr>
        <w:t>anidra</w:t>
      </w:r>
      <w:r w:rsidR="00EF27CC" w:rsidRPr="00EF27CC">
        <w:rPr>
          <w:i/>
        </w:rPr>
        <w:t xml:space="preserve"> nel rapporto</w:t>
      </w:r>
      <w:r w:rsidRPr="00EF27CC">
        <w:rPr>
          <w:i/>
        </w:rPr>
        <w:t xml:space="preserve"> 1:1</w:t>
      </w:r>
      <w:r w:rsidRPr="00EF27CC">
        <w:t xml:space="preserve"> </w:t>
      </w:r>
    </w:p>
    <w:p w:rsidR="009D0BE5" w:rsidRPr="00856A2D" w:rsidRDefault="009D0BE5" w:rsidP="009D0BE5">
      <w:pPr>
        <w:pStyle w:val="Default"/>
        <w:rPr>
          <w:rFonts w:asciiTheme="minorHAnsi" w:eastAsiaTheme="minorHAnsi" w:hAnsiTheme="minorHAnsi" w:cstheme="minorBidi"/>
          <w:color w:val="auto"/>
          <w:sz w:val="22"/>
          <w:szCs w:val="22"/>
        </w:rPr>
      </w:pPr>
      <w:r w:rsidRPr="00856A2D">
        <w:rPr>
          <w:rFonts w:asciiTheme="minorHAnsi" w:eastAsiaTheme="minorHAnsi" w:hAnsiTheme="minorHAnsi" w:cstheme="minorBidi"/>
          <w:color w:val="auto"/>
          <w:sz w:val="22"/>
          <w:szCs w:val="22"/>
          <w:u w:val="single"/>
        </w:rPr>
        <w:t>INN</w:t>
      </w:r>
      <w:r w:rsidRPr="00856A2D">
        <w:rPr>
          <w:rFonts w:asciiTheme="minorHAnsi" w:eastAsiaTheme="minorHAnsi" w:hAnsiTheme="minorHAnsi" w:cstheme="minorBidi"/>
          <w:color w:val="auto"/>
          <w:sz w:val="22"/>
          <w:szCs w:val="22"/>
        </w:rPr>
        <w:t xml:space="preserve">: Potassium clavulanate  </w:t>
      </w:r>
    </w:p>
    <w:p w:rsidR="009D0BE5" w:rsidRPr="00856A2D" w:rsidRDefault="009D0BE5" w:rsidP="009D0BE5">
      <w:pPr>
        <w:pStyle w:val="Default"/>
        <w:rPr>
          <w:rFonts w:asciiTheme="minorHAnsi" w:eastAsiaTheme="minorHAnsi" w:hAnsiTheme="minorHAnsi" w:cstheme="minorBidi"/>
          <w:color w:val="auto"/>
          <w:sz w:val="22"/>
          <w:szCs w:val="22"/>
        </w:rPr>
      </w:pPr>
      <w:r w:rsidRPr="00856A2D">
        <w:rPr>
          <w:rFonts w:asciiTheme="minorHAnsi" w:eastAsiaTheme="minorHAnsi" w:hAnsiTheme="minorHAnsi" w:cstheme="minorBidi"/>
          <w:color w:val="auto"/>
          <w:sz w:val="22"/>
          <w:szCs w:val="22"/>
          <w:u w:val="single"/>
        </w:rPr>
        <w:t>Nome chimico</w:t>
      </w:r>
      <w:r w:rsidRPr="00856A2D">
        <w:rPr>
          <w:rFonts w:asciiTheme="minorHAnsi" w:eastAsiaTheme="minorHAnsi" w:hAnsiTheme="minorHAnsi" w:cstheme="minorBidi"/>
          <w:color w:val="auto"/>
          <w:sz w:val="22"/>
          <w:szCs w:val="22"/>
        </w:rPr>
        <w:t xml:space="preserve">: Potassium (2R,3Z,5R)-3-(2-hydroxyethylidene)-7-oxo-4-oxa-1-azabicyclo[3.2.0]heptane-2-carboxylate </w:t>
      </w:r>
    </w:p>
    <w:p w:rsidR="009D0BE5" w:rsidRDefault="009D0BE5" w:rsidP="009D0BE5">
      <w:pPr>
        <w:pStyle w:val="Default"/>
        <w:rPr>
          <w:rFonts w:asciiTheme="minorHAnsi" w:eastAsiaTheme="minorHAnsi" w:hAnsiTheme="minorHAnsi" w:cstheme="minorBidi"/>
          <w:color w:val="auto"/>
          <w:sz w:val="22"/>
          <w:szCs w:val="22"/>
          <w:lang w:val="en-US"/>
        </w:rPr>
      </w:pPr>
      <w:r w:rsidRPr="009D0BE5">
        <w:rPr>
          <w:rFonts w:asciiTheme="minorHAnsi" w:eastAsiaTheme="minorHAnsi" w:hAnsiTheme="minorHAnsi" w:cstheme="minorBidi"/>
          <w:color w:val="auto"/>
          <w:sz w:val="22"/>
          <w:szCs w:val="22"/>
          <w:lang w:val="en-US"/>
        </w:rPr>
        <w:t xml:space="preserve">CAS Registry Number </w:t>
      </w:r>
    </w:p>
    <w:p w:rsidR="009D0BE5" w:rsidRPr="00B81A2B" w:rsidRDefault="009D0BE5" w:rsidP="009D0BE5">
      <w:pPr>
        <w:pStyle w:val="Default"/>
        <w:rPr>
          <w:rFonts w:asciiTheme="minorHAnsi" w:eastAsiaTheme="minorHAnsi" w:hAnsiTheme="minorHAnsi" w:cstheme="minorBidi"/>
          <w:color w:val="auto"/>
          <w:sz w:val="22"/>
          <w:szCs w:val="22"/>
          <w:lang w:val="en-US"/>
        </w:rPr>
      </w:pPr>
      <w:r w:rsidRPr="00B81A2B">
        <w:rPr>
          <w:rFonts w:asciiTheme="minorHAnsi" w:eastAsiaTheme="minorHAnsi" w:hAnsiTheme="minorHAnsi" w:cstheme="minorBidi"/>
          <w:color w:val="auto"/>
          <w:sz w:val="22"/>
          <w:szCs w:val="22"/>
          <w:u w:val="single"/>
          <w:lang w:val="en-US"/>
        </w:rPr>
        <w:t>Struttura</w:t>
      </w:r>
      <w:r>
        <w:rPr>
          <w:rFonts w:asciiTheme="minorHAnsi" w:eastAsiaTheme="minorHAnsi" w:hAnsiTheme="minorHAnsi" w:cstheme="minorBidi"/>
          <w:color w:val="auto"/>
          <w:sz w:val="22"/>
          <w:szCs w:val="22"/>
          <w:lang w:val="en-US"/>
        </w:rPr>
        <w:t>:</w:t>
      </w:r>
    </w:p>
    <w:p w:rsidR="009D0BE5" w:rsidRPr="00B81A2B" w:rsidRDefault="009D0BE5" w:rsidP="009D0BE5">
      <w:pPr>
        <w:autoSpaceDE w:val="0"/>
        <w:autoSpaceDN w:val="0"/>
        <w:adjustRightInd w:val="0"/>
        <w:spacing w:after="0" w:line="240" w:lineRule="auto"/>
        <w:rPr>
          <w:rFonts w:ascii="Times New Roman" w:hAnsi="Times New Roman" w:cs="Times New Roman"/>
          <w:noProof/>
          <w:color w:val="000000"/>
          <w:sz w:val="24"/>
          <w:szCs w:val="24"/>
          <w:lang w:val="en-US" w:eastAsia="it-IT"/>
        </w:rPr>
      </w:pPr>
    </w:p>
    <w:p w:rsidR="009D0BE5" w:rsidRPr="00B81A2B" w:rsidRDefault="009D0BE5" w:rsidP="009D0BE5">
      <w:pPr>
        <w:autoSpaceDE w:val="0"/>
        <w:autoSpaceDN w:val="0"/>
        <w:adjustRightInd w:val="0"/>
        <w:spacing w:after="0" w:line="240" w:lineRule="auto"/>
        <w:rPr>
          <w:rFonts w:ascii="Times New Roman" w:hAnsi="Times New Roman" w:cs="Times New Roman"/>
          <w:noProof/>
          <w:color w:val="000000"/>
          <w:sz w:val="24"/>
          <w:szCs w:val="24"/>
          <w:lang w:val="en-US" w:eastAsia="it-IT"/>
        </w:rPr>
      </w:pPr>
      <w:r>
        <w:rPr>
          <w:noProof/>
          <w:lang w:eastAsia="it-IT"/>
        </w:rPr>
        <w:drawing>
          <wp:inline distT="0" distB="0" distL="0" distR="0">
            <wp:extent cx="1465463" cy="1111911"/>
            <wp:effectExtent l="19050" t="0" r="1387" b="0"/>
            <wp:docPr id="7" name="Immagine 3" descr="Click to Vie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ck to View Image"/>
                    <pic:cNvPicPr>
                      <a:picLocks noChangeAspect="1" noChangeArrowheads="1"/>
                    </pic:cNvPicPr>
                  </pic:nvPicPr>
                  <pic:blipFill>
                    <a:blip r:embed="rId9" cstate="print"/>
                    <a:srcRect/>
                    <a:stretch>
                      <a:fillRect/>
                    </a:stretch>
                  </pic:blipFill>
                  <pic:spPr bwMode="auto">
                    <a:xfrm>
                      <a:off x="0" y="0"/>
                      <a:ext cx="1465384" cy="1111851"/>
                    </a:xfrm>
                    <a:prstGeom prst="rect">
                      <a:avLst/>
                    </a:prstGeom>
                    <a:noFill/>
                    <a:ln w="9525">
                      <a:noFill/>
                      <a:miter lim="800000"/>
                      <a:headEnd/>
                      <a:tailEnd/>
                    </a:ln>
                  </pic:spPr>
                </pic:pic>
              </a:graphicData>
            </a:graphic>
          </wp:inline>
        </w:drawing>
      </w:r>
    </w:p>
    <w:p w:rsidR="009D0BE5" w:rsidRPr="00B81A2B" w:rsidRDefault="009D0BE5" w:rsidP="009D0BE5">
      <w:pPr>
        <w:autoSpaceDE w:val="0"/>
        <w:autoSpaceDN w:val="0"/>
        <w:adjustRightInd w:val="0"/>
        <w:spacing w:after="0" w:line="240" w:lineRule="auto"/>
      </w:pPr>
      <w:r w:rsidRPr="00B81A2B">
        <w:t xml:space="preserve"> Formula Moleculare: C</w:t>
      </w:r>
      <w:r w:rsidRPr="00B81A2B">
        <w:rPr>
          <w:vertAlign w:val="subscript"/>
        </w:rPr>
        <w:t>8</w:t>
      </w:r>
      <w:r w:rsidRPr="00B81A2B">
        <w:t>H</w:t>
      </w:r>
      <w:r w:rsidRPr="00B81A2B">
        <w:rPr>
          <w:vertAlign w:val="subscript"/>
        </w:rPr>
        <w:t>8</w:t>
      </w:r>
      <w:r w:rsidRPr="00B81A2B">
        <w:t>KNO</w:t>
      </w:r>
      <w:r w:rsidRPr="00B81A2B">
        <w:rPr>
          <w:vertAlign w:val="subscript"/>
        </w:rPr>
        <w:t>5</w:t>
      </w:r>
      <w:r w:rsidRPr="00B81A2B">
        <w:t xml:space="preserve"> </w:t>
      </w:r>
    </w:p>
    <w:p w:rsidR="009D0BE5" w:rsidRPr="009D0BE5" w:rsidRDefault="009D0BE5" w:rsidP="009D0BE5">
      <w:pPr>
        <w:autoSpaceDE w:val="0"/>
        <w:autoSpaceDN w:val="0"/>
        <w:adjustRightInd w:val="0"/>
        <w:spacing w:after="0" w:line="240" w:lineRule="auto"/>
      </w:pPr>
      <w:r w:rsidRPr="009D0BE5">
        <w:t xml:space="preserve">Massa moleculare relativa: 237.3 </w:t>
      </w:r>
    </w:p>
    <w:p w:rsidR="009D0BE5" w:rsidRPr="006C34C0" w:rsidRDefault="009D0BE5" w:rsidP="009D0BE5">
      <w:pPr>
        <w:autoSpaceDE w:val="0"/>
        <w:autoSpaceDN w:val="0"/>
        <w:adjustRightInd w:val="0"/>
        <w:spacing w:after="0" w:line="240" w:lineRule="auto"/>
      </w:pPr>
      <w:r w:rsidRPr="009D0BE5">
        <w:t xml:space="preserve"> Aspetto: polvere cristallina, bianca o biancastra, igroscopica</w:t>
      </w:r>
      <w:r w:rsidRPr="006C34C0">
        <w:t xml:space="preserve">. </w:t>
      </w:r>
    </w:p>
    <w:p w:rsidR="009D0BE5" w:rsidRPr="006C34C0" w:rsidRDefault="009D0BE5" w:rsidP="009D0BE5">
      <w:pPr>
        <w:autoSpaceDE w:val="0"/>
        <w:autoSpaceDN w:val="0"/>
        <w:adjustRightInd w:val="0"/>
        <w:spacing w:after="0" w:line="240" w:lineRule="auto"/>
      </w:pPr>
      <w:r w:rsidRPr="009D0BE5">
        <w:t>Solubilità</w:t>
      </w:r>
      <w:r w:rsidRPr="006C34C0">
        <w:t xml:space="preserve">: </w:t>
      </w:r>
      <w:r w:rsidRPr="009D0BE5">
        <w:t>molto solubile in acqua, poco</w:t>
      </w:r>
      <w:r w:rsidRPr="006C34C0">
        <w:t xml:space="preserve"> solub</w:t>
      </w:r>
      <w:r w:rsidRPr="009D0BE5">
        <w:t>i</w:t>
      </w:r>
      <w:r w:rsidRPr="006C34C0">
        <w:t>le in etanol</w:t>
      </w:r>
      <w:r>
        <w:t>o</w:t>
      </w:r>
      <w:r w:rsidRPr="006C34C0">
        <w:t xml:space="preserve"> (96 </w:t>
      </w:r>
      <w:r>
        <w:t>%</w:t>
      </w:r>
      <w:r w:rsidRPr="006C34C0">
        <w:t xml:space="preserve">), </w:t>
      </w:r>
      <w:r>
        <w:t>molto poco</w:t>
      </w:r>
      <w:r w:rsidRPr="006C34C0">
        <w:t xml:space="preserve"> solub</w:t>
      </w:r>
      <w:r>
        <w:t>i</w:t>
      </w:r>
      <w:r w:rsidRPr="006C34C0">
        <w:t xml:space="preserve">le in acetone. </w:t>
      </w:r>
    </w:p>
    <w:p w:rsidR="009D0BE5" w:rsidRPr="009D0BE5" w:rsidRDefault="009D0BE5" w:rsidP="009D0BE5">
      <w:pPr>
        <w:spacing w:after="0" w:line="240" w:lineRule="auto"/>
        <w:jc w:val="both"/>
      </w:pPr>
      <w:r w:rsidRPr="009D0BE5">
        <w:t xml:space="preserve">Il potassium clavulanato deve essere mescolato con una sostanza neutra per essere manipolato con sicurezza. </w:t>
      </w:r>
    </w:p>
    <w:p w:rsidR="009D0BE5" w:rsidRPr="00B81A2B" w:rsidRDefault="009D0BE5" w:rsidP="009D0BE5">
      <w:pPr>
        <w:spacing w:after="0" w:line="240" w:lineRule="auto"/>
        <w:jc w:val="both"/>
      </w:pPr>
      <w:r>
        <w:t xml:space="preserve"> </w:t>
      </w:r>
    </w:p>
    <w:p w:rsidR="009D0BE5" w:rsidRPr="00B81A2B" w:rsidRDefault="009D0BE5" w:rsidP="009D0BE5">
      <w:pPr>
        <w:spacing w:after="0" w:line="240" w:lineRule="auto"/>
        <w:jc w:val="both"/>
      </w:pPr>
      <w:r>
        <w:t xml:space="preserve">La qualità del principio attivo potassio clavulanato diluito (1:1) con silice colloidale anidra, usato nella produzione del medicinale AMOCLA, è controllata in accordo alla versione attualmente in vigore della monografia di Farmacopea Europea </w:t>
      </w:r>
      <w:r w:rsidRPr="009D0BE5">
        <w:t xml:space="preserve"> N</w:t>
      </w:r>
      <w:r>
        <w:t>.</w:t>
      </w:r>
      <w:r w:rsidRPr="009D0BE5">
        <w:t xml:space="preserve"> 1653 </w:t>
      </w:r>
      <w:r>
        <w:t>per il Potassio clavulanato</w:t>
      </w:r>
      <w:r w:rsidRPr="009D0BE5">
        <w:t>, dilu</w:t>
      </w:r>
      <w:r>
        <w:t xml:space="preserve">ito. Tutti gli aspetti della produzione e del controllo della sostanza attiva sono stati valutati dal Direttorato Europeo della Qualità dei medicinali (EDQM) prima del rilascio al produttore del relativo CEP (Certificate of Suitability).   </w:t>
      </w:r>
    </w:p>
    <w:p w:rsidR="009D0BE5" w:rsidRPr="00DE2C61" w:rsidRDefault="009D0BE5" w:rsidP="009D0BE5">
      <w:pPr>
        <w:autoSpaceDE w:val="0"/>
        <w:autoSpaceDN w:val="0"/>
        <w:adjustRightInd w:val="0"/>
        <w:spacing w:after="0" w:line="240" w:lineRule="auto"/>
      </w:pPr>
    </w:p>
    <w:p w:rsidR="009D0BE5" w:rsidRDefault="009D0BE5" w:rsidP="009D0BE5">
      <w:pPr>
        <w:spacing w:after="0" w:line="240" w:lineRule="auto"/>
        <w:jc w:val="both"/>
        <w:rPr>
          <w:b/>
        </w:rPr>
      </w:pPr>
    </w:p>
    <w:p w:rsidR="009D0BE5" w:rsidRPr="009D0BE5" w:rsidRDefault="009D0BE5" w:rsidP="009D0BE5">
      <w:pPr>
        <w:spacing w:after="0" w:line="240" w:lineRule="auto"/>
        <w:jc w:val="both"/>
        <w:rPr>
          <w:b/>
        </w:rPr>
      </w:pPr>
    </w:p>
    <w:p w:rsidR="00DE2C61" w:rsidRPr="009D0BE5" w:rsidRDefault="00DE2C61" w:rsidP="00DE2C61">
      <w:pPr>
        <w:spacing w:after="0" w:line="240" w:lineRule="auto"/>
        <w:jc w:val="both"/>
        <w:rPr>
          <w:b/>
        </w:rPr>
      </w:pPr>
    </w:p>
    <w:p w:rsidR="007C68D2" w:rsidRPr="00B32D81" w:rsidRDefault="007C68D2" w:rsidP="00E14380">
      <w:pPr>
        <w:spacing w:after="0" w:line="240" w:lineRule="auto"/>
        <w:jc w:val="both"/>
        <w:rPr>
          <w:b/>
        </w:rPr>
      </w:pPr>
      <w:r w:rsidRPr="006312EE">
        <w:rPr>
          <w:b/>
        </w:rPr>
        <w:lastRenderedPageBreak/>
        <w:t>II.2 PROD</w:t>
      </w:r>
      <w:r w:rsidRPr="00B32D81">
        <w:rPr>
          <w:b/>
        </w:rPr>
        <w:t>OTTO FINITO</w:t>
      </w:r>
    </w:p>
    <w:p w:rsidR="007C68D2" w:rsidRPr="00CE5C72" w:rsidRDefault="007C68D2" w:rsidP="00E14380">
      <w:pPr>
        <w:spacing w:after="0" w:line="240" w:lineRule="auto"/>
        <w:jc w:val="both"/>
        <w:rPr>
          <w:b/>
        </w:rPr>
      </w:pPr>
      <w:r w:rsidRPr="00CE5C72">
        <w:rPr>
          <w:b/>
        </w:rPr>
        <w:t>Descrizione e composizione</w:t>
      </w:r>
    </w:p>
    <w:p w:rsidR="00B12DF7" w:rsidRDefault="00074E7C" w:rsidP="00B9728E">
      <w:pPr>
        <w:spacing w:after="0" w:line="240" w:lineRule="auto"/>
        <w:jc w:val="both"/>
      </w:pPr>
      <w:r>
        <w:t>AMOCLA</w:t>
      </w:r>
      <w:r w:rsidR="00E927A4">
        <w:t xml:space="preserve"> </w:t>
      </w:r>
      <w:r w:rsidR="007C68D2" w:rsidRPr="00186D72">
        <w:t xml:space="preserve">è disponibile come </w:t>
      </w:r>
      <w:r w:rsidR="00B9728E">
        <w:t xml:space="preserve">compresse rivestite con film </w:t>
      </w:r>
      <w:r w:rsidR="00BD7F96">
        <w:t xml:space="preserve">e polvere per sospensione orale in bustine </w:t>
      </w:r>
      <w:r w:rsidR="00B9728E">
        <w:t xml:space="preserve">contenenti amoxicillina triidrato equivalente a 875 mg di amoxicillina e potassio clavulanato equivalente a 125 mg di acido clavulanico, </w:t>
      </w:r>
      <w:r w:rsidR="00BD7F96">
        <w:t>e come</w:t>
      </w:r>
      <w:r w:rsidR="00B9728E">
        <w:t xml:space="preserve"> polvere per sospensione orale contenente amoxicillina triidrato equivalente a 400 mg di amoxicillina e potassio clavulanato equivalente a 57 mg di acido clavulanico in 5 ml di sospensione orale ricostituita. </w:t>
      </w:r>
    </w:p>
    <w:p w:rsidR="00BD7F96" w:rsidRDefault="00074E7C" w:rsidP="00BD7F96">
      <w:pPr>
        <w:spacing w:after="0" w:line="240" w:lineRule="auto"/>
        <w:jc w:val="both"/>
        <w:rPr>
          <w:lang w:val="de-DE"/>
        </w:rPr>
      </w:pPr>
      <w:r w:rsidRPr="00B9728E">
        <w:t>AMOCLA</w:t>
      </w:r>
      <w:r w:rsidR="00D16510" w:rsidRPr="00B9728E">
        <w:t xml:space="preserve"> </w:t>
      </w:r>
      <w:r w:rsidR="00B9728E" w:rsidRPr="00B9728E">
        <w:t xml:space="preserve">875 mg/125 mg compresse rivestite con film </w:t>
      </w:r>
      <w:r w:rsidR="002349D8">
        <w:t>è</w:t>
      </w:r>
      <w:r w:rsidR="008437AA">
        <w:t xml:space="preserve"> </w:t>
      </w:r>
      <w:r w:rsidR="002349D8">
        <w:t>confezionato</w:t>
      </w:r>
      <w:r w:rsidR="006E0162">
        <w:t xml:space="preserve"> in </w:t>
      </w:r>
      <w:r w:rsidR="00064299">
        <w:t xml:space="preserve"> </w:t>
      </w:r>
      <w:r w:rsidR="00BD7F96">
        <w:t>b</w:t>
      </w:r>
      <w:r w:rsidR="00BD7F96">
        <w:rPr>
          <w:lang w:val="de-DE"/>
        </w:rPr>
        <w:t xml:space="preserve">lister costituiti da </w:t>
      </w:r>
      <w:r w:rsidR="00BD7F96" w:rsidRPr="00BD7F96">
        <w:rPr>
          <w:lang w:val="de-DE"/>
        </w:rPr>
        <w:t>OPA/Al/PVC-Al</w:t>
      </w:r>
      <w:r w:rsidR="00BD7F96">
        <w:rPr>
          <w:lang w:val="de-DE"/>
        </w:rPr>
        <w:t>.</w:t>
      </w:r>
    </w:p>
    <w:p w:rsidR="00BD7F96" w:rsidRDefault="00B9728E" w:rsidP="00BD7F96">
      <w:pPr>
        <w:spacing w:after="0" w:line="240" w:lineRule="auto"/>
        <w:jc w:val="both"/>
        <w:rPr>
          <w:lang w:val="de-DE"/>
        </w:rPr>
      </w:pPr>
      <w:r w:rsidRPr="00B9728E">
        <w:t xml:space="preserve">AMOCLA 875 mg/125 mg polvere per </w:t>
      </w:r>
      <w:r>
        <w:t>sospensione</w:t>
      </w:r>
      <w:r w:rsidRPr="00B9728E">
        <w:t xml:space="preserve"> orale in bustine è confezionato in bustine mono-dose multistrato costituite da </w:t>
      </w:r>
      <w:r w:rsidR="00BD7F96" w:rsidRPr="00BD7F96">
        <w:rPr>
          <w:lang w:val="de-DE"/>
        </w:rPr>
        <w:t>polietilene tereftalato/alluminio/polietilene</w:t>
      </w:r>
      <w:r w:rsidR="00DE051E">
        <w:rPr>
          <w:lang w:val="de-DE"/>
        </w:rPr>
        <w:t xml:space="preserve"> (PET/ALU/PE).</w:t>
      </w:r>
    </w:p>
    <w:p w:rsidR="002349D8" w:rsidRPr="00B9728E" w:rsidRDefault="00074E7C" w:rsidP="00BD7F96">
      <w:pPr>
        <w:spacing w:after="0" w:line="240" w:lineRule="auto"/>
        <w:jc w:val="both"/>
      </w:pPr>
      <w:r w:rsidRPr="00B9728E">
        <w:t>AMOCLA</w:t>
      </w:r>
      <w:r w:rsidR="002349D8" w:rsidRPr="00B9728E">
        <w:t xml:space="preserve"> </w:t>
      </w:r>
      <w:r w:rsidR="00B9728E">
        <w:t>400 mg/57 mg/5 ml polvere per sospensione orale</w:t>
      </w:r>
      <w:r w:rsidR="002349D8" w:rsidRPr="00B9728E">
        <w:t xml:space="preserve"> è confezionato </w:t>
      </w:r>
      <w:r w:rsidR="00BD7F96">
        <w:t xml:space="preserve"> </w:t>
      </w:r>
      <w:r w:rsidR="00BD7F96" w:rsidRPr="00BD7F96">
        <w:t xml:space="preserve">in un flacone di vetro ambrato </w:t>
      </w:r>
      <w:r w:rsidR="00BD7F96">
        <w:t xml:space="preserve"> chiuso</w:t>
      </w:r>
      <w:r w:rsidR="00BD7F96" w:rsidRPr="00BD7F96">
        <w:t xml:space="preserve"> con una capsula a vite bianca di polietilene ad alta densità. I flaconi sono confezionati insieme ad un dispositivo dosatore; o una siringa da 6 ml in polietilene/polistirene, o un cucchiaino da 5 ml di polipropilene o polistirene.</w:t>
      </w:r>
    </w:p>
    <w:p w:rsidR="007C68D2" w:rsidRPr="00CE5C72" w:rsidRDefault="00D16510" w:rsidP="00424DDF">
      <w:pPr>
        <w:spacing w:after="0" w:line="240" w:lineRule="auto"/>
        <w:jc w:val="both"/>
      </w:pPr>
      <w:r w:rsidRPr="00D16510">
        <w:t>Gli eccipienti utilizzati nell</w:t>
      </w:r>
      <w:r w:rsidR="00424DDF">
        <w:t>e formulazioni</w:t>
      </w:r>
      <w:r w:rsidRPr="00D16510">
        <w:t xml:space="preserve"> </w:t>
      </w:r>
      <w:r>
        <w:t>sono c</w:t>
      </w:r>
      <w:r w:rsidRPr="00213B3A">
        <w:t>onformi alla relativa monografia</w:t>
      </w:r>
      <w:r>
        <w:t xml:space="preserve"> di </w:t>
      </w:r>
      <w:r w:rsidRPr="00213B3A">
        <w:t>Farmacopea Europea</w:t>
      </w:r>
      <w:r>
        <w:t xml:space="preserve"> fatta eccezione per l’aroma </w:t>
      </w:r>
      <w:r w:rsidR="00EA43C8">
        <w:t xml:space="preserve">presente nella polvere per sospensione orale </w:t>
      </w:r>
      <w:r>
        <w:t xml:space="preserve">per cui sono proposte adeguate specifiche interne. </w:t>
      </w:r>
      <w:r w:rsidR="001E6EA4">
        <w:t>E’</w:t>
      </w:r>
      <w:r w:rsidR="00213B3A">
        <w:t xml:space="preserve"> stata fornita una dichiarazione relativa all’assenza del rischio BSE/TSE. </w:t>
      </w:r>
      <w:r w:rsidR="007C68D2" w:rsidRPr="00CE5C72">
        <w:t>Nessun eccipiente è ottenuto da organismi geneticamente modificati; non sono presenti eccipienti mai utilizzati nell’uomo.</w:t>
      </w:r>
    </w:p>
    <w:p w:rsidR="00F01FB3" w:rsidRDefault="00F01FB3" w:rsidP="00424DDF">
      <w:pPr>
        <w:spacing w:after="0" w:line="240" w:lineRule="auto"/>
        <w:contextualSpacing/>
        <w:jc w:val="both"/>
      </w:pPr>
    </w:p>
    <w:p w:rsidR="007C68D2" w:rsidRPr="00CE5C72" w:rsidRDefault="007C68D2" w:rsidP="00E14380">
      <w:pPr>
        <w:spacing w:after="0" w:line="240" w:lineRule="auto"/>
        <w:jc w:val="both"/>
        <w:rPr>
          <w:b/>
        </w:rPr>
      </w:pPr>
      <w:r w:rsidRPr="00CE5C72">
        <w:rPr>
          <w:b/>
        </w:rPr>
        <w:t>Sviluppo farmaceutico</w:t>
      </w:r>
    </w:p>
    <w:p w:rsidR="007C68D2" w:rsidRPr="00CE5C72" w:rsidRDefault="007C68D2" w:rsidP="00502AB1">
      <w:pPr>
        <w:spacing w:after="0" w:line="240" w:lineRule="auto"/>
        <w:jc w:val="both"/>
      </w:pPr>
      <w:r w:rsidRPr="00CE5C72">
        <w:t>Sono stati forniti dettagli dello sviluppo farmaceutico e questi sono stati ritenuti soddisfacenti.</w:t>
      </w:r>
    </w:p>
    <w:p w:rsidR="007C68D2" w:rsidRPr="00B32D81" w:rsidRDefault="007C68D2" w:rsidP="00502AB1">
      <w:pPr>
        <w:spacing w:after="0" w:line="240" w:lineRule="auto"/>
        <w:jc w:val="both"/>
      </w:pPr>
      <w:r w:rsidRPr="00B32D81">
        <w:t>Sono stati forniti dati comparativi relativi alle caratteristiche fisico-chimiche e al profilo di impurezze rispetto al medicinale di riferimento. I dati sono soddisfacenti.</w:t>
      </w:r>
    </w:p>
    <w:p w:rsidR="007C68D2" w:rsidRPr="00B32D81" w:rsidRDefault="007C68D2" w:rsidP="007935FE">
      <w:pPr>
        <w:spacing w:after="0" w:line="240" w:lineRule="auto"/>
        <w:jc w:val="both"/>
      </w:pPr>
    </w:p>
    <w:p w:rsidR="007C68D2" w:rsidRPr="00B32D81" w:rsidRDefault="007C68D2" w:rsidP="007935FE">
      <w:pPr>
        <w:spacing w:after="0" w:line="240" w:lineRule="auto"/>
        <w:jc w:val="both"/>
        <w:rPr>
          <w:b/>
        </w:rPr>
      </w:pPr>
      <w:r w:rsidRPr="00B32D81">
        <w:rPr>
          <w:b/>
        </w:rPr>
        <w:t xml:space="preserve">Produzione </w:t>
      </w:r>
    </w:p>
    <w:p w:rsidR="007C68D2" w:rsidRPr="00B32D81" w:rsidRDefault="007C68D2" w:rsidP="00B32D81">
      <w:pPr>
        <w:spacing w:after="0" w:line="240" w:lineRule="auto"/>
        <w:jc w:val="both"/>
      </w:pPr>
      <w:r w:rsidRPr="00B32D81">
        <w:t>Sono stati forniti una descrizione del metodo di produzione e la relativa flow-chart.</w:t>
      </w:r>
    </w:p>
    <w:p w:rsidR="007C68D2" w:rsidRPr="00B32D81" w:rsidRDefault="007C68D2" w:rsidP="00B32D81">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rsidR="007C68D2" w:rsidRPr="00B32D81" w:rsidRDefault="007C68D2" w:rsidP="00B32D81">
      <w:pPr>
        <w:spacing w:after="0" w:line="240" w:lineRule="auto"/>
        <w:jc w:val="both"/>
      </w:pPr>
    </w:p>
    <w:p w:rsidR="007C68D2" w:rsidRPr="00B32D81" w:rsidRDefault="007C68D2" w:rsidP="00B32D81">
      <w:pPr>
        <w:spacing w:after="0" w:line="240" w:lineRule="auto"/>
        <w:jc w:val="both"/>
        <w:rPr>
          <w:b/>
        </w:rPr>
      </w:pPr>
      <w:r w:rsidRPr="00B32D81">
        <w:rPr>
          <w:b/>
        </w:rPr>
        <w:t>Specifiche del prodotto finito</w:t>
      </w:r>
    </w:p>
    <w:p w:rsidR="007C68D2" w:rsidRPr="00B32D81" w:rsidRDefault="007C68D2" w:rsidP="00B32D81">
      <w:pPr>
        <w:spacing w:after="0" w:line="240" w:lineRule="auto"/>
        <w:jc w:val="both"/>
      </w:pPr>
      <w:r w:rsidRPr="00B32D81">
        <w:t>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Sono stati forniti, infine, certificati analitici per gli standard di riferimento utilizzati.</w:t>
      </w:r>
    </w:p>
    <w:p w:rsidR="00F22BED" w:rsidRPr="00B32D81" w:rsidRDefault="00F22BED" w:rsidP="00B32D81">
      <w:pPr>
        <w:spacing w:after="0" w:line="240" w:lineRule="auto"/>
        <w:jc w:val="both"/>
        <w:rPr>
          <w:b/>
        </w:rPr>
      </w:pPr>
    </w:p>
    <w:p w:rsidR="007C68D2" w:rsidRPr="00B32D81" w:rsidRDefault="007C68D2" w:rsidP="00B32D81">
      <w:pPr>
        <w:spacing w:after="0" w:line="240" w:lineRule="auto"/>
        <w:jc w:val="both"/>
        <w:rPr>
          <w:b/>
        </w:rPr>
      </w:pPr>
      <w:r w:rsidRPr="00B32D81">
        <w:rPr>
          <w:b/>
        </w:rPr>
        <w:t>Contenitore</w:t>
      </w:r>
    </w:p>
    <w:p w:rsidR="007C68D2" w:rsidRPr="00B32D81" w:rsidRDefault="007C68D2" w:rsidP="00B32D81">
      <w:pPr>
        <w:spacing w:after="0" w:line="240" w:lineRule="auto"/>
        <w:jc w:val="both"/>
      </w:pPr>
      <w:r w:rsidRPr="00032587">
        <w:t>Sono</w:t>
      </w:r>
      <w:r w:rsidRPr="00B32D81">
        <w:t xml:space="preserve"> state fornite specifiche e certificati analitici per </w:t>
      </w:r>
      <w:r w:rsidR="008437AA">
        <w:t>i componenti dei confezionamenti primari</w:t>
      </w:r>
      <w:r w:rsidR="001B67E5">
        <w:t>.</w:t>
      </w:r>
      <w:r w:rsidR="008437AA">
        <w:t xml:space="preserve"> </w:t>
      </w:r>
    </w:p>
    <w:p w:rsidR="007C68D2" w:rsidRDefault="007C68D2" w:rsidP="00B32D81">
      <w:pPr>
        <w:spacing w:after="0" w:line="240" w:lineRule="auto"/>
        <w:jc w:val="both"/>
      </w:pPr>
    </w:p>
    <w:p w:rsidR="007C68D2" w:rsidRPr="00BD7F96" w:rsidRDefault="007C68D2" w:rsidP="00B32D81">
      <w:pPr>
        <w:spacing w:after="0" w:line="240" w:lineRule="auto"/>
        <w:jc w:val="both"/>
        <w:rPr>
          <w:b/>
        </w:rPr>
      </w:pPr>
      <w:r w:rsidRPr="00BD7F96">
        <w:rPr>
          <w:b/>
        </w:rPr>
        <w:t>Stabilità</w:t>
      </w:r>
    </w:p>
    <w:p w:rsidR="005D13CC" w:rsidRPr="00BD7F96" w:rsidRDefault="007C68D2" w:rsidP="005D13CC">
      <w:pPr>
        <w:spacing w:after="0" w:line="240" w:lineRule="auto"/>
        <w:jc w:val="both"/>
      </w:pPr>
      <w:r w:rsidRPr="00BD7F96">
        <w:t>Studi di stabilità sul prodotto finito sono stati condotti in accordo alle correnti linee guida e i risultati sono entro i limiti delle specifiche autorizzate. Sulla base di questi risultati, è stato autorizzato un</w:t>
      </w:r>
      <w:r w:rsidR="00CE5C72" w:rsidRPr="00BD7F96">
        <w:t xml:space="preserve"> periodo di validità di </w:t>
      </w:r>
      <w:r w:rsidR="00BD7F96">
        <w:t xml:space="preserve">2 </w:t>
      </w:r>
      <w:r w:rsidR="001B67E5" w:rsidRPr="00BD7F96">
        <w:t xml:space="preserve">anni </w:t>
      </w:r>
      <w:r w:rsidR="001E6EA4" w:rsidRPr="00BD7F96">
        <w:t xml:space="preserve">per </w:t>
      </w:r>
      <w:r w:rsidR="00074E7C" w:rsidRPr="00BD7F96">
        <w:t>AMOCLA</w:t>
      </w:r>
      <w:r w:rsidR="001B67E5" w:rsidRPr="00BD7F96">
        <w:t>.</w:t>
      </w:r>
    </w:p>
    <w:p w:rsidR="00E752F3" w:rsidRPr="00BD7F96" w:rsidRDefault="001B67E5" w:rsidP="00B32D81">
      <w:pPr>
        <w:spacing w:after="0" w:line="240" w:lineRule="auto"/>
        <w:jc w:val="both"/>
      </w:pPr>
      <w:r w:rsidRPr="00BD7F96">
        <w:t xml:space="preserve">La validità dopo la prima apertura del flacone della </w:t>
      </w:r>
      <w:r w:rsidR="00BD7F96">
        <w:t>sospensione</w:t>
      </w:r>
      <w:r w:rsidRPr="00BD7F96">
        <w:t xml:space="preserve"> orale </w:t>
      </w:r>
      <w:r w:rsidR="00BD7F96">
        <w:t xml:space="preserve">ricostituita </w:t>
      </w:r>
      <w:r w:rsidRPr="00BD7F96">
        <w:t xml:space="preserve">è di </w:t>
      </w:r>
      <w:r w:rsidR="00BD7F96">
        <w:t xml:space="preserve">7 giorni se conservata a temperatura </w:t>
      </w:r>
      <w:r w:rsidR="00BD7F96" w:rsidRPr="00BD7F96">
        <w:t>tra 2° e 8°C</w:t>
      </w:r>
      <w:r w:rsidR="00BD7F96">
        <w:t>.</w:t>
      </w:r>
      <w:r w:rsidR="00BD7F96" w:rsidRPr="00BD7F96">
        <w:t xml:space="preserve"> </w:t>
      </w:r>
    </w:p>
    <w:p w:rsidR="001B67E5" w:rsidRPr="00B32D81" w:rsidRDefault="001B67E5" w:rsidP="00B32D81">
      <w:pPr>
        <w:spacing w:after="0" w:line="240" w:lineRule="auto"/>
        <w:jc w:val="both"/>
      </w:pPr>
    </w:p>
    <w:p w:rsidR="007C68D2" w:rsidRPr="00B32D81" w:rsidRDefault="007C68D2" w:rsidP="00B32D81">
      <w:pPr>
        <w:spacing w:after="0" w:line="240" w:lineRule="auto"/>
        <w:jc w:val="both"/>
        <w:rPr>
          <w:b/>
        </w:rPr>
      </w:pPr>
      <w:r w:rsidRPr="00B32D81">
        <w:rPr>
          <w:b/>
        </w:rPr>
        <w:t>II.3 Discussione sugli aspetti di qualità</w:t>
      </w:r>
    </w:p>
    <w:p w:rsidR="007C68D2" w:rsidRPr="00B32D81" w:rsidRDefault="007C68D2" w:rsidP="00B32D81">
      <w:pPr>
        <w:spacing w:after="0" w:line="240" w:lineRule="auto"/>
        <w:jc w:val="both"/>
      </w:pPr>
      <w:r w:rsidRPr="00B32D81">
        <w:t xml:space="preserve">Tutte le criticità evidenziate nel corso della valutazione sono state risolte e la qualità di </w:t>
      </w:r>
      <w:r w:rsidR="00074E7C">
        <w:t>AMOCLA</w:t>
      </w:r>
      <w:r w:rsidR="001E6EA4">
        <w:t xml:space="preserve"> </w:t>
      </w:r>
      <w:r w:rsidRPr="00B32D81">
        <w:t xml:space="preserve">è considerata adeguata. Non ci sono obiezioni per l’approvazione di </w:t>
      </w:r>
      <w:r w:rsidR="00074E7C">
        <w:t>AMOCLA</w:t>
      </w:r>
      <w:r w:rsidRPr="00B32D81">
        <w:t xml:space="preserve"> dal punto di vista chimico-farmaceutico.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2"/>
        </w:numPr>
        <w:spacing w:after="0" w:line="240" w:lineRule="auto"/>
        <w:jc w:val="both"/>
        <w:rPr>
          <w:b/>
        </w:rPr>
      </w:pPr>
      <w:r w:rsidRPr="00B32D81">
        <w:rPr>
          <w:b/>
        </w:rPr>
        <w:t>ASPETTI NON CLINICI</w:t>
      </w:r>
    </w:p>
    <w:p w:rsidR="007C68D2" w:rsidRPr="00B32D81" w:rsidRDefault="007C68D2" w:rsidP="00B32D81">
      <w:pPr>
        <w:spacing w:after="0" w:line="240" w:lineRule="auto"/>
        <w:jc w:val="both"/>
      </w:pPr>
      <w:r w:rsidRPr="00B32D81">
        <w:lastRenderedPageBreak/>
        <w:t xml:space="preserve">Non sono stati condotti specifici studi non clinici, in quanto </w:t>
      </w:r>
      <w:r w:rsidR="00074E7C">
        <w:t>AMOCLA</w:t>
      </w:r>
      <w:r w:rsidR="001E6EA4">
        <w:t xml:space="preserve"> </w:t>
      </w:r>
      <w:r w:rsidRPr="00B32D81">
        <w:t xml:space="preserve">contiene un principio attivo noto: questo approccio è accettabile poiché il medicinale di riferimento </w:t>
      </w:r>
      <w:r w:rsidR="00074E7C">
        <w:t>AMOCLA</w:t>
      </w:r>
      <w:r w:rsidR="00A52DC4">
        <w:t xml:space="preserve"> </w:t>
      </w:r>
      <w:r w:rsidRPr="00B32D81">
        <w:t>è autorizzato in Italia da oltre 10 anni.</w:t>
      </w:r>
      <w:r w:rsidR="00353318">
        <w:t xml:space="preserve"> </w:t>
      </w:r>
      <w:r w:rsidRPr="00B32D81">
        <w:t>Non ci sono obiezioni per l’approvazione dal punto di vista non clinico.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2"/>
        </w:numPr>
        <w:spacing w:after="0" w:line="240" w:lineRule="auto"/>
        <w:jc w:val="both"/>
        <w:rPr>
          <w:b/>
        </w:rPr>
      </w:pPr>
      <w:r w:rsidRPr="00B32D81">
        <w:rPr>
          <w:b/>
        </w:rPr>
        <w:t>ASPETTI CLINICI</w:t>
      </w:r>
    </w:p>
    <w:p w:rsidR="005D13CC" w:rsidRDefault="001E6EA4" w:rsidP="008437AA">
      <w:pPr>
        <w:keepNext/>
        <w:rPr>
          <w:rFonts w:ascii="Calibri" w:eastAsia="Calibri" w:hAnsi="Calibri" w:cs="Times New Roman"/>
        </w:rPr>
      </w:pPr>
      <w:r w:rsidRPr="001E6EA4">
        <w:t xml:space="preserve">Non sono stati condotti specifici studi clinici, in quanto </w:t>
      </w:r>
      <w:r w:rsidR="00074E7C">
        <w:t>AMOCLA</w:t>
      </w:r>
      <w:r w:rsidRPr="001E6EA4">
        <w:t xml:space="preserve"> contiene un principio attivo noto: questo approccio è accettabile poiché il medicinale di riferimento </w:t>
      </w:r>
      <w:r w:rsidR="00074E7C">
        <w:t>AMOCLA</w:t>
      </w:r>
      <w:r w:rsidRPr="001E6EA4">
        <w:t xml:space="preserve"> è autorizzato in Italia da oltre 10 anni. </w:t>
      </w:r>
      <w:r w:rsidR="005D13CC" w:rsidRPr="005D13CC">
        <w:rPr>
          <w:rFonts w:ascii="Calibri" w:eastAsia="Calibri" w:hAnsi="Calibri" w:cs="Times New Roman"/>
        </w:rPr>
        <w:t xml:space="preserve"> </w:t>
      </w:r>
    </w:p>
    <w:p w:rsidR="00EA43C8" w:rsidRPr="007B608D" w:rsidRDefault="00EA43C8" w:rsidP="00EA43C8">
      <w:pPr>
        <w:spacing w:after="0" w:line="240" w:lineRule="auto"/>
        <w:ind w:right="6"/>
        <w:jc w:val="both"/>
        <w:rPr>
          <w:b/>
        </w:rPr>
      </w:pPr>
      <w:r w:rsidRPr="00144F4D">
        <w:rPr>
          <w:b/>
        </w:rPr>
        <w:t>Posologia e modalità di somministrazione</w:t>
      </w:r>
    </w:p>
    <w:p w:rsidR="00EA43C8" w:rsidRDefault="00EA43C8" w:rsidP="00EA43C8">
      <w:pPr>
        <w:spacing w:after="0" w:line="240" w:lineRule="auto"/>
        <w:ind w:right="6"/>
        <w:jc w:val="both"/>
        <w:rPr>
          <w:rFonts w:eastAsia="Calibri" w:cs="Calibri"/>
          <w:lang w:eastAsia="it-IT"/>
        </w:rPr>
      </w:pPr>
      <w:r w:rsidRPr="00144F4D">
        <w:t>Le informazioni sulla posologia e sulle modalità di somministrazione sono riportate nel Riassunto delle Caratteristiche del Prodotto pubblicato sul sito dell’Agenzia Italiana del Farmaco - AIFA /</w:t>
      </w:r>
      <w:r w:rsidRPr="00144F4D">
        <w:rPr>
          <w:rFonts w:eastAsia="Calibri" w:cs="Calibri"/>
          <w:lang w:eastAsia="it-IT"/>
        </w:rPr>
        <w:t>(</w:t>
      </w:r>
      <w:hyperlink r:id="rId10" w:history="1">
        <w:r w:rsidRPr="00144F4D">
          <w:rPr>
            <w:rStyle w:val="Collegamentoipertestuale"/>
            <w:rFonts w:eastAsia="Calibri" w:cs="Calibri"/>
          </w:rPr>
          <w:t>https://farmaci.agenziafarmaco.gov.it/bancadatifarmaci</w:t>
        </w:r>
      </w:hyperlink>
      <w:r w:rsidRPr="00144F4D">
        <w:rPr>
          <w:rFonts w:eastAsia="Calibri" w:cs="Calibri"/>
          <w:lang w:eastAsia="it-IT"/>
        </w:rPr>
        <w:t>).</w:t>
      </w:r>
    </w:p>
    <w:p w:rsidR="00EA43C8" w:rsidRPr="007B608D" w:rsidRDefault="00EA43C8" w:rsidP="00EA43C8">
      <w:pPr>
        <w:spacing w:after="0" w:line="240" w:lineRule="auto"/>
        <w:ind w:right="6"/>
        <w:jc w:val="both"/>
        <w:rPr>
          <w:rFonts w:eastAsia="Calibri" w:cs="Calibri"/>
          <w:lang w:eastAsia="it-IT"/>
        </w:rPr>
      </w:pPr>
    </w:p>
    <w:p w:rsidR="00EA43C8" w:rsidRPr="007B608D" w:rsidRDefault="00EA43C8" w:rsidP="00EA43C8">
      <w:pPr>
        <w:spacing w:after="0" w:line="240" w:lineRule="auto"/>
        <w:ind w:right="6"/>
        <w:jc w:val="both"/>
        <w:rPr>
          <w:rFonts w:eastAsia="Calibri" w:cs="Calibri"/>
          <w:b/>
          <w:lang w:eastAsia="it-IT"/>
        </w:rPr>
      </w:pPr>
      <w:r w:rsidRPr="00144F4D">
        <w:rPr>
          <w:rFonts w:eastAsia="Calibri" w:cs="Calibri"/>
          <w:b/>
          <w:lang w:eastAsia="it-IT"/>
        </w:rPr>
        <w:t>Tossicologia</w:t>
      </w:r>
    </w:p>
    <w:p w:rsidR="00EA43C8" w:rsidRDefault="00EA43C8" w:rsidP="00EA43C8">
      <w:pPr>
        <w:spacing w:after="0" w:line="240" w:lineRule="auto"/>
        <w:ind w:right="6"/>
        <w:jc w:val="both"/>
        <w:rPr>
          <w:rFonts w:eastAsia="Calibri" w:cs="Calibri"/>
          <w:lang w:eastAsia="it-IT"/>
        </w:rPr>
      </w:pPr>
      <w:r w:rsidRPr="00144F4D">
        <w:rPr>
          <w:rFonts w:eastAsia="Calibri" w:cs="Calibri"/>
          <w:lang w:eastAsia="it-IT"/>
        </w:rPr>
        <w:t xml:space="preserve">La tossicologia </w:t>
      </w:r>
      <w:r>
        <w:rPr>
          <w:rFonts w:eastAsia="Calibri" w:cs="Calibri"/>
          <w:lang w:eastAsia="it-IT"/>
        </w:rPr>
        <w:t>di amoxicillina e acido clavulanico</w:t>
      </w:r>
      <w:r w:rsidRPr="00144F4D">
        <w:rPr>
          <w:rFonts w:eastAsia="Calibri" w:cs="Calibri"/>
          <w:lang w:eastAsia="it-IT"/>
        </w:rPr>
        <w:t xml:space="preserve"> è ben conosciuta; non è stato necessario presentare ulteriori dati.</w:t>
      </w:r>
    </w:p>
    <w:p w:rsidR="00EA43C8" w:rsidRPr="007B608D" w:rsidRDefault="00EA43C8" w:rsidP="00EA43C8">
      <w:pPr>
        <w:spacing w:after="0" w:line="240" w:lineRule="auto"/>
        <w:ind w:right="6"/>
        <w:jc w:val="both"/>
        <w:rPr>
          <w:rFonts w:eastAsia="Calibri" w:cs="Calibri"/>
          <w:lang w:eastAsia="it-IT"/>
        </w:rPr>
      </w:pPr>
    </w:p>
    <w:p w:rsidR="00EA43C8" w:rsidRPr="00863422" w:rsidRDefault="00EA43C8" w:rsidP="00EA43C8">
      <w:pPr>
        <w:spacing w:after="0" w:line="240" w:lineRule="auto"/>
        <w:ind w:right="6"/>
        <w:jc w:val="both"/>
        <w:rPr>
          <w:rFonts w:eastAsia="Times New Roman" w:cs="Times New Roman"/>
          <w:b/>
        </w:rPr>
      </w:pPr>
      <w:r w:rsidRPr="00144F4D">
        <w:rPr>
          <w:rFonts w:eastAsia="Times New Roman" w:cs="Times New Roman"/>
          <w:b/>
        </w:rPr>
        <w:t>Farmacologia clinica</w:t>
      </w:r>
    </w:p>
    <w:p w:rsidR="00EA43C8" w:rsidRPr="00EF27CC" w:rsidRDefault="00EA43C8" w:rsidP="00EA43C8">
      <w:pPr>
        <w:spacing w:after="0" w:line="240" w:lineRule="auto"/>
        <w:jc w:val="both"/>
      </w:pPr>
      <w:r w:rsidRPr="00EF27CC">
        <w:rPr>
          <w:rFonts w:eastAsia="Calibri" w:cs="Calibri"/>
          <w:lang w:eastAsia="it-IT"/>
        </w:rPr>
        <w:t>La farmacologia clinica dell’</w:t>
      </w:r>
      <w:r w:rsidRPr="00EF27CC">
        <w:t xml:space="preserve">amoxicillina e dell’acido clavulanico </w:t>
      </w:r>
      <w:r w:rsidRPr="00EF27CC">
        <w:rPr>
          <w:rFonts w:eastAsia="Calibri" w:cs="Calibri"/>
          <w:lang w:eastAsia="it-IT"/>
        </w:rPr>
        <w:t>è ben conosciuta. Ad eccezione degli studi di biodisponibilità, n</w:t>
      </w:r>
      <w:r w:rsidRPr="00EF27CC">
        <w:t>on sono stati condotti nuovi studi clinici di farmacodinamica e farmacocinetica.</w:t>
      </w:r>
    </w:p>
    <w:p w:rsidR="005A3A55" w:rsidRPr="00EF27CC" w:rsidRDefault="005A3A55" w:rsidP="00EA43C8">
      <w:pPr>
        <w:spacing w:after="0" w:line="240" w:lineRule="auto"/>
        <w:jc w:val="both"/>
      </w:pPr>
    </w:p>
    <w:p w:rsidR="005A3A55" w:rsidRPr="00EF27CC" w:rsidRDefault="005A3A55" w:rsidP="005A3A55">
      <w:pPr>
        <w:spacing w:line="240" w:lineRule="auto"/>
        <w:jc w:val="both"/>
      </w:pPr>
      <w:r w:rsidRPr="00EF27CC">
        <w:t xml:space="preserve">La richiesta di AIC per le formulazioni in compresse e bustine al dosaggio 875 Mg + 125 Mg e polvere per sospensione orale bambini al dosaggio 400mg/57 mg/5 ml è supportata da tre studi di bioequivalenza che hanno confrontato i profili farmacocinetici di </w:t>
      </w:r>
      <w:r w:rsidR="007D4C35">
        <w:t>Amocla</w:t>
      </w:r>
      <w:r w:rsidR="004C100C">
        <w:t xml:space="preserve"> </w:t>
      </w:r>
      <w:r w:rsidRPr="00EF27CC">
        <w:t>e quelli del medicinale di riferimento Augmentin.</w:t>
      </w:r>
    </w:p>
    <w:p w:rsidR="005A3A55" w:rsidRPr="00EF27CC" w:rsidRDefault="005A3A55" w:rsidP="005A3A55">
      <w:pPr>
        <w:pStyle w:val="Paragrafoelenco"/>
        <w:spacing w:after="0" w:line="240" w:lineRule="auto"/>
        <w:ind w:left="0"/>
        <w:jc w:val="both"/>
      </w:pPr>
      <w:r w:rsidRPr="00EF27CC">
        <w:t>Gli studi erano caratterizzati da un appropriato disegno e sono stati condotti in accordo ai principi GCP. Sono stati forniti certificati analitici per medicinali test e medicinale di riferimento.</w:t>
      </w:r>
    </w:p>
    <w:p w:rsidR="005A3A55" w:rsidRPr="00EF27CC" w:rsidRDefault="005A3A55" w:rsidP="005A3A55">
      <w:pPr>
        <w:pStyle w:val="Paragrafoelenco"/>
        <w:spacing w:after="0" w:line="240" w:lineRule="auto"/>
        <w:ind w:left="0"/>
        <w:jc w:val="both"/>
      </w:pPr>
    </w:p>
    <w:p w:rsidR="005A3A55" w:rsidRPr="00EF27CC" w:rsidRDefault="005A3A55" w:rsidP="005A3A55">
      <w:pPr>
        <w:spacing w:line="240" w:lineRule="auto"/>
        <w:jc w:val="both"/>
        <w:rPr>
          <w:i/>
        </w:rPr>
      </w:pPr>
      <w:r w:rsidRPr="00EF27CC">
        <w:rPr>
          <w:i/>
        </w:rPr>
        <w:t>Studio di bioequivalenza per le compresse</w:t>
      </w:r>
    </w:p>
    <w:p w:rsidR="005A3A55" w:rsidRPr="00EF27CC" w:rsidRDefault="005A3A55" w:rsidP="005A3A55">
      <w:pPr>
        <w:spacing w:line="240" w:lineRule="auto"/>
        <w:jc w:val="both"/>
      </w:pPr>
      <w:r w:rsidRPr="00EF27CC">
        <w:t>Lo studio di bioequivalenza che compara le formulazioni in compresse è uno studio comparativo, controllato,  randomizzato, a dose singola (</w:t>
      </w:r>
      <w:r w:rsidRPr="00EF27CC">
        <w:rPr>
          <w:bCs/>
        </w:rPr>
        <w:t xml:space="preserve">875 mg </w:t>
      </w:r>
      <w:r w:rsidRPr="00EF27CC">
        <w:rPr>
          <w:bCs/>
          <w:i/>
          <w:iCs/>
        </w:rPr>
        <w:t xml:space="preserve">I </w:t>
      </w:r>
      <w:r w:rsidRPr="00EF27CC">
        <w:rPr>
          <w:bCs/>
          <w:iCs/>
        </w:rPr>
        <w:t>125</w:t>
      </w:r>
      <w:r w:rsidRPr="00EF27CC">
        <w:rPr>
          <w:bCs/>
          <w:i/>
          <w:iCs/>
        </w:rPr>
        <w:t xml:space="preserve"> </w:t>
      </w:r>
      <w:r w:rsidRPr="00EF27CC">
        <w:rPr>
          <w:bCs/>
        </w:rPr>
        <w:t>mg</w:t>
      </w:r>
      <w:r w:rsidRPr="00EF27CC">
        <w:t>), 2-periodi, crossover condotto in 38 volontari sani di entrambi i sessi con somministrazione a stomaco pieno. Dopo una notte di digiuno e 30 minuti dopo aver assunto un pasto ad alto contenuto di grassi il medicinale è stato somministrato con acqua. Un soddisfacente periodo di wash-out di 7 giorni è stato previsto tra le somministrazioni in ogni gruppo.</w:t>
      </w:r>
    </w:p>
    <w:p w:rsidR="005A3A55" w:rsidRPr="00EF27CC" w:rsidRDefault="005A3A55" w:rsidP="005A3A55">
      <w:pPr>
        <w:pStyle w:val="Paragrafoelenco"/>
        <w:spacing w:after="0" w:line="240" w:lineRule="auto"/>
        <w:ind w:left="0"/>
        <w:jc w:val="both"/>
      </w:pPr>
      <w:r w:rsidRPr="00EF27CC">
        <w:t>Campioni di sangue sono stati prelevati al tempo zero (pre-dose) e a specificati tempi fino a 12 ore dopo la somministrazione. I livelli plasmatici di amoxicillina e acido clavulanico sono stati determinati mediante un metodo analitico HPLC-MS-MS opportunamente convalidato.</w:t>
      </w:r>
    </w:p>
    <w:p w:rsidR="005A3A55" w:rsidRPr="00EF27CC" w:rsidRDefault="005A3A55" w:rsidP="005A3A55">
      <w:pPr>
        <w:pStyle w:val="Paragrafoelenco"/>
        <w:spacing w:after="0" w:line="240" w:lineRule="auto"/>
        <w:ind w:left="0"/>
        <w:jc w:val="both"/>
      </w:pPr>
      <w:r w:rsidRPr="00EF27CC">
        <w:t>Le variabili farmacocinetiche definite sono state: C</w:t>
      </w:r>
      <w:r w:rsidRPr="00EF27CC">
        <w:rPr>
          <w:vertAlign w:val="subscript"/>
        </w:rPr>
        <w:t>max</w:t>
      </w:r>
      <w:r w:rsidRPr="00EF27CC">
        <w:t>, AUC</w:t>
      </w:r>
      <w:r w:rsidRPr="00EF27CC">
        <w:rPr>
          <w:vertAlign w:val="subscript"/>
        </w:rPr>
        <w:t>0-t</w:t>
      </w:r>
      <w:r w:rsidRPr="00EF27CC">
        <w:t>, AUC</w:t>
      </w:r>
      <w:r w:rsidRPr="00EF27CC">
        <w:rPr>
          <w:vertAlign w:val="subscript"/>
        </w:rPr>
        <w:t>0-</w:t>
      </w:r>
      <w:r w:rsidR="00A06C13" w:rsidRPr="00EF27CC">
        <w:rPr>
          <w:vertAlign w:val="subscript"/>
          <w:lang w:val="en-GB"/>
        </w:rPr>
        <w:sym w:font="Symbol" w:char="00A5"/>
      </w:r>
      <w:r w:rsidR="00A06C13" w:rsidRPr="00EF27CC">
        <w:t>, t</w:t>
      </w:r>
      <w:r w:rsidR="00A06C13" w:rsidRPr="00EF27CC">
        <w:rPr>
          <w:vertAlign w:val="subscript"/>
        </w:rPr>
        <w:t>max</w:t>
      </w:r>
      <w:r w:rsidR="00A06C13" w:rsidRPr="00EF27CC">
        <w:t>, t½ e AUC estrapolata. La bioequivalenza tra medicinale test e medicinale di riferimento è dimostrata se gli intervalli di confidenza al 90% per la trasformata logaritmica di  C</w:t>
      </w:r>
      <w:r w:rsidR="00A06C13" w:rsidRPr="00EF27CC">
        <w:rPr>
          <w:vertAlign w:val="subscript"/>
        </w:rPr>
        <w:t xml:space="preserve">max </w:t>
      </w:r>
      <w:r w:rsidR="00A06C13" w:rsidRPr="00EF27CC">
        <w:t>e AUC</w:t>
      </w:r>
      <w:r w:rsidR="00A06C13" w:rsidRPr="00EF27CC">
        <w:rPr>
          <w:vertAlign w:val="subscript"/>
        </w:rPr>
        <w:t>0-t</w:t>
      </w:r>
      <w:r w:rsidR="00A06C13" w:rsidRPr="00EF27CC">
        <w:t>, cadono nel range di accettabilità di 0.80-1.25 (80%-125%).</w:t>
      </w:r>
    </w:p>
    <w:p w:rsidR="005A3A55" w:rsidRPr="00EF27CC" w:rsidRDefault="005A3A55" w:rsidP="005A3A55">
      <w:pPr>
        <w:pStyle w:val="Paragrafoelenco"/>
        <w:spacing w:after="0" w:line="240" w:lineRule="auto"/>
        <w:ind w:left="0"/>
        <w:jc w:val="both"/>
      </w:pPr>
    </w:p>
    <w:p w:rsidR="005A3A55" w:rsidRPr="00EF27CC" w:rsidRDefault="00A06C13" w:rsidP="005A3A55">
      <w:pPr>
        <w:pStyle w:val="Paragrafoelenco"/>
        <w:spacing w:after="0" w:line="240" w:lineRule="auto"/>
        <w:ind w:left="0"/>
        <w:jc w:val="both"/>
        <w:rPr>
          <w:u w:val="single"/>
        </w:rPr>
      </w:pPr>
      <w:r w:rsidRPr="00EF27CC">
        <w:rPr>
          <w:u w:val="single"/>
        </w:rPr>
        <w:t>Risultati</w:t>
      </w:r>
    </w:p>
    <w:p w:rsidR="005A3A55" w:rsidRPr="00EF27CC" w:rsidRDefault="00A06C13" w:rsidP="005A3A55">
      <w:pPr>
        <w:spacing w:line="240" w:lineRule="auto"/>
        <w:jc w:val="both"/>
      </w:pPr>
      <w:r w:rsidRPr="00EF27CC">
        <w:t>40 volontari sani sono stati arruolati negli studi, 38 hanno completato fase clinica e sono stati analizzati.</w:t>
      </w:r>
    </w:p>
    <w:p w:rsidR="005A3A55" w:rsidRPr="00EF27CC" w:rsidRDefault="00A06C13" w:rsidP="005A3A55">
      <w:pPr>
        <w:pStyle w:val="Didascalia"/>
        <w:keepNext/>
        <w:spacing w:before="0" w:after="0"/>
        <w:jc w:val="both"/>
        <w:outlineLvl w:val="0"/>
        <w:rPr>
          <w:rFonts w:asciiTheme="minorHAnsi" w:hAnsiTheme="minorHAnsi"/>
          <w:b w:val="0"/>
          <w:sz w:val="22"/>
          <w:szCs w:val="22"/>
          <w:u w:val="single"/>
          <w:lang w:val="it-IT"/>
        </w:rPr>
      </w:pPr>
      <w:r w:rsidRPr="00EF27CC">
        <w:rPr>
          <w:rFonts w:asciiTheme="minorHAnsi" w:hAnsiTheme="minorHAnsi"/>
          <w:b w:val="0"/>
          <w:sz w:val="22"/>
          <w:szCs w:val="22"/>
          <w:u w:val="single"/>
          <w:lang w:val="it-IT"/>
        </w:rPr>
        <w:t>Sicurezza</w:t>
      </w:r>
    </w:p>
    <w:p w:rsidR="005A3A55" w:rsidRPr="00EF27CC" w:rsidRDefault="00A06C13" w:rsidP="005A3A55">
      <w:pPr>
        <w:spacing w:line="240" w:lineRule="auto"/>
        <w:jc w:val="both"/>
      </w:pPr>
      <w:r w:rsidRPr="00EF27CC">
        <w:t xml:space="preserve">Nel corso dello studio </w:t>
      </w:r>
      <w:r w:rsidRPr="00EF27CC">
        <w:rPr>
          <w:rFonts w:ascii="Calibri" w:hAnsi="Calibri" w:cs="Arial"/>
        </w:rPr>
        <w:t>non sono stati rilevati eventi avversi gravi, gli eventi avversi sono stati simili tra medicinale test e medicinali di riferimento.</w:t>
      </w:r>
      <w:r w:rsidRPr="00EF27CC">
        <w:rPr>
          <w:rFonts w:ascii="Calibri" w:hAnsi="Calibri" w:cs="Arial"/>
          <w:b/>
        </w:rPr>
        <w:t xml:space="preserve"> </w:t>
      </w:r>
    </w:p>
    <w:p w:rsidR="005A3A55" w:rsidRPr="00EF27CC" w:rsidRDefault="00A06C13" w:rsidP="005A3A55">
      <w:pPr>
        <w:pStyle w:val="Didascalia"/>
        <w:keepNext/>
        <w:spacing w:before="0" w:after="0"/>
        <w:jc w:val="both"/>
        <w:outlineLvl w:val="0"/>
        <w:rPr>
          <w:rFonts w:asciiTheme="minorHAnsi" w:hAnsiTheme="minorHAnsi"/>
          <w:b w:val="0"/>
          <w:sz w:val="22"/>
          <w:szCs w:val="22"/>
          <w:u w:val="single"/>
          <w:lang w:val="it-IT"/>
        </w:rPr>
      </w:pPr>
      <w:r w:rsidRPr="00EF27CC">
        <w:rPr>
          <w:rFonts w:asciiTheme="minorHAnsi" w:hAnsiTheme="minorHAnsi"/>
          <w:b w:val="0"/>
          <w:sz w:val="22"/>
          <w:szCs w:val="22"/>
          <w:u w:val="single"/>
          <w:lang w:val="it-IT"/>
        </w:rPr>
        <w:t>Parametri farmacocinetici</w:t>
      </w:r>
    </w:p>
    <w:p w:rsidR="005A3A55" w:rsidRPr="00EF27CC" w:rsidRDefault="00A06C13" w:rsidP="005A3A55">
      <w:pPr>
        <w:pStyle w:val="Didascalia"/>
        <w:keepNext/>
        <w:spacing w:before="0" w:after="0"/>
        <w:jc w:val="both"/>
        <w:outlineLvl w:val="0"/>
        <w:rPr>
          <w:rFonts w:asciiTheme="minorHAnsi" w:hAnsiTheme="minorHAnsi"/>
          <w:b w:val="0"/>
          <w:sz w:val="22"/>
          <w:szCs w:val="22"/>
          <w:lang w:val="it-IT"/>
        </w:rPr>
      </w:pPr>
      <w:r w:rsidRPr="00EF27CC">
        <w:rPr>
          <w:rFonts w:asciiTheme="minorHAnsi" w:hAnsiTheme="minorHAnsi"/>
          <w:b w:val="0"/>
          <w:sz w:val="22"/>
          <w:szCs w:val="22"/>
          <w:lang w:val="it-IT"/>
        </w:rPr>
        <w:t>La sintesi dei risultati dello studio di bioequivalenza è riportata nella tabella che segue.</w:t>
      </w:r>
    </w:p>
    <w:p w:rsidR="005A3A55" w:rsidRPr="0010566D" w:rsidRDefault="005A3A55" w:rsidP="005A3A55">
      <w:pPr>
        <w:spacing w:line="240" w:lineRule="auto"/>
        <w:rPr>
          <w:highlight w:val="yellow"/>
        </w:rPr>
      </w:pP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676"/>
        <w:gridCol w:w="1794"/>
        <w:gridCol w:w="2052"/>
        <w:gridCol w:w="1950"/>
        <w:gridCol w:w="1936"/>
      </w:tblGrid>
      <w:tr w:rsidR="005A3A55" w:rsidRPr="00EF27CC" w:rsidTr="00103F65">
        <w:trPr>
          <w:jc w:val="center"/>
        </w:trPr>
        <w:tc>
          <w:tcPr>
            <w:tcW w:w="9197" w:type="dxa"/>
            <w:gridSpan w:val="5"/>
            <w:vAlign w:val="bottom"/>
          </w:tcPr>
          <w:p w:rsidR="005A3A55" w:rsidRPr="00EF27CC" w:rsidRDefault="00A06C13" w:rsidP="005A3A55">
            <w:pPr>
              <w:spacing w:line="240" w:lineRule="auto"/>
              <w:jc w:val="center"/>
              <w:rPr>
                <w:b/>
              </w:rPr>
            </w:pPr>
            <w:r w:rsidRPr="00EF27CC">
              <w:lastRenderedPageBreak/>
              <w:t>Amoxicillina</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Parametro</w:t>
            </w:r>
          </w:p>
        </w:tc>
        <w:tc>
          <w:tcPr>
            <w:tcW w:w="1754" w:type="dxa"/>
            <w:vAlign w:val="bottom"/>
          </w:tcPr>
          <w:p w:rsidR="005A3A55" w:rsidRPr="00EF27CC" w:rsidRDefault="00A06C13" w:rsidP="005A3A55">
            <w:pPr>
              <w:spacing w:line="240" w:lineRule="auto"/>
              <w:jc w:val="center"/>
              <w:rPr>
                <w:b/>
              </w:rPr>
            </w:pPr>
            <w:r w:rsidRPr="00EF27CC">
              <w:rPr>
                <w:b/>
              </w:rPr>
              <w:t xml:space="preserve">Test </w:t>
            </w:r>
          </w:p>
          <w:p w:rsidR="005A3A55" w:rsidRPr="00EF27CC" w:rsidRDefault="00A06C13" w:rsidP="005A3A55">
            <w:pPr>
              <w:spacing w:line="240" w:lineRule="auto"/>
              <w:jc w:val="center"/>
              <w:rPr>
                <w:b/>
              </w:rPr>
            </w:pPr>
            <w:r w:rsidRPr="00EF27CC">
              <w:rPr>
                <w:b/>
              </w:rPr>
              <w:t>[LSM]</w:t>
            </w:r>
          </w:p>
        </w:tc>
        <w:tc>
          <w:tcPr>
            <w:tcW w:w="2006" w:type="dxa"/>
            <w:vAlign w:val="bottom"/>
          </w:tcPr>
          <w:p w:rsidR="005A3A55" w:rsidRPr="00EF27CC" w:rsidRDefault="00A06C13" w:rsidP="005A3A55">
            <w:pPr>
              <w:spacing w:line="240" w:lineRule="auto"/>
              <w:jc w:val="center"/>
              <w:rPr>
                <w:b/>
              </w:rPr>
            </w:pPr>
            <w:r w:rsidRPr="00EF27CC">
              <w:rPr>
                <w:b/>
              </w:rPr>
              <w:t>Reference</w:t>
            </w:r>
          </w:p>
          <w:p w:rsidR="005A3A55" w:rsidRPr="00EF27CC" w:rsidRDefault="00A06C13" w:rsidP="005A3A55">
            <w:pPr>
              <w:spacing w:line="240" w:lineRule="auto"/>
              <w:jc w:val="center"/>
              <w:rPr>
                <w:b/>
              </w:rPr>
            </w:pPr>
            <w:r w:rsidRPr="00EF27CC">
              <w:rPr>
                <w:b/>
              </w:rPr>
              <w:t>[LSM]]</w:t>
            </w:r>
          </w:p>
        </w:tc>
        <w:tc>
          <w:tcPr>
            <w:tcW w:w="1906" w:type="dxa"/>
            <w:vAlign w:val="bottom"/>
          </w:tcPr>
          <w:p w:rsidR="005A3A55" w:rsidRPr="00EF27CC" w:rsidRDefault="00A06C13" w:rsidP="005A3A55">
            <w:pPr>
              <w:spacing w:line="240" w:lineRule="auto"/>
              <w:jc w:val="center"/>
              <w:rPr>
                <w:b/>
              </w:rPr>
            </w:pPr>
            <w:r w:rsidRPr="00EF27CC">
              <w:rPr>
                <w:b/>
              </w:rPr>
              <w:t>T/R Ratio</w:t>
            </w:r>
          </w:p>
        </w:tc>
        <w:tc>
          <w:tcPr>
            <w:tcW w:w="1893" w:type="dxa"/>
            <w:vAlign w:val="bottom"/>
          </w:tcPr>
          <w:p w:rsidR="005A3A55" w:rsidRPr="00EF27CC" w:rsidRDefault="00A06C13" w:rsidP="005A3A55">
            <w:pPr>
              <w:spacing w:line="240" w:lineRule="auto"/>
              <w:jc w:val="center"/>
              <w:rPr>
                <w:b/>
              </w:rPr>
            </w:pPr>
            <w:r w:rsidRPr="00EF27CC">
              <w:rPr>
                <w:b/>
              </w:rPr>
              <w:t>90% C.I.</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AUC0-t</w:t>
            </w:r>
          </w:p>
        </w:tc>
        <w:tc>
          <w:tcPr>
            <w:tcW w:w="1754" w:type="dxa"/>
            <w:vAlign w:val="center"/>
          </w:tcPr>
          <w:p w:rsidR="005A3A55" w:rsidRPr="00EF27CC" w:rsidRDefault="00A06C13" w:rsidP="005A3A55">
            <w:pPr>
              <w:spacing w:after="0" w:line="240" w:lineRule="auto"/>
              <w:rPr>
                <w:rFonts w:ascii="Calibri" w:hAnsi="Calibri"/>
              </w:rPr>
            </w:pPr>
            <w:r w:rsidRPr="00EF27CC">
              <w:rPr>
                <w:rFonts w:ascii="Calibri" w:hAnsi="Calibri" w:cs="Courier New"/>
              </w:rPr>
              <w:t xml:space="preserve">43459.191 </w:t>
            </w:r>
          </w:p>
        </w:tc>
        <w:tc>
          <w:tcPr>
            <w:tcW w:w="2006" w:type="dxa"/>
            <w:vAlign w:val="center"/>
          </w:tcPr>
          <w:p w:rsidR="005A3A55" w:rsidRPr="00EF27CC" w:rsidRDefault="00A06C13" w:rsidP="005A3A55">
            <w:pPr>
              <w:spacing w:after="0" w:line="240" w:lineRule="auto"/>
              <w:rPr>
                <w:rFonts w:ascii="Calibri" w:hAnsi="Calibri" w:cs="Courier New"/>
              </w:rPr>
            </w:pPr>
            <w:r w:rsidRPr="00EF27CC">
              <w:rPr>
                <w:rFonts w:ascii="Calibri" w:hAnsi="Calibri" w:cs="Courier New"/>
              </w:rPr>
              <w:t>44906.254</w:t>
            </w:r>
          </w:p>
        </w:tc>
        <w:tc>
          <w:tcPr>
            <w:tcW w:w="1906" w:type="dxa"/>
            <w:vAlign w:val="center"/>
          </w:tcPr>
          <w:p w:rsidR="005A3A55" w:rsidRPr="00EF27CC" w:rsidRDefault="00A06C13" w:rsidP="005A3A55">
            <w:pPr>
              <w:spacing w:after="0" w:line="240" w:lineRule="auto"/>
              <w:rPr>
                <w:rFonts w:ascii="Calibri" w:hAnsi="Calibri"/>
              </w:rPr>
            </w:pPr>
            <w:r w:rsidRPr="00EF27CC">
              <w:rPr>
                <w:rFonts w:ascii="Calibri" w:hAnsi="Calibri"/>
              </w:rPr>
              <w:t>96.8</w:t>
            </w:r>
          </w:p>
        </w:tc>
        <w:tc>
          <w:tcPr>
            <w:tcW w:w="1893" w:type="dxa"/>
            <w:vAlign w:val="center"/>
          </w:tcPr>
          <w:p w:rsidR="005A3A55" w:rsidRPr="00EF27CC" w:rsidRDefault="00A06C13" w:rsidP="005A3A55">
            <w:pPr>
              <w:spacing w:after="0" w:line="240" w:lineRule="auto"/>
              <w:rPr>
                <w:rFonts w:ascii="Calibri" w:hAnsi="Calibri"/>
              </w:rPr>
            </w:pPr>
            <w:r w:rsidRPr="00EF27CC">
              <w:rPr>
                <w:rFonts w:ascii="Calibri" w:hAnsi="Calibri"/>
              </w:rPr>
              <w:t>92.35-101.42</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w:t>
            </w:r>
          </w:p>
        </w:tc>
        <w:tc>
          <w:tcPr>
            <w:tcW w:w="1754" w:type="dxa"/>
            <w:vAlign w:val="center"/>
          </w:tcPr>
          <w:p w:rsidR="005A3A55" w:rsidRPr="00EF27CC" w:rsidRDefault="00A06C13" w:rsidP="005A3A55">
            <w:pPr>
              <w:spacing w:after="0" w:line="240" w:lineRule="auto"/>
              <w:rPr>
                <w:rFonts w:ascii="Calibri" w:hAnsi="Calibri"/>
              </w:rPr>
            </w:pPr>
            <w:r w:rsidRPr="00EF27CC">
              <w:rPr>
                <w:rFonts w:ascii="Calibri" w:hAnsi="Calibri" w:cs="Courier New"/>
              </w:rPr>
              <w:t xml:space="preserve">44256.726 </w:t>
            </w:r>
          </w:p>
        </w:tc>
        <w:tc>
          <w:tcPr>
            <w:tcW w:w="2006" w:type="dxa"/>
            <w:vAlign w:val="center"/>
          </w:tcPr>
          <w:p w:rsidR="005A3A55" w:rsidRPr="00EF27CC" w:rsidRDefault="00A06C13" w:rsidP="005A3A55">
            <w:pPr>
              <w:spacing w:after="0" w:line="240" w:lineRule="auto"/>
              <w:rPr>
                <w:rFonts w:ascii="Calibri" w:hAnsi="Calibri" w:cs="Courier New"/>
              </w:rPr>
            </w:pPr>
            <w:r w:rsidRPr="00EF27CC">
              <w:rPr>
                <w:rFonts w:ascii="Calibri" w:hAnsi="Calibri" w:cs="Courier New"/>
              </w:rPr>
              <w:t>45466.912</w:t>
            </w:r>
          </w:p>
        </w:tc>
        <w:tc>
          <w:tcPr>
            <w:tcW w:w="1906" w:type="dxa"/>
            <w:vAlign w:val="center"/>
          </w:tcPr>
          <w:p w:rsidR="005A3A55" w:rsidRPr="00EF27CC" w:rsidRDefault="00A06C13" w:rsidP="005A3A55">
            <w:pPr>
              <w:spacing w:after="0" w:line="240" w:lineRule="auto"/>
              <w:rPr>
                <w:rFonts w:ascii="Calibri" w:hAnsi="Calibri"/>
              </w:rPr>
            </w:pPr>
            <w:r w:rsidRPr="00EF27CC">
              <w:rPr>
                <w:rFonts w:ascii="Calibri" w:hAnsi="Calibri"/>
              </w:rPr>
              <w:t>97.3</w:t>
            </w:r>
          </w:p>
        </w:tc>
        <w:tc>
          <w:tcPr>
            <w:tcW w:w="1893" w:type="dxa"/>
            <w:vAlign w:val="center"/>
          </w:tcPr>
          <w:p w:rsidR="005A3A55" w:rsidRPr="00EF27CC" w:rsidRDefault="00A06C13" w:rsidP="005A3A55">
            <w:pPr>
              <w:spacing w:after="0" w:line="240" w:lineRule="auto"/>
              <w:rPr>
                <w:rFonts w:ascii="Calibri" w:hAnsi="Calibri"/>
              </w:rPr>
            </w:pPr>
            <w:r w:rsidRPr="00EF27CC">
              <w:rPr>
                <w:rFonts w:ascii="Calibri" w:hAnsi="Calibri"/>
              </w:rPr>
              <w:t>93.25-101.61</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Cmax</w:t>
            </w:r>
          </w:p>
        </w:tc>
        <w:tc>
          <w:tcPr>
            <w:tcW w:w="1754" w:type="dxa"/>
            <w:vAlign w:val="center"/>
          </w:tcPr>
          <w:p w:rsidR="005A3A55" w:rsidRPr="00EF27CC" w:rsidRDefault="00A06C13" w:rsidP="005A3A55">
            <w:pPr>
              <w:spacing w:after="0" w:line="240" w:lineRule="auto"/>
              <w:rPr>
                <w:rFonts w:ascii="Calibri" w:hAnsi="Calibri"/>
              </w:rPr>
            </w:pPr>
            <w:r w:rsidRPr="00EF27CC">
              <w:rPr>
                <w:rFonts w:ascii="Calibri" w:hAnsi="Calibri"/>
              </w:rPr>
              <w:t xml:space="preserve">11989.668 </w:t>
            </w:r>
          </w:p>
        </w:tc>
        <w:tc>
          <w:tcPr>
            <w:tcW w:w="2006" w:type="dxa"/>
            <w:vAlign w:val="center"/>
          </w:tcPr>
          <w:p w:rsidR="005A3A55" w:rsidRPr="00EF27CC" w:rsidRDefault="00A06C13" w:rsidP="005A3A55">
            <w:pPr>
              <w:spacing w:after="0" w:line="240" w:lineRule="auto"/>
              <w:rPr>
                <w:rFonts w:ascii="Calibri" w:hAnsi="Calibri" w:cs="Courier New"/>
              </w:rPr>
            </w:pPr>
            <w:r w:rsidRPr="00EF27CC">
              <w:rPr>
                <w:rFonts w:ascii="Calibri" w:hAnsi="Calibri"/>
              </w:rPr>
              <w:t>12747.076</w:t>
            </w:r>
          </w:p>
        </w:tc>
        <w:tc>
          <w:tcPr>
            <w:tcW w:w="1906" w:type="dxa"/>
            <w:vAlign w:val="center"/>
          </w:tcPr>
          <w:p w:rsidR="005A3A55" w:rsidRPr="00EF27CC" w:rsidRDefault="00A06C13" w:rsidP="005A3A55">
            <w:pPr>
              <w:spacing w:after="0" w:line="240" w:lineRule="auto"/>
              <w:rPr>
                <w:rFonts w:ascii="Calibri" w:hAnsi="Calibri"/>
              </w:rPr>
            </w:pPr>
            <w:r w:rsidRPr="00EF27CC">
              <w:rPr>
                <w:rFonts w:ascii="Calibri" w:hAnsi="Calibri"/>
              </w:rPr>
              <w:t>94.1</w:t>
            </w:r>
          </w:p>
        </w:tc>
        <w:tc>
          <w:tcPr>
            <w:tcW w:w="1893" w:type="dxa"/>
            <w:vAlign w:val="center"/>
          </w:tcPr>
          <w:p w:rsidR="005A3A55" w:rsidRPr="00EF27CC" w:rsidRDefault="00A06C13" w:rsidP="005A3A55">
            <w:pPr>
              <w:spacing w:after="0" w:line="240" w:lineRule="auto"/>
              <w:rPr>
                <w:rFonts w:ascii="Calibri" w:hAnsi="Calibri"/>
              </w:rPr>
            </w:pPr>
            <w:r w:rsidRPr="00EF27CC">
              <w:rPr>
                <w:rFonts w:ascii="Calibri" w:hAnsi="Calibri"/>
              </w:rPr>
              <w:t>85.57-103.39</w:t>
            </w:r>
          </w:p>
        </w:tc>
      </w:tr>
    </w:tbl>
    <w:p w:rsidR="005A3A55" w:rsidRPr="00EF27CC" w:rsidRDefault="005A3A55" w:rsidP="005A3A55">
      <w:pPr>
        <w:spacing w:line="240" w:lineRule="auto"/>
      </w:pP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676"/>
        <w:gridCol w:w="1794"/>
        <w:gridCol w:w="2052"/>
        <w:gridCol w:w="1950"/>
        <w:gridCol w:w="1936"/>
      </w:tblGrid>
      <w:tr w:rsidR="005A3A55" w:rsidRPr="00EF27CC" w:rsidTr="00103F65">
        <w:trPr>
          <w:jc w:val="center"/>
        </w:trPr>
        <w:tc>
          <w:tcPr>
            <w:tcW w:w="9197" w:type="dxa"/>
            <w:gridSpan w:val="5"/>
            <w:vAlign w:val="bottom"/>
          </w:tcPr>
          <w:p w:rsidR="005A3A55" w:rsidRPr="00EF27CC" w:rsidRDefault="00A06C13" w:rsidP="005A3A55">
            <w:pPr>
              <w:spacing w:line="240" w:lineRule="auto"/>
              <w:jc w:val="center"/>
              <w:rPr>
                <w:b/>
              </w:rPr>
            </w:pPr>
            <w:r w:rsidRPr="00EF27CC">
              <w:t>Acido clavulanico</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Parametro</w:t>
            </w:r>
          </w:p>
        </w:tc>
        <w:tc>
          <w:tcPr>
            <w:tcW w:w="1754" w:type="dxa"/>
            <w:vAlign w:val="bottom"/>
          </w:tcPr>
          <w:p w:rsidR="005A3A55" w:rsidRPr="00EF27CC" w:rsidRDefault="00A06C13" w:rsidP="005A3A55">
            <w:pPr>
              <w:spacing w:line="240" w:lineRule="auto"/>
              <w:jc w:val="center"/>
              <w:rPr>
                <w:b/>
              </w:rPr>
            </w:pPr>
            <w:r w:rsidRPr="00EF27CC">
              <w:rPr>
                <w:b/>
              </w:rPr>
              <w:t xml:space="preserve">Test </w:t>
            </w:r>
          </w:p>
          <w:p w:rsidR="005A3A55" w:rsidRPr="00EF27CC" w:rsidRDefault="00A06C13" w:rsidP="005A3A55">
            <w:pPr>
              <w:spacing w:line="240" w:lineRule="auto"/>
              <w:jc w:val="center"/>
              <w:rPr>
                <w:b/>
              </w:rPr>
            </w:pPr>
            <w:r w:rsidRPr="00EF27CC">
              <w:rPr>
                <w:b/>
              </w:rPr>
              <w:t>[LSM]</w:t>
            </w:r>
          </w:p>
        </w:tc>
        <w:tc>
          <w:tcPr>
            <w:tcW w:w="2006" w:type="dxa"/>
            <w:vAlign w:val="bottom"/>
          </w:tcPr>
          <w:p w:rsidR="005A3A55" w:rsidRPr="00EF27CC" w:rsidRDefault="00A06C13" w:rsidP="005A3A55">
            <w:pPr>
              <w:spacing w:line="240" w:lineRule="auto"/>
              <w:jc w:val="center"/>
              <w:rPr>
                <w:b/>
              </w:rPr>
            </w:pPr>
            <w:r w:rsidRPr="00EF27CC">
              <w:rPr>
                <w:b/>
              </w:rPr>
              <w:t>Reference</w:t>
            </w:r>
          </w:p>
          <w:p w:rsidR="005A3A55" w:rsidRPr="00EF27CC" w:rsidRDefault="00A06C13" w:rsidP="005A3A55">
            <w:pPr>
              <w:spacing w:line="240" w:lineRule="auto"/>
              <w:jc w:val="center"/>
              <w:rPr>
                <w:b/>
              </w:rPr>
            </w:pPr>
            <w:r w:rsidRPr="00EF27CC">
              <w:rPr>
                <w:b/>
              </w:rPr>
              <w:t>[LSM]]</w:t>
            </w:r>
          </w:p>
        </w:tc>
        <w:tc>
          <w:tcPr>
            <w:tcW w:w="1906" w:type="dxa"/>
            <w:vAlign w:val="bottom"/>
          </w:tcPr>
          <w:p w:rsidR="005A3A55" w:rsidRPr="00EF27CC" w:rsidRDefault="00A06C13" w:rsidP="005A3A55">
            <w:pPr>
              <w:spacing w:line="240" w:lineRule="auto"/>
              <w:jc w:val="center"/>
              <w:rPr>
                <w:b/>
              </w:rPr>
            </w:pPr>
            <w:r w:rsidRPr="00EF27CC">
              <w:rPr>
                <w:b/>
              </w:rPr>
              <w:t>T/R Ratio</w:t>
            </w:r>
          </w:p>
        </w:tc>
        <w:tc>
          <w:tcPr>
            <w:tcW w:w="1893" w:type="dxa"/>
            <w:vAlign w:val="bottom"/>
          </w:tcPr>
          <w:p w:rsidR="005A3A55" w:rsidRPr="00EF27CC" w:rsidRDefault="00A06C13" w:rsidP="005A3A55">
            <w:pPr>
              <w:spacing w:line="240" w:lineRule="auto"/>
              <w:jc w:val="center"/>
              <w:rPr>
                <w:b/>
              </w:rPr>
            </w:pPr>
            <w:r w:rsidRPr="00EF27CC">
              <w:rPr>
                <w:b/>
              </w:rPr>
              <w:t>90% C.I.</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AUC0-t</w:t>
            </w:r>
          </w:p>
        </w:tc>
        <w:tc>
          <w:tcPr>
            <w:tcW w:w="1754" w:type="dxa"/>
            <w:vAlign w:val="center"/>
          </w:tcPr>
          <w:p w:rsidR="005A3A55" w:rsidRPr="00EF27CC" w:rsidRDefault="00A06C13" w:rsidP="005A3A55">
            <w:pPr>
              <w:spacing w:after="0" w:line="240" w:lineRule="auto"/>
              <w:rPr>
                <w:rFonts w:ascii="Calibri" w:hAnsi="Calibri"/>
              </w:rPr>
            </w:pPr>
            <w:r w:rsidRPr="00EF27CC">
              <w:rPr>
                <w:rFonts w:ascii="Calibri" w:hAnsi="Calibri" w:cs="Courier New"/>
              </w:rPr>
              <w:t xml:space="preserve">4666.044 </w:t>
            </w:r>
          </w:p>
        </w:tc>
        <w:tc>
          <w:tcPr>
            <w:tcW w:w="2006" w:type="dxa"/>
            <w:vAlign w:val="center"/>
          </w:tcPr>
          <w:p w:rsidR="005A3A55" w:rsidRPr="00EF27CC" w:rsidRDefault="00A06C13" w:rsidP="005A3A55">
            <w:pPr>
              <w:spacing w:after="0" w:line="240" w:lineRule="auto"/>
              <w:rPr>
                <w:rFonts w:ascii="Calibri" w:hAnsi="Calibri" w:cs="Courier New"/>
              </w:rPr>
            </w:pPr>
            <w:r w:rsidRPr="00EF27CC">
              <w:rPr>
                <w:rFonts w:ascii="Calibri" w:hAnsi="Calibri" w:cs="Courier New"/>
              </w:rPr>
              <w:t>4614.785</w:t>
            </w:r>
          </w:p>
        </w:tc>
        <w:tc>
          <w:tcPr>
            <w:tcW w:w="1906" w:type="dxa"/>
            <w:vAlign w:val="center"/>
          </w:tcPr>
          <w:p w:rsidR="005A3A55" w:rsidRPr="00EF27CC" w:rsidRDefault="00A06C13" w:rsidP="005A3A55">
            <w:pPr>
              <w:spacing w:after="0" w:line="240" w:lineRule="auto"/>
              <w:rPr>
                <w:rFonts w:ascii="Calibri" w:hAnsi="Calibri"/>
              </w:rPr>
            </w:pPr>
            <w:r w:rsidRPr="00EF27CC">
              <w:rPr>
                <w:rFonts w:ascii="Calibri" w:hAnsi="Calibri"/>
              </w:rPr>
              <w:t>101.1</w:t>
            </w:r>
          </w:p>
        </w:tc>
        <w:tc>
          <w:tcPr>
            <w:tcW w:w="1893" w:type="dxa"/>
            <w:vAlign w:val="center"/>
          </w:tcPr>
          <w:p w:rsidR="005A3A55" w:rsidRPr="00EF27CC" w:rsidRDefault="00A06C13" w:rsidP="005A3A55">
            <w:pPr>
              <w:spacing w:after="0" w:line="240" w:lineRule="auto"/>
              <w:rPr>
                <w:rFonts w:ascii="Calibri" w:hAnsi="Calibri"/>
              </w:rPr>
            </w:pPr>
            <w:r w:rsidRPr="00EF27CC">
              <w:rPr>
                <w:rFonts w:ascii="Calibri" w:hAnsi="Calibri"/>
              </w:rPr>
              <w:t>86.61-118.04</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w:t>
            </w:r>
          </w:p>
        </w:tc>
        <w:tc>
          <w:tcPr>
            <w:tcW w:w="1754" w:type="dxa"/>
            <w:vAlign w:val="center"/>
          </w:tcPr>
          <w:p w:rsidR="005A3A55" w:rsidRPr="00EF27CC" w:rsidRDefault="00A06C13" w:rsidP="005A3A55">
            <w:pPr>
              <w:spacing w:after="0" w:line="240" w:lineRule="auto"/>
              <w:rPr>
                <w:rFonts w:ascii="Calibri" w:hAnsi="Calibri"/>
              </w:rPr>
            </w:pPr>
            <w:r w:rsidRPr="00EF27CC">
              <w:rPr>
                <w:rFonts w:ascii="Calibri" w:hAnsi="Calibri" w:cs="Courier New"/>
              </w:rPr>
              <w:t xml:space="preserve">4785.037 </w:t>
            </w:r>
          </w:p>
        </w:tc>
        <w:tc>
          <w:tcPr>
            <w:tcW w:w="2006" w:type="dxa"/>
            <w:vAlign w:val="center"/>
          </w:tcPr>
          <w:p w:rsidR="005A3A55" w:rsidRPr="00EF27CC" w:rsidRDefault="00A06C13" w:rsidP="005A3A55">
            <w:pPr>
              <w:spacing w:after="0" w:line="240" w:lineRule="auto"/>
              <w:rPr>
                <w:rFonts w:ascii="Calibri" w:hAnsi="Calibri" w:cs="Courier New"/>
              </w:rPr>
            </w:pPr>
            <w:r w:rsidRPr="00EF27CC">
              <w:rPr>
                <w:rFonts w:ascii="Calibri" w:hAnsi="Calibri" w:cs="Courier New"/>
              </w:rPr>
              <w:t>4713.732</w:t>
            </w:r>
          </w:p>
        </w:tc>
        <w:tc>
          <w:tcPr>
            <w:tcW w:w="1906" w:type="dxa"/>
            <w:vAlign w:val="center"/>
          </w:tcPr>
          <w:p w:rsidR="005A3A55" w:rsidRPr="00EF27CC" w:rsidRDefault="00A06C13" w:rsidP="005A3A55">
            <w:pPr>
              <w:spacing w:after="0" w:line="240" w:lineRule="auto"/>
              <w:rPr>
                <w:rFonts w:ascii="Calibri" w:hAnsi="Calibri"/>
              </w:rPr>
            </w:pPr>
            <w:r w:rsidRPr="00EF27CC">
              <w:rPr>
                <w:rFonts w:ascii="Calibri" w:hAnsi="Calibri"/>
              </w:rPr>
              <w:t>101.5</w:t>
            </w:r>
          </w:p>
        </w:tc>
        <w:tc>
          <w:tcPr>
            <w:tcW w:w="1893" w:type="dxa"/>
            <w:vAlign w:val="center"/>
          </w:tcPr>
          <w:p w:rsidR="005A3A55" w:rsidRPr="00EF27CC" w:rsidRDefault="00A06C13" w:rsidP="005A3A55">
            <w:pPr>
              <w:spacing w:after="0" w:line="240" w:lineRule="auto"/>
              <w:rPr>
                <w:rFonts w:ascii="Calibri" w:hAnsi="Calibri"/>
              </w:rPr>
            </w:pPr>
            <w:r w:rsidRPr="00EF27CC">
              <w:rPr>
                <w:rFonts w:ascii="Calibri" w:hAnsi="Calibri"/>
              </w:rPr>
              <w:t>87.37-117.95</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Cmax</w:t>
            </w:r>
          </w:p>
        </w:tc>
        <w:tc>
          <w:tcPr>
            <w:tcW w:w="1754" w:type="dxa"/>
            <w:vAlign w:val="center"/>
          </w:tcPr>
          <w:p w:rsidR="005A3A55" w:rsidRPr="00EF27CC" w:rsidRDefault="00A06C13" w:rsidP="005A3A55">
            <w:pPr>
              <w:spacing w:after="0" w:line="240" w:lineRule="auto"/>
              <w:rPr>
                <w:rFonts w:ascii="Calibri" w:hAnsi="Calibri"/>
              </w:rPr>
            </w:pPr>
            <w:r w:rsidRPr="00EF27CC">
              <w:rPr>
                <w:rFonts w:ascii="Calibri" w:hAnsi="Calibri"/>
              </w:rPr>
              <w:t xml:space="preserve">1794.583 </w:t>
            </w:r>
          </w:p>
        </w:tc>
        <w:tc>
          <w:tcPr>
            <w:tcW w:w="2006" w:type="dxa"/>
            <w:vAlign w:val="center"/>
          </w:tcPr>
          <w:p w:rsidR="005A3A55" w:rsidRPr="00EF27CC" w:rsidRDefault="00A06C13" w:rsidP="005A3A55">
            <w:pPr>
              <w:spacing w:after="0" w:line="240" w:lineRule="auto"/>
              <w:rPr>
                <w:rFonts w:ascii="Calibri" w:hAnsi="Calibri" w:cs="Courier New"/>
              </w:rPr>
            </w:pPr>
            <w:r w:rsidRPr="00EF27CC">
              <w:rPr>
                <w:rFonts w:ascii="Calibri" w:hAnsi="Calibri"/>
              </w:rPr>
              <w:t>1767.082</w:t>
            </w:r>
          </w:p>
        </w:tc>
        <w:tc>
          <w:tcPr>
            <w:tcW w:w="1906" w:type="dxa"/>
            <w:vAlign w:val="center"/>
          </w:tcPr>
          <w:p w:rsidR="005A3A55" w:rsidRPr="00EF27CC" w:rsidRDefault="00A06C13" w:rsidP="005A3A55">
            <w:pPr>
              <w:spacing w:after="0" w:line="240" w:lineRule="auto"/>
              <w:rPr>
                <w:rFonts w:ascii="Calibri" w:hAnsi="Calibri"/>
              </w:rPr>
            </w:pPr>
            <w:r w:rsidRPr="00EF27CC">
              <w:rPr>
                <w:rFonts w:ascii="Calibri" w:hAnsi="Calibri"/>
              </w:rPr>
              <w:t>101.6</w:t>
            </w:r>
          </w:p>
        </w:tc>
        <w:tc>
          <w:tcPr>
            <w:tcW w:w="1893" w:type="dxa"/>
            <w:vAlign w:val="center"/>
          </w:tcPr>
          <w:p w:rsidR="005A3A55" w:rsidRPr="00EF27CC" w:rsidRDefault="00A06C13" w:rsidP="005A3A55">
            <w:pPr>
              <w:spacing w:after="0" w:line="240" w:lineRule="auto"/>
              <w:rPr>
                <w:rFonts w:ascii="Calibri" w:hAnsi="Calibri"/>
              </w:rPr>
            </w:pPr>
            <w:r w:rsidRPr="00EF27CC">
              <w:rPr>
                <w:rFonts w:ascii="Calibri" w:hAnsi="Calibri"/>
              </w:rPr>
              <w:t>84.81-121.60</w:t>
            </w:r>
          </w:p>
        </w:tc>
      </w:tr>
    </w:tbl>
    <w:p w:rsidR="005A3A55" w:rsidRPr="00EF27CC" w:rsidRDefault="005A3A55" w:rsidP="005A3A55">
      <w:pPr>
        <w:spacing w:line="240" w:lineRule="auto"/>
      </w:pPr>
    </w:p>
    <w:p w:rsidR="005A3A55" w:rsidRPr="00EF27CC" w:rsidRDefault="00A06C13" w:rsidP="005A3A55">
      <w:pPr>
        <w:spacing w:line="240" w:lineRule="auto"/>
        <w:jc w:val="both"/>
        <w:rPr>
          <w:i/>
        </w:rPr>
      </w:pPr>
      <w:r w:rsidRPr="00EF27CC">
        <w:rPr>
          <w:i/>
        </w:rPr>
        <w:t>Studio di bioequivalenza per le bustine</w:t>
      </w:r>
    </w:p>
    <w:p w:rsidR="005A3A55" w:rsidRPr="00EF27CC" w:rsidRDefault="00A06C13" w:rsidP="005A3A55">
      <w:pPr>
        <w:spacing w:line="240" w:lineRule="auto"/>
        <w:jc w:val="both"/>
      </w:pPr>
      <w:r w:rsidRPr="00EF27CC">
        <w:t>Lo studio di bioequivalenza che compara le formulazioni in bustine è uno studio comparativo, controllato,  randomizzato, a dose singola (</w:t>
      </w:r>
      <w:r w:rsidRPr="00EF27CC">
        <w:rPr>
          <w:bCs/>
        </w:rPr>
        <w:t xml:space="preserve">875 mg </w:t>
      </w:r>
      <w:r w:rsidRPr="00EF27CC">
        <w:rPr>
          <w:bCs/>
          <w:i/>
          <w:iCs/>
        </w:rPr>
        <w:t xml:space="preserve">I </w:t>
      </w:r>
      <w:r w:rsidRPr="00EF27CC">
        <w:rPr>
          <w:bCs/>
          <w:iCs/>
        </w:rPr>
        <w:t>125</w:t>
      </w:r>
      <w:r w:rsidRPr="00EF27CC">
        <w:rPr>
          <w:bCs/>
          <w:i/>
          <w:iCs/>
        </w:rPr>
        <w:t xml:space="preserve"> </w:t>
      </w:r>
      <w:r w:rsidRPr="00EF27CC">
        <w:rPr>
          <w:bCs/>
        </w:rPr>
        <w:t>mg</w:t>
      </w:r>
      <w:r w:rsidRPr="00EF27CC">
        <w:t>), 2-periodi, crossover condotto in 36 volontari sani di entrambi i sessi con somministrazione a stomaco pieno. Dopo una notte di digiuno e 30 minuti dopo aver assunto un pasto ad alto contenuto di grassi il medicinale è stato somministrato con acqua. Un soddisfacente periodo di wash-out di 7 giorni è stato previsto tra le somministrazioni in ogni gruppo.</w:t>
      </w:r>
    </w:p>
    <w:p w:rsidR="005A3A55" w:rsidRPr="00EF27CC" w:rsidRDefault="00A06C13" w:rsidP="005A3A55">
      <w:pPr>
        <w:pStyle w:val="Paragrafoelenco"/>
        <w:spacing w:after="0" w:line="240" w:lineRule="auto"/>
        <w:ind w:left="0"/>
        <w:jc w:val="both"/>
      </w:pPr>
      <w:r w:rsidRPr="00EF27CC">
        <w:t>Campioni di sangue sono stati prelevati al tempo zero (pre-dose) e a specificati tempi fino a 12 ore dopo la somministrazione. I livelli plasmatici di amoxicillina e acido clavulanico sono stati determinati mediante un metodo analitico HPLC-MS-MS opportunamente convalidato.</w:t>
      </w:r>
    </w:p>
    <w:p w:rsidR="005A3A55" w:rsidRPr="00EF27CC" w:rsidRDefault="00A06C13" w:rsidP="005A3A55">
      <w:pPr>
        <w:pStyle w:val="Paragrafoelenco"/>
        <w:spacing w:after="0" w:line="240" w:lineRule="auto"/>
        <w:ind w:left="0"/>
        <w:jc w:val="both"/>
      </w:pPr>
      <w:r w:rsidRPr="00EF27CC">
        <w:t>Le variabili farmacocinetiche definite sono state: C</w:t>
      </w:r>
      <w:r w:rsidRPr="00EF27CC">
        <w:rPr>
          <w:vertAlign w:val="subscript"/>
        </w:rPr>
        <w:t>max</w:t>
      </w:r>
      <w:r w:rsidRPr="00EF27CC">
        <w:t>, AUC</w:t>
      </w:r>
      <w:r w:rsidRPr="00EF27CC">
        <w:rPr>
          <w:vertAlign w:val="subscript"/>
        </w:rPr>
        <w:t>0-t</w:t>
      </w:r>
      <w:r w:rsidRPr="00EF27CC">
        <w:t>, AUC</w:t>
      </w:r>
      <w:r w:rsidRPr="00EF27CC">
        <w:rPr>
          <w:vertAlign w:val="subscript"/>
        </w:rPr>
        <w:t>0-</w:t>
      </w:r>
      <w:r w:rsidRPr="00EF27CC">
        <w:rPr>
          <w:vertAlign w:val="subscript"/>
          <w:lang w:val="en-GB"/>
        </w:rPr>
        <w:sym w:font="Symbol" w:char="00A5"/>
      </w:r>
      <w:r w:rsidRPr="00EF27CC">
        <w:t>, t</w:t>
      </w:r>
      <w:r w:rsidRPr="00EF27CC">
        <w:rPr>
          <w:vertAlign w:val="subscript"/>
        </w:rPr>
        <w:t>max</w:t>
      </w:r>
      <w:r w:rsidRPr="00EF27CC">
        <w:t>, t½ e AUC estrapolata. La bioequivalenza tra medicinale test e medicinale di riferimento è dimostrata se gli intervalli di confidenza al 90% per la trasformata logaritmica di  C</w:t>
      </w:r>
      <w:r w:rsidRPr="00EF27CC">
        <w:rPr>
          <w:vertAlign w:val="subscript"/>
        </w:rPr>
        <w:t xml:space="preserve">max </w:t>
      </w:r>
      <w:r w:rsidRPr="00EF27CC">
        <w:t>e AUC</w:t>
      </w:r>
      <w:r w:rsidRPr="00EF27CC">
        <w:rPr>
          <w:vertAlign w:val="subscript"/>
        </w:rPr>
        <w:t>0-t</w:t>
      </w:r>
      <w:r w:rsidRPr="00EF27CC">
        <w:t>, cadono nel range di accettabilità di 0.80-1.25 (80%-125%).</w:t>
      </w:r>
    </w:p>
    <w:p w:rsidR="005A3A55" w:rsidRPr="00EF27CC" w:rsidRDefault="005A3A55" w:rsidP="005A3A55">
      <w:pPr>
        <w:pStyle w:val="Paragrafoelenco"/>
        <w:spacing w:after="0" w:line="240" w:lineRule="auto"/>
        <w:ind w:left="0"/>
        <w:jc w:val="both"/>
      </w:pPr>
    </w:p>
    <w:p w:rsidR="005A3A55" w:rsidRPr="00EF27CC" w:rsidRDefault="00A06C13" w:rsidP="005A3A55">
      <w:pPr>
        <w:pStyle w:val="Paragrafoelenco"/>
        <w:spacing w:after="0" w:line="240" w:lineRule="auto"/>
        <w:ind w:left="0"/>
        <w:jc w:val="both"/>
        <w:rPr>
          <w:u w:val="single"/>
        </w:rPr>
      </w:pPr>
      <w:r w:rsidRPr="00EF27CC">
        <w:rPr>
          <w:u w:val="single"/>
        </w:rPr>
        <w:t>Risultati</w:t>
      </w:r>
    </w:p>
    <w:p w:rsidR="005A3A55" w:rsidRPr="00EF27CC" w:rsidRDefault="00A06C13" w:rsidP="005A3A55">
      <w:pPr>
        <w:spacing w:line="240" w:lineRule="auto"/>
        <w:jc w:val="both"/>
      </w:pPr>
      <w:r w:rsidRPr="00EF27CC">
        <w:t>40 volontari sani sono stati arruolati negli studi, 36 hanno completato fase clinica e sono stati analizzati.</w:t>
      </w:r>
    </w:p>
    <w:p w:rsidR="005A3A55" w:rsidRPr="00EF27CC" w:rsidRDefault="00A06C13" w:rsidP="005A3A55">
      <w:pPr>
        <w:pStyle w:val="Paragrafoelenco"/>
        <w:spacing w:after="0" w:line="240" w:lineRule="auto"/>
        <w:ind w:left="0"/>
        <w:jc w:val="both"/>
        <w:rPr>
          <w:u w:val="single"/>
        </w:rPr>
      </w:pPr>
      <w:r w:rsidRPr="00EF27CC">
        <w:rPr>
          <w:u w:val="single"/>
        </w:rPr>
        <w:t>Sicurezza</w:t>
      </w:r>
    </w:p>
    <w:p w:rsidR="005A3A55" w:rsidRPr="00EF27CC" w:rsidRDefault="00A06C13" w:rsidP="005A3A55">
      <w:pPr>
        <w:spacing w:line="240" w:lineRule="auto"/>
        <w:jc w:val="both"/>
      </w:pPr>
      <w:r w:rsidRPr="00EF27CC">
        <w:t xml:space="preserve">Nel corso dello studio </w:t>
      </w:r>
      <w:r w:rsidRPr="00EF27CC">
        <w:rPr>
          <w:rFonts w:ascii="Calibri" w:hAnsi="Calibri" w:cs="Arial"/>
        </w:rPr>
        <w:t>non sono stati rilevati eventi avversi gravi, gli eventi avversi sono stati simili tra medicinale test e medicinali di riferimento.</w:t>
      </w:r>
      <w:r w:rsidRPr="00EF27CC">
        <w:rPr>
          <w:rFonts w:ascii="Calibri" w:hAnsi="Calibri" w:cs="Arial"/>
          <w:b/>
        </w:rPr>
        <w:t xml:space="preserve"> </w:t>
      </w:r>
    </w:p>
    <w:p w:rsidR="005A3A55" w:rsidRPr="00EF27CC" w:rsidRDefault="00A06C13" w:rsidP="005A3A55">
      <w:pPr>
        <w:pStyle w:val="Paragrafoelenco"/>
        <w:spacing w:after="0" w:line="240" w:lineRule="auto"/>
        <w:ind w:left="0"/>
        <w:jc w:val="both"/>
        <w:rPr>
          <w:u w:val="single"/>
        </w:rPr>
      </w:pPr>
      <w:r w:rsidRPr="00EF27CC">
        <w:rPr>
          <w:u w:val="single"/>
        </w:rPr>
        <w:t>Parametri farmacocinetici</w:t>
      </w:r>
    </w:p>
    <w:p w:rsidR="005A3A55" w:rsidRPr="00EF27CC" w:rsidRDefault="00A06C13" w:rsidP="005A3A55">
      <w:pPr>
        <w:pStyle w:val="Didascalia"/>
        <w:keepNext/>
        <w:spacing w:before="0" w:after="0"/>
        <w:jc w:val="both"/>
        <w:outlineLvl w:val="0"/>
        <w:rPr>
          <w:rFonts w:asciiTheme="minorHAnsi" w:hAnsiTheme="minorHAnsi"/>
          <w:b w:val="0"/>
          <w:sz w:val="22"/>
          <w:szCs w:val="22"/>
          <w:lang w:val="it-IT"/>
        </w:rPr>
      </w:pPr>
      <w:r w:rsidRPr="00EF27CC">
        <w:rPr>
          <w:rFonts w:asciiTheme="minorHAnsi" w:hAnsiTheme="minorHAnsi"/>
          <w:b w:val="0"/>
          <w:sz w:val="22"/>
          <w:szCs w:val="22"/>
          <w:lang w:val="it-IT"/>
        </w:rPr>
        <w:t>La sintesi dei risultati dello studio di bioequivalenza è riportata nella tabella che segue.</w:t>
      </w:r>
    </w:p>
    <w:p w:rsidR="005A3A55" w:rsidRPr="00EF27CC" w:rsidRDefault="005A3A55" w:rsidP="005A3A55">
      <w:pPr>
        <w:pStyle w:val="Paragrafoelenco"/>
        <w:spacing w:after="0" w:line="240" w:lineRule="auto"/>
        <w:ind w:left="0"/>
        <w:jc w:val="both"/>
      </w:pP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676"/>
        <w:gridCol w:w="1794"/>
        <w:gridCol w:w="2052"/>
        <w:gridCol w:w="1950"/>
        <w:gridCol w:w="1936"/>
      </w:tblGrid>
      <w:tr w:rsidR="005A3A55" w:rsidRPr="00EF27CC" w:rsidTr="00103F65">
        <w:trPr>
          <w:jc w:val="center"/>
        </w:trPr>
        <w:tc>
          <w:tcPr>
            <w:tcW w:w="9197" w:type="dxa"/>
            <w:gridSpan w:val="5"/>
            <w:vAlign w:val="bottom"/>
          </w:tcPr>
          <w:p w:rsidR="005A3A55" w:rsidRPr="00EF27CC" w:rsidRDefault="00A06C13" w:rsidP="005A3A55">
            <w:pPr>
              <w:spacing w:line="240" w:lineRule="auto"/>
              <w:jc w:val="center"/>
              <w:rPr>
                <w:b/>
              </w:rPr>
            </w:pPr>
            <w:r w:rsidRPr="00EF27CC">
              <w:t>Amoxicillina</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lastRenderedPageBreak/>
              <w:t>Parametro</w:t>
            </w:r>
          </w:p>
        </w:tc>
        <w:tc>
          <w:tcPr>
            <w:tcW w:w="1754" w:type="dxa"/>
            <w:vAlign w:val="bottom"/>
          </w:tcPr>
          <w:p w:rsidR="005A3A55" w:rsidRPr="00EF27CC" w:rsidRDefault="00A06C13" w:rsidP="005A3A55">
            <w:pPr>
              <w:spacing w:line="240" w:lineRule="auto"/>
              <w:jc w:val="center"/>
              <w:rPr>
                <w:b/>
              </w:rPr>
            </w:pPr>
            <w:r w:rsidRPr="00EF27CC">
              <w:rPr>
                <w:b/>
              </w:rPr>
              <w:t xml:space="preserve">Test </w:t>
            </w:r>
          </w:p>
          <w:p w:rsidR="005A3A55" w:rsidRPr="00EF27CC" w:rsidRDefault="00A06C13" w:rsidP="005A3A55">
            <w:pPr>
              <w:spacing w:line="240" w:lineRule="auto"/>
              <w:jc w:val="center"/>
              <w:rPr>
                <w:b/>
              </w:rPr>
            </w:pPr>
            <w:r w:rsidRPr="00EF27CC">
              <w:rPr>
                <w:b/>
              </w:rPr>
              <w:t>[LSM]</w:t>
            </w:r>
          </w:p>
        </w:tc>
        <w:tc>
          <w:tcPr>
            <w:tcW w:w="2006" w:type="dxa"/>
            <w:vAlign w:val="bottom"/>
          </w:tcPr>
          <w:p w:rsidR="005A3A55" w:rsidRPr="00EF27CC" w:rsidRDefault="00A06C13" w:rsidP="005A3A55">
            <w:pPr>
              <w:spacing w:line="240" w:lineRule="auto"/>
              <w:jc w:val="center"/>
              <w:rPr>
                <w:b/>
              </w:rPr>
            </w:pPr>
            <w:r w:rsidRPr="00EF27CC">
              <w:rPr>
                <w:b/>
              </w:rPr>
              <w:t>Reference</w:t>
            </w:r>
          </w:p>
          <w:p w:rsidR="005A3A55" w:rsidRPr="00EF27CC" w:rsidRDefault="00A06C13" w:rsidP="005A3A55">
            <w:pPr>
              <w:spacing w:line="240" w:lineRule="auto"/>
              <w:jc w:val="center"/>
              <w:rPr>
                <w:b/>
              </w:rPr>
            </w:pPr>
            <w:r w:rsidRPr="00EF27CC">
              <w:rPr>
                <w:b/>
              </w:rPr>
              <w:t>[LSM]]</w:t>
            </w:r>
          </w:p>
        </w:tc>
        <w:tc>
          <w:tcPr>
            <w:tcW w:w="1906" w:type="dxa"/>
            <w:vAlign w:val="bottom"/>
          </w:tcPr>
          <w:p w:rsidR="005A3A55" w:rsidRPr="00EF27CC" w:rsidRDefault="00A06C13" w:rsidP="005A3A55">
            <w:pPr>
              <w:spacing w:line="240" w:lineRule="auto"/>
              <w:jc w:val="center"/>
              <w:rPr>
                <w:b/>
              </w:rPr>
            </w:pPr>
            <w:r w:rsidRPr="00EF27CC">
              <w:rPr>
                <w:b/>
              </w:rPr>
              <w:t>T/R Ratio</w:t>
            </w:r>
          </w:p>
        </w:tc>
        <w:tc>
          <w:tcPr>
            <w:tcW w:w="1893" w:type="dxa"/>
            <w:vAlign w:val="bottom"/>
          </w:tcPr>
          <w:p w:rsidR="005A3A55" w:rsidRPr="00EF27CC" w:rsidRDefault="00A06C13" w:rsidP="005A3A55">
            <w:pPr>
              <w:spacing w:line="240" w:lineRule="auto"/>
              <w:jc w:val="center"/>
              <w:rPr>
                <w:b/>
              </w:rPr>
            </w:pPr>
            <w:r w:rsidRPr="00EF27CC">
              <w:rPr>
                <w:b/>
              </w:rPr>
              <w:t>90% C.I.</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AUC0-t</w:t>
            </w:r>
          </w:p>
        </w:tc>
        <w:tc>
          <w:tcPr>
            <w:tcW w:w="1754" w:type="dxa"/>
          </w:tcPr>
          <w:p w:rsidR="005A3A55" w:rsidRPr="00EF27CC" w:rsidRDefault="00A06C13" w:rsidP="005A3A55">
            <w:pPr>
              <w:spacing w:line="240" w:lineRule="auto"/>
              <w:jc w:val="center"/>
            </w:pPr>
            <w:r w:rsidRPr="00EF27CC">
              <w:rPr>
                <w:rFonts w:cs="Times New Roman"/>
              </w:rPr>
              <w:t>43013.819</w:t>
            </w:r>
          </w:p>
        </w:tc>
        <w:tc>
          <w:tcPr>
            <w:tcW w:w="2006" w:type="dxa"/>
          </w:tcPr>
          <w:p w:rsidR="005A3A55" w:rsidRPr="00EF27CC" w:rsidRDefault="00A06C13" w:rsidP="005A3A55">
            <w:pPr>
              <w:spacing w:line="240" w:lineRule="auto"/>
              <w:jc w:val="center"/>
            </w:pPr>
            <w:r w:rsidRPr="00EF27CC">
              <w:rPr>
                <w:rFonts w:cs="Times New Roman"/>
              </w:rPr>
              <w:t>44368.967</w:t>
            </w:r>
          </w:p>
        </w:tc>
        <w:tc>
          <w:tcPr>
            <w:tcW w:w="1906" w:type="dxa"/>
          </w:tcPr>
          <w:p w:rsidR="005A3A55" w:rsidRPr="00EF27CC" w:rsidRDefault="00A06C13" w:rsidP="005A3A55">
            <w:pPr>
              <w:spacing w:line="240" w:lineRule="auto"/>
              <w:jc w:val="center"/>
            </w:pPr>
            <w:r w:rsidRPr="00EF27CC">
              <w:rPr>
                <w:rFonts w:cs="Times New Roman"/>
              </w:rPr>
              <w:t>96.9</w:t>
            </w:r>
          </w:p>
        </w:tc>
        <w:tc>
          <w:tcPr>
            <w:tcW w:w="1893" w:type="dxa"/>
          </w:tcPr>
          <w:p w:rsidR="005A3A55" w:rsidRPr="00EF27CC" w:rsidRDefault="00A06C13" w:rsidP="005A3A55">
            <w:pPr>
              <w:spacing w:after="0" w:line="240" w:lineRule="auto"/>
              <w:jc w:val="center"/>
              <w:rPr>
                <w:b/>
              </w:rPr>
            </w:pPr>
            <w:r w:rsidRPr="00EF27CC">
              <w:rPr>
                <w:rFonts w:cs="Times New Roman"/>
              </w:rPr>
              <w:t>93.93 - 100.06</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w:t>
            </w:r>
          </w:p>
        </w:tc>
        <w:tc>
          <w:tcPr>
            <w:tcW w:w="1754" w:type="dxa"/>
          </w:tcPr>
          <w:p w:rsidR="005A3A55" w:rsidRPr="00EF27CC" w:rsidRDefault="00A06C13" w:rsidP="005A3A55">
            <w:pPr>
              <w:spacing w:line="240" w:lineRule="auto"/>
              <w:jc w:val="center"/>
            </w:pPr>
            <w:r w:rsidRPr="00EF27CC">
              <w:rPr>
                <w:rFonts w:cs="Times New Roman"/>
              </w:rPr>
              <w:t>43527.328</w:t>
            </w:r>
          </w:p>
        </w:tc>
        <w:tc>
          <w:tcPr>
            <w:tcW w:w="2006" w:type="dxa"/>
          </w:tcPr>
          <w:p w:rsidR="005A3A55" w:rsidRPr="00EF27CC" w:rsidRDefault="00A06C13" w:rsidP="005A3A55">
            <w:pPr>
              <w:spacing w:line="240" w:lineRule="auto"/>
              <w:jc w:val="center"/>
            </w:pPr>
            <w:r w:rsidRPr="00EF27CC">
              <w:rPr>
                <w:rFonts w:cs="Times New Roman"/>
              </w:rPr>
              <w:t>44948.038</w:t>
            </w:r>
          </w:p>
        </w:tc>
        <w:tc>
          <w:tcPr>
            <w:tcW w:w="1906" w:type="dxa"/>
          </w:tcPr>
          <w:p w:rsidR="005A3A55" w:rsidRPr="00EF27CC" w:rsidRDefault="00A06C13" w:rsidP="005A3A55">
            <w:pPr>
              <w:spacing w:line="240" w:lineRule="auto"/>
              <w:jc w:val="center"/>
            </w:pPr>
            <w:r w:rsidRPr="00EF27CC">
              <w:rPr>
                <w:rFonts w:cs="Times New Roman"/>
              </w:rPr>
              <w:t>96.8</w:t>
            </w:r>
          </w:p>
        </w:tc>
        <w:tc>
          <w:tcPr>
            <w:tcW w:w="1893" w:type="dxa"/>
          </w:tcPr>
          <w:p w:rsidR="005A3A55" w:rsidRPr="00EF27CC" w:rsidRDefault="00A06C13" w:rsidP="005A3A55">
            <w:pPr>
              <w:spacing w:after="0" w:line="240" w:lineRule="auto"/>
              <w:jc w:val="center"/>
              <w:rPr>
                <w:b/>
              </w:rPr>
            </w:pPr>
            <w:r w:rsidRPr="00EF27CC">
              <w:rPr>
                <w:rFonts w:cs="Times New Roman"/>
              </w:rPr>
              <w:t>93.81 - 99.97</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Cmax</w:t>
            </w:r>
          </w:p>
        </w:tc>
        <w:tc>
          <w:tcPr>
            <w:tcW w:w="1754" w:type="dxa"/>
          </w:tcPr>
          <w:p w:rsidR="005A3A55" w:rsidRPr="00EF27CC" w:rsidRDefault="00A06C13" w:rsidP="005A3A55">
            <w:pPr>
              <w:spacing w:line="240" w:lineRule="auto"/>
              <w:jc w:val="center"/>
            </w:pPr>
            <w:r w:rsidRPr="00EF27CC">
              <w:rPr>
                <w:rFonts w:cs="Times New Roman"/>
              </w:rPr>
              <w:t>10297.992</w:t>
            </w:r>
          </w:p>
        </w:tc>
        <w:tc>
          <w:tcPr>
            <w:tcW w:w="2006" w:type="dxa"/>
          </w:tcPr>
          <w:p w:rsidR="005A3A55" w:rsidRPr="00EF27CC" w:rsidRDefault="00A06C13" w:rsidP="005A3A55">
            <w:pPr>
              <w:spacing w:line="240" w:lineRule="auto"/>
              <w:jc w:val="center"/>
            </w:pPr>
            <w:r w:rsidRPr="00EF27CC">
              <w:rPr>
                <w:rFonts w:cs="Times New Roman"/>
              </w:rPr>
              <w:t>10609.386</w:t>
            </w:r>
          </w:p>
        </w:tc>
        <w:tc>
          <w:tcPr>
            <w:tcW w:w="1906" w:type="dxa"/>
          </w:tcPr>
          <w:p w:rsidR="005A3A55" w:rsidRPr="00EF27CC" w:rsidRDefault="00A06C13" w:rsidP="005A3A55">
            <w:pPr>
              <w:spacing w:line="240" w:lineRule="auto"/>
              <w:jc w:val="center"/>
            </w:pPr>
            <w:r w:rsidRPr="00EF27CC">
              <w:rPr>
                <w:rFonts w:cs="Times New Roman"/>
              </w:rPr>
              <w:t>97.1</w:t>
            </w:r>
          </w:p>
        </w:tc>
        <w:tc>
          <w:tcPr>
            <w:tcW w:w="1893" w:type="dxa"/>
          </w:tcPr>
          <w:p w:rsidR="005A3A55" w:rsidRPr="00EF27CC" w:rsidRDefault="00A06C13" w:rsidP="005A3A55">
            <w:pPr>
              <w:spacing w:after="0" w:line="240" w:lineRule="auto"/>
              <w:jc w:val="center"/>
              <w:rPr>
                <w:b/>
              </w:rPr>
            </w:pPr>
            <w:r w:rsidRPr="00EF27CC">
              <w:rPr>
                <w:rFonts w:cs="Times New Roman"/>
              </w:rPr>
              <w:t>91.55 - 102.91</w:t>
            </w:r>
          </w:p>
        </w:tc>
      </w:tr>
    </w:tbl>
    <w:p w:rsidR="005A3A55" w:rsidRPr="00EF27CC" w:rsidRDefault="005A3A55" w:rsidP="005A3A55">
      <w:pPr>
        <w:spacing w:after="0" w:line="240" w:lineRule="auto"/>
        <w:jc w:val="both"/>
        <w:rPr>
          <w:rFonts w:cs="Arial"/>
          <w:b/>
        </w:rPr>
      </w:pP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676"/>
        <w:gridCol w:w="1794"/>
        <w:gridCol w:w="2052"/>
        <w:gridCol w:w="1950"/>
        <w:gridCol w:w="1936"/>
      </w:tblGrid>
      <w:tr w:rsidR="005A3A55" w:rsidRPr="00EF27CC" w:rsidTr="00103F65">
        <w:trPr>
          <w:jc w:val="center"/>
        </w:trPr>
        <w:tc>
          <w:tcPr>
            <w:tcW w:w="9197" w:type="dxa"/>
            <w:gridSpan w:val="5"/>
            <w:vAlign w:val="bottom"/>
          </w:tcPr>
          <w:p w:rsidR="005A3A55" w:rsidRPr="00EF27CC" w:rsidRDefault="00A06C13" w:rsidP="005A3A55">
            <w:pPr>
              <w:spacing w:line="240" w:lineRule="auto"/>
              <w:jc w:val="center"/>
              <w:rPr>
                <w:b/>
              </w:rPr>
            </w:pPr>
            <w:r w:rsidRPr="00EF27CC">
              <w:t>Acido clavulanico</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Parametro</w:t>
            </w:r>
          </w:p>
        </w:tc>
        <w:tc>
          <w:tcPr>
            <w:tcW w:w="1754" w:type="dxa"/>
            <w:vAlign w:val="bottom"/>
          </w:tcPr>
          <w:p w:rsidR="005A3A55" w:rsidRPr="00EF27CC" w:rsidRDefault="00A06C13" w:rsidP="005A3A55">
            <w:pPr>
              <w:spacing w:line="240" w:lineRule="auto"/>
              <w:jc w:val="center"/>
              <w:rPr>
                <w:b/>
              </w:rPr>
            </w:pPr>
            <w:r w:rsidRPr="00EF27CC">
              <w:rPr>
                <w:b/>
              </w:rPr>
              <w:t xml:space="preserve">Test </w:t>
            </w:r>
          </w:p>
          <w:p w:rsidR="005A3A55" w:rsidRPr="00EF27CC" w:rsidRDefault="00A06C13" w:rsidP="005A3A55">
            <w:pPr>
              <w:spacing w:line="240" w:lineRule="auto"/>
              <w:jc w:val="center"/>
              <w:rPr>
                <w:b/>
              </w:rPr>
            </w:pPr>
            <w:r w:rsidRPr="00EF27CC">
              <w:rPr>
                <w:b/>
              </w:rPr>
              <w:t>[LSM]</w:t>
            </w:r>
          </w:p>
        </w:tc>
        <w:tc>
          <w:tcPr>
            <w:tcW w:w="2006" w:type="dxa"/>
            <w:vAlign w:val="bottom"/>
          </w:tcPr>
          <w:p w:rsidR="005A3A55" w:rsidRPr="00EF27CC" w:rsidRDefault="00A06C13" w:rsidP="005A3A55">
            <w:pPr>
              <w:spacing w:line="240" w:lineRule="auto"/>
              <w:jc w:val="center"/>
              <w:rPr>
                <w:b/>
              </w:rPr>
            </w:pPr>
            <w:r w:rsidRPr="00EF27CC">
              <w:rPr>
                <w:b/>
              </w:rPr>
              <w:t>Reference</w:t>
            </w:r>
          </w:p>
          <w:p w:rsidR="005A3A55" w:rsidRPr="00EF27CC" w:rsidRDefault="00A06C13" w:rsidP="005A3A55">
            <w:pPr>
              <w:spacing w:line="240" w:lineRule="auto"/>
              <w:jc w:val="center"/>
              <w:rPr>
                <w:b/>
              </w:rPr>
            </w:pPr>
            <w:r w:rsidRPr="00EF27CC">
              <w:rPr>
                <w:b/>
              </w:rPr>
              <w:t>[LSM]]</w:t>
            </w:r>
          </w:p>
        </w:tc>
        <w:tc>
          <w:tcPr>
            <w:tcW w:w="1906" w:type="dxa"/>
            <w:vAlign w:val="bottom"/>
          </w:tcPr>
          <w:p w:rsidR="005A3A55" w:rsidRPr="00EF27CC" w:rsidRDefault="00A06C13" w:rsidP="005A3A55">
            <w:pPr>
              <w:spacing w:line="240" w:lineRule="auto"/>
              <w:jc w:val="center"/>
              <w:rPr>
                <w:b/>
              </w:rPr>
            </w:pPr>
            <w:r w:rsidRPr="00EF27CC">
              <w:rPr>
                <w:b/>
              </w:rPr>
              <w:t>T/R Ratio</w:t>
            </w:r>
          </w:p>
        </w:tc>
        <w:tc>
          <w:tcPr>
            <w:tcW w:w="1893" w:type="dxa"/>
            <w:vAlign w:val="bottom"/>
          </w:tcPr>
          <w:p w:rsidR="005A3A55" w:rsidRPr="00EF27CC" w:rsidRDefault="00A06C13" w:rsidP="005A3A55">
            <w:pPr>
              <w:spacing w:line="240" w:lineRule="auto"/>
              <w:jc w:val="center"/>
              <w:rPr>
                <w:b/>
              </w:rPr>
            </w:pPr>
            <w:r w:rsidRPr="00EF27CC">
              <w:rPr>
                <w:b/>
              </w:rPr>
              <w:t>90% C.I.</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AUC0-t</w:t>
            </w:r>
          </w:p>
        </w:tc>
        <w:tc>
          <w:tcPr>
            <w:tcW w:w="1754" w:type="dxa"/>
          </w:tcPr>
          <w:p w:rsidR="005A3A55" w:rsidRPr="00EF27CC" w:rsidRDefault="00A06C13" w:rsidP="005A3A55">
            <w:pPr>
              <w:spacing w:line="240" w:lineRule="auto"/>
              <w:jc w:val="center"/>
              <w:rPr>
                <w:rFonts w:cs="Times New Roman"/>
              </w:rPr>
            </w:pPr>
            <w:r w:rsidRPr="00EF27CC">
              <w:rPr>
                <w:rFonts w:cs="Times New Roman"/>
              </w:rPr>
              <w:t xml:space="preserve">4059.009 </w:t>
            </w:r>
          </w:p>
        </w:tc>
        <w:tc>
          <w:tcPr>
            <w:tcW w:w="2006" w:type="dxa"/>
          </w:tcPr>
          <w:p w:rsidR="005A3A55" w:rsidRPr="00EF27CC" w:rsidRDefault="00A06C13" w:rsidP="005A3A55">
            <w:pPr>
              <w:spacing w:line="240" w:lineRule="auto"/>
              <w:jc w:val="center"/>
              <w:rPr>
                <w:rFonts w:cs="Times New Roman"/>
              </w:rPr>
            </w:pPr>
            <w:r w:rsidRPr="00EF27CC">
              <w:rPr>
                <w:rFonts w:cs="Times New Roman"/>
              </w:rPr>
              <w:t>3964.960</w:t>
            </w:r>
          </w:p>
        </w:tc>
        <w:tc>
          <w:tcPr>
            <w:tcW w:w="1906" w:type="dxa"/>
          </w:tcPr>
          <w:p w:rsidR="005A3A55" w:rsidRPr="00EF27CC" w:rsidRDefault="00A06C13" w:rsidP="005A3A55">
            <w:pPr>
              <w:spacing w:line="240" w:lineRule="auto"/>
              <w:jc w:val="center"/>
              <w:rPr>
                <w:rFonts w:cs="Times New Roman"/>
              </w:rPr>
            </w:pPr>
            <w:r w:rsidRPr="00EF27CC">
              <w:rPr>
                <w:rFonts w:cs="Times New Roman"/>
              </w:rPr>
              <w:t xml:space="preserve">102.4 </w:t>
            </w:r>
          </w:p>
        </w:tc>
        <w:tc>
          <w:tcPr>
            <w:tcW w:w="1893" w:type="dxa"/>
          </w:tcPr>
          <w:p w:rsidR="005A3A55" w:rsidRPr="00EF27CC" w:rsidRDefault="00A06C13" w:rsidP="005A3A55">
            <w:pPr>
              <w:spacing w:line="240" w:lineRule="auto"/>
              <w:jc w:val="center"/>
              <w:rPr>
                <w:rFonts w:cs="Times New Roman"/>
              </w:rPr>
            </w:pPr>
            <w:r w:rsidRPr="00EF27CC">
              <w:rPr>
                <w:rFonts w:cs="Times New Roman"/>
              </w:rPr>
              <w:t>92.93 - 113.89</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AUC0-∞</w:t>
            </w:r>
          </w:p>
        </w:tc>
        <w:tc>
          <w:tcPr>
            <w:tcW w:w="1754" w:type="dxa"/>
          </w:tcPr>
          <w:p w:rsidR="005A3A55" w:rsidRPr="00EF27CC" w:rsidRDefault="00A06C13" w:rsidP="005A3A55">
            <w:pPr>
              <w:spacing w:line="240" w:lineRule="auto"/>
              <w:jc w:val="center"/>
              <w:rPr>
                <w:rFonts w:cs="Times New Roman"/>
              </w:rPr>
            </w:pPr>
            <w:r w:rsidRPr="00EF27CC">
              <w:rPr>
                <w:rFonts w:cs="Times New Roman"/>
              </w:rPr>
              <w:t xml:space="preserve">4137.621 </w:t>
            </w:r>
          </w:p>
        </w:tc>
        <w:tc>
          <w:tcPr>
            <w:tcW w:w="2006" w:type="dxa"/>
          </w:tcPr>
          <w:p w:rsidR="005A3A55" w:rsidRPr="00EF27CC" w:rsidRDefault="00A06C13" w:rsidP="005A3A55">
            <w:pPr>
              <w:spacing w:line="240" w:lineRule="auto"/>
              <w:jc w:val="center"/>
              <w:rPr>
                <w:rFonts w:cs="Times New Roman"/>
              </w:rPr>
            </w:pPr>
            <w:r w:rsidRPr="00EF27CC">
              <w:rPr>
                <w:rFonts w:cs="Times New Roman"/>
              </w:rPr>
              <w:t>4076.220</w:t>
            </w:r>
          </w:p>
        </w:tc>
        <w:tc>
          <w:tcPr>
            <w:tcW w:w="1906" w:type="dxa"/>
          </w:tcPr>
          <w:p w:rsidR="005A3A55" w:rsidRPr="00EF27CC" w:rsidRDefault="00A06C13" w:rsidP="005A3A55">
            <w:pPr>
              <w:spacing w:line="240" w:lineRule="auto"/>
              <w:jc w:val="center"/>
              <w:rPr>
                <w:rFonts w:cs="Times New Roman"/>
              </w:rPr>
            </w:pPr>
            <w:r w:rsidRPr="00EF27CC">
              <w:rPr>
                <w:rFonts w:cs="Times New Roman"/>
              </w:rPr>
              <w:t xml:space="preserve">101.5 </w:t>
            </w:r>
          </w:p>
        </w:tc>
        <w:tc>
          <w:tcPr>
            <w:tcW w:w="1893" w:type="dxa"/>
          </w:tcPr>
          <w:p w:rsidR="005A3A55" w:rsidRPr="00EF27CC" w:rsidRDefault="00A06C13" w:rsidP="005A3A55">
            <w:pPr>
              <w:spacing w:line="240" w:lineRule="auto"/>
              <w:jc w:val="center"/>
              <w:rPr>
                <w:rFonts w:cs="Times New Roman"/>
              </w:rPr>
            </w:pPr>
            <w:r w:rsidRPr="00EF27CC">
              <w:rPr>
                <w:rFonts w:cs="Times New Roman"/>
              </w:rPr>
              <w:t>92.47 - 111.43</w:t>
            </w:r>
          </w:p>
        </w:tc>
      </w:tr>
      <w:tr w:rsidR="005A3A55" w:rsidRPr="00EF27CC" w:rsidTr="00103F65">
        <w:trPr>
          <w:jc w:val="center"/>
        </w:trPr>
        <w:tc>
          <w:tcPr>
            <w:tcW w:w="1638" w:type="dxa"/>
            <w:vAlign w:val="bottom"/>
          </w:tcPr>
          <w:p w:rsidR="005A3A55" w:rsidRPr="00EF27CC" w:rsidRDefault="00A06C13" w:rsidP="005A3A55">
            <w:pPr>
              <w:spacing w:line="240" w:lineRule="auto"/>
              <w:rPr>
                <w:b/>
              </w:rPr>
            </w:pPr>
            <w:r w:rsidRPr="00EF27CC">
              <w:rPr>
                <w:b/>
              </w:rPr>
              <w:t>Cmax</w:t>
            </w:r>
          </w:p>
        </w:tc>
        <w:tc>
          <w:tcPr>
            <w:tcW w:w="1754" w:type="dxa"/>
          </w:tcPr>
          <w:p w:rsidR="005A3A55" w:rsidRPr="00EF27CC" w:rsidRDefault="00A06C13" w:rsidP="005A3A55">
            <w:pPr>
              <w:spacing w:line="240" w:lineRule="auto"/>
              <w:jc w:val="center"/>
              <w:rPr>
                <w:rFonts w:cs="Times New Roman"/>
              </w:rPr>
            </w:pPr>
            <w:r w:rsidRPr="00EF27CC">
              <w:rPr>
                <w:rFonts w:cs="Times New Roman"/>
              </w:rPr>
              <w:t xml:space="preserve">1552.439 </w:t>
            </w:r>
          </w:p>
        </w:tc>
        <w:tc>
          <w:tcPr>
            <w:tcW w:w="2006" w:type="dxa"/>
          </w:tcPr>
          <w:p w:rsidR="005A3A55" w:rsidRPr="00EF27CC" w:rsidRDefault="00A06C13" w:rsidP="005A3A55">
            <w:pPr>
              <w:spacing w:line="240" w:lineRule="auto"/>
              <w:jc w:val="center"/>
              <w:rPr>
                <w:rFonts w:cs="Times New Roman"/>
              </w:rPr>
            </w:pPr>
            <w:r w:rsidRPr="00EF27CC">
              <w:rPr>
                <w:rFonts w:cs="Times New Roman"/>
              </w:rPr>
              <w:t>1516.557</w:t>
            </w:r>
          </w:p>
        </w:tc>
        <w:tc>
          <w:tcPr>
            <w:tcW w:w="1906" w:type="dxa"/>
          </w:tcPr>
          <w:p w:rsidR="005A3A55" w:rsidRPr="00EF27CC" w:rsidRDefault="00A06C13" w:rsidP="005A3A55">
            <w:pPr>
              <w:spacing w:line="240" w:lineRule="auto"/>
              <w:jc w:val="center"/>
              <w:rPr>
                <w:rFonts w:cs="Times New Roman"/>
              </w:rPr>
            </w:pPr>
            <w:r w:rsidRPr="00EF27CC">
              <w:rPr>
                <w:rFonts w:cs="Times New Roman"/>
              </w:rPr>
              <w:t xml:space="preserve">102.4 </w:t>
            </w:r>
          </w:p>
        </w:tc>
        <w:tc>
          <w:tcPr>
            <w:tcW w:w="1893" w:type="dxa"/>
          </w:tcPr>
          <w:p w:rsidR="005A3A55" w:rsidRPr="00EF27CC" w:rsidRDefault="00A06C13" w:rsidP="005A3A55">
            <w:pPr>
              <w:spacing w:line="240" w:lineRule="auto"/>
              <w:jc w:val="center"/>
              <w:rPr>
                <w:rFonts w:cs="Times New Roman"/>
              </w:rPr>
            </w:pPr>
            <w:r w:rsidRPr="00EF27CC">
              <w:rPr>
                <w:rFonts w:cs="Times New Roman"/>
              </w:rPr>
              <w:t>92.01 - 113.89</w:t>
            </w:r>
          </w:p>
        </w:tc>
      </w:tr>
    </w:tbl>
    <w:p w:rsidR="005A3A55" w:rsidRPr="00EF27CC" w:rsidRDefault="005A3A55" w:rsidP="005A3A55">
      <w:pPr>
        <w:spacing w:after="0" w:line="240" w:lineRule="auto"/>
        <w:jc w:val="both"/>
        <w:rPr>
          <w:rFonts w:cs="Arial"/>
          <w:b/>
        </w:rPr>
      </w:pPr>
    </w:p>
    <w:p w:rsidR="005A3A55" w:rsidRPr="00EF27CC" w:rsidRDefault="00A06C13" w:rsidP="005A3A55">
      <w:pPr>
        <w:spacing w:line="240" w:lineRule="auto"/>
        <w:jc w:val="both"/>
        <w:rPr>
          <w:i/>
        </w:rPr>
      </w:pPr>
      <w:r w:rsidRPr="00EF27CC">
        <w:rPr>
          <w:i/>
        </w:rPr>
        <w:t>Studio di bioequivalenza per la polvere per sospensione orale bambini</w:t>
      </w:r>
    </w:p>
    <w:p w:rsidR="005A3A55" w:rsidRPr="00EF27CC" w:rsidRDefault="00A06C13" w:rsidP="005A3A55">
      <w:pPr>
        <w:spacing w:line="240" w:lineRule="auto"/>
        <w:jc w:val="both"/>
      </w:pPr>
      <w:r w:rsidRPr="00EF27CC">
        <w:t>Lo studio di bioequivalenza che compara le formulazioni in bustine è uno studio comparativo, controllato,  randomizzato, a dose singola (</w:t>
      </w:r>
      <w:r w:rsidRPr="00EF27CC">
        <w:rPr>
          <w:bCs/>
        </w:rPr>
        <w:t xml:space="preserve">400mg </w:t>
      </w:r>
      <w:r w:rsidRPr="00EF27CC">
        <w:rPr>
          <w:bCs/>
          <w:i/>
          <w:iCs/>
        </w:rPr>
        <w:t xml:space="preserve">I </w:t>
      </w:r>
      <w:r w:rsidRPr="00EF27CC">
        <w:rPr>
          <w:bCs/>
          <w:iCs/>
        </w:rPr>
        <w:t>57</w:t>
      </w:r>
      <w:r w:rsidRPr="00EF27CC">
        <w:rPr>
          <w:bCs/>
          <w:i/>
          <w:iCs/>
        </w:rPr>
        <w:t xml:space="preserve"> </w:t>
      </w:r>
      <w:r w:rsidRPr="00EF27CC">
        <w:rPr>
          <w:bCs/>
        </w:rPr>
        <w:t>mg</w:t>
      </w:r>
      <w:r w:rsidRPr="00EF27CC">
        <w:t>), 2-periodi, crossover condotto in 42 volontari sani con somministrazione in condizione di digiuno. Un soddisfacente periodo di wash-out di 7 giorni è stato previsto tra le somministrazioni in ogni gruppo.</w:t>
      </w:r>
    </w:p>
    <w:p w:rsidR="005A3A55" w:rsidRPr="00EF27CC" w:rsidRDefault="00A06C13" w:rsidP="005A3A55">
      <w:pPr>
        <w:pStyle w:val="Paragrafoelenco"/>
        <w:spacing w:after="0" w:line="240" w:lineRule="auto"/>
        <w:ind w:left="0"/>
        <w:jc w:val="both"/>
      </w:pPr>
      <w:r w:rsidRPr="00EF27CC">
        <w:t>Campioni di sangue sono stati prelevati al tempo zero (pre-dose) e a specificati tempi fino a 12 ore dopo la somministrazione. I livelli plasmatici di amoxicillina e acido clavulanico sono stati determinati mediante un metodo analitico HPLC-MS-MS opportunamente convalidato.</w:t>
      </w:r>
    </w:p>
    <w:p w:rsidR="005A3A55" w:rsidRPr="00EF27CC" w:rsidRDefault="00A06C13" w:rsidP="005A3A55">
      <w:pPr>
        <w:pStyle w:val="Paragrafoelenco"/>
        <w:spacing w:after="0" w:line="240" w:lineRule="auto"/>
        <w:ind w:left="0"/>
        <w:jc w:val="both"/>
      </w:pPr>
      <w:r w:rsidRPr="00EF27CC">
        <w:t>Le variabili farmacocinetiche definite sono state: C</w:t>
      </w:r>
      <w:r w:rsidRPr="00EF27CC">
        <w:rPr>
          <w:vertAlign w:val="subscript"/>
        </w:rPr>
        <w:t>max</w:t>
      </w:r>
      <w:r w:rsidRPr="00EF27CC">
        <w:t>, AUC</w:t>
      </w:r>
      <w:r w:rsidRPr="00EF27CC">
        <w:rPr>
          <w:vertAlign w:val="subscript"/>
        </w:rPr>
        <w:t>0-t</w:t>
      </w:r>
      <w:r w:rsidRPr="00EF27CC">
        <w:t>, AUC</w:t>
      </w:r>
      <w:r w:rsidRPr="00EF27CC">
        <w:rPr>
          <w:vertAlign w:val="subscript"/>
        </w:rPr>
        <w:t>0-</w:t>
      </w:r>
      <w:r w:rsidRPr="00EF27CC">
        <w:rPr>
          <w:vertAlign w:val="subscript"/>
          <w:lang w:val="en-GB"/>
        </w:rPr>
        <w:sym w:font="Symbol" w:char="00A5"/>
      </w:r>
      <w:r w:rsidRPr="00EF27CC">
        <w:t>, t</w:t>
      </w:r>
      <w:r w:rsidRPr="00EF27CC">
        <w:rPr>
          <w:vertAlign w:val="subscript"/>
        </w:rPr>
        <w:t>max</w:t>
      </w:r>
      <w:r w:rsidRPr="00EF27CC">
        <w:t>, t½ e AUC estrapolata. La bioequivalenza tra medicinale test e medicinale di riferimento è dimostrata se gli intervalli di confidenza al 90% per la trasformata logaritmica di  C</w:t>
      </w:r>
      <w:r w:rsidRPr="00EF27CC">
        <w:rPr>
          <w:vertAlign w:val="subscript"/>
        </w:rPr>
        <w:t xml:space="preserve">max </w:t>
      </w:r>
      <w:r w:rsidRPr="00EF27CC">
        <w:t>e AUC</w:t>
      </w:r>
      <w:r w:rsidRPr="00EF27CC">
        <w:rPr>
          <w:vertAlign w:val="subscript"/>
        </w:rPr>
        <w:t>0-t</w:t>
      </w:r>
      <w:r w:rsidRPr="00EF27CC">
        <w:t>, cadono nel range di accettabilità di 0.80-1.25 (80%-125%).</w:t>
      </w:r>
    </w:p>
    <w:p w:rsidR="005A3A55" w:rsidRPr="00EF27CC" w:rsidRDefault="005A3A55" w:rsidP="005A3A55">
      <w:pPr>
        <w:pStyle w:val="Paragrafoelenco"/>
        <w:spacing w:after="0" w:line="240" w:lineRule="auto"/>
        <w:ind w:left="0"/>
        <w:jc w:val="both"/>
      </w:pPr>
    </w:p>
    <w:p w:rsidR="005A3A55" w:rsidRPr="00EF27CC" w:rsidRDefault="00A06C13" w:rsidP="005A3A55">
      <w:pPr>
        <w:pStyle w:val="Paragrafoelenco"/>
        <w:spacing w:after="0" w:line="240" w:lineRule="auto"/>
        <w:ind w:left="0"/>
        <w:jc w:val="both"/>
        <w:rPr>
          <w:u w:val="single"/>
        </w:rPr>
      </w:pPr>
      <w:r w:rsidRPr="00EF27CC">
        <w:rPr>
          <w:u w:val="single"/>
        </w:rPr>
        <w:t>Risultati</w:t>
      </w:r>
    </w:p>
    <w:p w:rsidR="005A3A55" w:rsidRPr="00EF27CC" w:rsidRDefault="00A06C13" w:rsidP="005A3A55">
      <w:pPr>
        <w:spacing w:line="240" w:lineRule="auto"/>
        <w:jc w:val="both"/>
      </w:pPr>
      <w:r w:rsidRPr="00EF27CC">
        <w:t>42 volontari sani sono stati arruolati negli studi, 41 hanno completato fase clinica e sono stati analizzati.</w:t>
      </w:r>
    </w:p>
    <w:p w:rsidR="005A3A55" w:rsidRPr="00EF27CC" w:rsidRDefault="00A06C13" w:rsidP="005A3A55">
      <w:pPr>
        <w:pStyle w:val="Paragrafoelenco"/>
        <w:spacing w:after="0" w:line="240" w:lineRule="auto"/>
        <w:ind w:left="0"/>
        <w:jc w:val="both"/>
        <w:rPr>
          <w:u w:val="single"/>
        </w:rPr>
      </w:pPr>
      <w:r w:rsidRPr="00EF27CC">
        <w:rPr>
          <w:u w:val="single"/>
        </w:rPr>
        <w:t>Sicurezza</w:t>
      </w:r>
    </w:p>
    <w:p w:rsidR="005A3A55" w:rsidRPr="00EF27CC" w:rsidRDefault="00A06C13" w:rsidP="005A3A55">
      <w:pPr>
        <w:spacing w:line="240" w:lineRule="auto"/>
        <w:jc w:val="both"/>
      </w:pPr>
      <w:r w:rsidRPr="00EF27CC">
        <w:t xml:space="preserve">Nel corso dello studio </w:t>
      </w:r>
      <w:r w:rsidRPr="00EF27CC">
        <w:rPr>
          <w:rFonts w:ascii="Calibri" w:hAnsi="Calibri" w:cs="Arial"/>
        </w:rPr>
        <w:t>non sono stati rilevati eventi avversi gravi, gli eventi avversi sono stati simili tra medicinale test e medicinali di riferimento.</w:t>
      </w:r>
      <w:r w:rsidRPr="00EF27CC">
        <w:rPr>
          <w:rFonts w:ascii="Calibri" w:hAnsi="Calibri" w:cs="Arial"/>
          <w:b/>
        </w:rPr>
        <w:t xml:space="preserve"> </w:t>
      </w:r>
    </w:p>
    <w:p w:rsidR="005A3A55" w:rsidRPr="00EF27CC" w:rsidRDefault="00A06C13" w:rsidP="005A3A55">
      <w:pPr>
        <w:pStyle w:val="Paragrafoelenco"/>
        <w:spacing w:after="0" w:line="240" w:lineRule="auto"/>
        <w:ind w:left="0"/>
        <w:jc w:val="both"/>
        <w:rPr>
          <w:u w:val="single"/>
        </w:rPr>
      </w:pPr>
      <w:r w:rsidRPr="00EF27CC">
        <w:rPr>
          <w:u w:val="single"/>
        </w:rPr>
        <w:t>Parametri farmacocinetici</w:t>
      </w:r>
    </w:p>
    <w:p w:rsidR="005A3A55" w:rsidRPr="00EF27CC" w:rsidRDefault="005A3A55" w:rsidP="005A3A55">
      <w:pPr>
        <w:spacing w:after="0" w:line="240" w:lineRule="auto"/>
        <w:jc w:val="both"/>
        <w:rPr>
          <w:rFonts w:cs="Arial"/>
          <w:b/>
        </w:rPr>
      </w:pPr>
    </w:p>
    <w:p w:rsidR="0010566D" w:rsidRPr="00EF27CC" w:rsidRDefault="0010566D" w:rsidP="0010566D">
      <w:pPr>
        <w:spacing w:line="240" w:lineRule="auto"/>
        <w:jc w:val="both"/>
      </w:pP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676"/>
        <w:gridCol w:w="1794"/>
        <w:gridCol w:w="2052"/>
        <w:gridCol w:w="1950"/>
        <w:gridCol w:w="1936"/>
      </w:tblGrid>
      <w:tr w:rsidR="0010566D" w:rsidRPr="0010566D" w:rsidTr="00103F65">
        <w:trPr>
          <w:jc w:val="center"/>
        </w:trPr>
        <w:tc>
          <w:tcPr>
            <w:tcW w:w="9408" w:type="dxa"/>
            <w:gridSpan w:val="5"/>
            <w:vAlign w:val="bottom"/>
          </w:tcPr>
          <w:p w:rsidR="0010566D" w:rsidRPr="00EF27CC" w:rsidRDefault="00A06C13" w:rsidP="00103F65">
            <w:pPr>
              <w:spacing w:line="240" w:lineRule="auto"/>
              <w:jc w:val="center"/>
              <w:rPr>
                <w:b/>
              </w:rPr>
            </w:pPr>
            <w:r w:rsidRPr="00EF27CC">
              <w:t>Amoxicillina</w:t>
            </w:r>
          </w:p>
        </w:tc>
      </w:tr>
      <w:tr w:rsidR="0010566D" w:rsidRPr="00EF27CC" w:rsidTr="00103F65">
        <w:trPr>
          <w:jc w:val="center"/>
        </w:trPr>
        <w:tc>
          <w:tcPr>
            <w:tcW w:w="1676" w:type="dxa"/>
            <w:vAlign w:val="bottom"/>
          </w:tcPr>
          <w:p w:rsidR="0010566D" w:rsidRPr="00EF27CC" w:rsidRDefault="00A06C13" w:rsidP="00103F65">
            <w:pPr>
              <w:spacing w:line="240" w:lineRule="auto"/>
              <w:rPr>
                <w:b/>
              </w:rPr>
            </w:pPr>
            <w:r w:rsidRPr="00EF27CC">
              <w:rPr>
                <w:b/>
              </w:rPr>
              <w:t>Parametro</w:t>
            </w:r>
          </w:p>
        </w:tc>
        <w:tc>
          <w:tcPr>
            <w:tcW w:w="1794" w:type="dxa"/>
            <w:vAlign w:val="bottom"/>
          </w:tcPr>
          <w:p w:rsidR="0010566D" w:rsidRPr="00EF27CC" w:rsidRDefault="00A06C13" w:rsidP="00103F65">
            <w:pPr>
              <w:spacing w:line="240" w:lineRule="auto"/>
              <w:jc w:val="center"/>
              <w:rPr>
                <w:b/>
              </w:rPr>
            </w:pPr>
            <w:r w:rsidRPr="00EF27CC">
              <w:rPr>
                <w:b/>
              </w:rPr>
              <w:t xml:space="preserve">Test </w:t>
            </w:r>
          </w:p>
          <w:p w:rsidR="0010566D" w:rsidRPr="00EF27CC" w:rsidRDefault="00A06C13" w:rsidP="00103F65">
            <w:pPr>
              <w:spacing w:line="240" w:lineRule="auto"/>
              <w:jc w:val="center"/>
              <w:rPr>
                <w:b/>
              </w:rPr>
            </w:pPr>
            <w:r w:rsidRPr="00EF27CC">
              <w:rPr>
                <w:b/>
              </w:rPr>
              <w:t>[LSM]</w:t>
            </w:r>
          </w:p>
        </w:tc>
        <w:tc>
          <w:tcPr>
            <w:tcW w:w="2052" w:type="dxa"/>
            <w:vAlign w:val="bottom"/>
          </w:tcPr>
          <w:p w:rsidR="0010566D" w:rsidRPr="00EF27CC" w:rsidRDefault="00A06C13" w:rsidP="00103F65">
            <w:pPr>
              <w:spacing w:line="240" w:lineRule="auto"/>
              <w:jc w:val="center"/>
              <w:rPr>
                <w:b/>
              </w:rPr>
            </w:pPr>
            <w:r w:rsidRPr="00EF27CC">
              <w:rPr>
                <w:b/>
              </w:rPr>
              <w:t>Reference</w:t>
            </w:r>
          </w:p>
          <w:p w:rsidR="0010566D" w:rsidRPr="00EF27CC" w:rsidRDefault="00A06C13" w:rsidP="00103F65">
            <w:pPr>
              <w:spacing w:line="240" w:lineRule="auto"/>
              <w:jc w:val="center"/>
              <w:rPr>
                <w:b/>
              </w:rPr>
            </w:pPr>
            <w:r w:rsidRPr="00EF27CC">
              <w:rPr>
                <w:b/>
              </w:rPr>
              <w:t>[LSM]]</w:t>
            </w:r>
          </w:p>
        </w:tc>
        <w:tc>
          <w:tcPr>
            <w:tcW w:w="1950" w:type="dxa"/>
            <w:vAlign w:val="bottom"/>
          </w:tcPr>
          <w:p w:rsidR="0010566D" w:rsidRPr="00EF27CC" w:rsidRDefault="00A06C13" w:rsidP="00103F65">
            <w:pPr>
              <w:spacing w:line="240" w:lineRule="auto"/>
              <w:jc w:val="center"/>
              <w:rPr>
                <w:b/>
              </w:rPr>
            </w:pPr>
            <w:r w:rsidRPr="00EF27CC">
              <w:rPr>
                <w:b/>
              </w:rPr>
              <w:t>T/R Ratio</w:t>
            </w:r>
          </w:p>
        </w:tc>
        <w:tc>
          <w:tcPr>
            <w:tcW w:w="1936" w:type="dxa"/>
            <w:vAlign w:val="bottom"/>
          </w:tcPr>
          <w:p w:rsidR="0010566D" w:rsidRPr="00EF27CC" w:rsidRDefault="00A06C13" w:rsidP="00103F65">
            <w:pPr>
              <w:spacing w:line="240" w:lineRule="auto"/>
              <w:jc w:val="center"/>
              <w:rPr>
                <w:b/>
              </w:rPr>
            </w:pPr>
            <w:r w:rsidRPr="00EF27CC">
              <w:rPr>
                <w:b/>
              </w:rPr>
              <w:t>90% C.I.</w:t>
            </w:r>
          </w:p>
        </w:tc>
      </w:tr>
      <w:tr w:rsidR="0010566D" w:rsidRPr="00EF27CC" w:rsidTr="00103F65">
        <w:trPr>
          <w:jc w:val="center"/>
        </w:trPr>
        <w:tc>
          <w:tcPr>
            <w:tcW w:w="1676" w:type="dxa"/>
            <w:vAlign w:val="bottom"/>
          </w:tcPr>
          <w:p w:rsidR="0010566D" w:rsidRPr="00EF27CC" w:rsidRDefault="00A06C13" w:rsidP="00103F65">
            <w:pPr>
              <w:spacing w:line="240" w:lineRule="auto"/>
              <w:rPr>
                <w:b/>
              </w:rPr>
            </w:pPr>
            <w:r w:rsidRPr="00EF27CC">
              <w:rPr>
                <w:b/>
              </w:rPr>
              <w:lastRenderedPageBreak/>
              <w:t>AUC0-t</w:t>
            </w:r>
          </w:p>
        </w:tc>
        <w:tc>
          <w:tcPr>
            <w:tcW w:w="1794" w:type="dxa"/>
          </w:tcPr>
          <w:p w:rsidR="0010566D" w:rsidRPr="00EF27CC" w:rsidRDefault="00A06C13" w:rsidP="00103F65">
            <w:pPr>
              <w:spacing w:line="240" w:lineRule="auto"/>
              <w:jc w:val="center"/>
            </w:pPr>
            <w:r w:rsidRPr="00EF27CC">
              <w:rPr>
                <w:rFonts w:cs="Times New Roman"/>
              </w:rPr>
              <w:t>22806.55</w:t>
            </w:r>
          </w:p>
        </w:tc>
        <w:tc>
          <w:tcPr>
            <w:tcW w:w="2052" w:type="dxa"/>
          </w:tcPr>
          <w:p w:rsidR="0010566D" w:rsidRPr="00EF27CC" w:rsidRDefault="00A06C13" w:rsidP="00103F65">
            <w:pPr>
              <w:spacing w:line="240" w:lineRule="auto"/>
              <w:jc w:val="center"/>
            </w:pPr>
            <w:r w:rsidRPr="00EF27CC">
              <w:rPr>
                <w:rFonts w:cs="Times New Roman"/>
              </w:rPr>
              <w:t>22176.19</w:t>
            </w:r>
          </w:p>
        </w:tc>
        <w:tc>
          <w:tcPr>
            <w:tcW w:w="1950" w:type="dxa"/>
          </w:tcPr>
          <w:p w:rsidR="0010566D" w:rsidRPr="00EF27CC" w:rsidRDefault="00A06C13" w:rsidP="00103F65">
            <w:pPr>
              <w:spacing w:line="240" w:lineRule="auto"/>
              <w:jc w:val="center"/>
            </w:pPr>
            <w:r w:rsidRPr="00EF27CC">
              <w:rPr>
                <w:rFonts w:cs="Times New Roman"/>
              </w:rPr>
              <w:t>104.82</w:t>
            </w:r>
          </w:p>
        </w:tc>
        <w:tc>
          <w:tcPr>
            <w:tcW w:w="1936" w:type="dxa"/>
          </w:tcPr>
          <w:p w:rsidR="0010566D" w:rsidRPr="00EF27CC" w:rsidRDefault="00A06C13" w:rsidP="00103F65">
            <w:pPr>
              <w:spacing w:after="0" w:line="240" w:lineRule="auto"/>
              <w:jc w:val="center"/>
              <w:rPr>
                <w:b/>
              </w:rPr>
            </w:pPr>
            <w:r w:rsidRPr="00EF27CC">
              <w:rPr>
                <w:rFonts w:cs="Times New Roman"/>
              </w:rPr>
              <w:t>100.26-105.49</w:t>
            </w:r>
          </w:p>
        </w:tc>
      </w:tr>
      <w:tr w:rsidR="0010566D" w:rsidRPr="00EF27CC" w:rsidTr="00103F65">
        <w:trPr>
          <w:jc w:val="center"/>
        </w:trPr>
        <w:tc>
          <w:tcPr>
            <w:tcW w:w="1676" w:type="dxa"/>
            <w:vAlign w:val="bottom"/>
          </w:tcPr>
          <w:p w:rsidR="0010566D" w:rsidRPr="00EF27CC" w:rsidRDefault="00A06C13" w:rsidP="00103F65">
            <w:pPr>
              <w:spacing w:line="240" w:lineRule="auto"/>
              <w:rPr>
                <w:b/>
              </w:rPr>
            </w:pPr>
            <w:r w:rsidRPr="00EF27CC">
              <w:rPr>
                <w:b/>
              </w:rPr>
              <w:t>Cmax</w:t>
            </w:r>
          </w:p>
        </w:tc>
        <w:tc>
          <w:tcPr>
            <w:tcW w:w="1794" w:type="dxa"/>
          </w:tcPr>
          <w:p w:rsidR="0010566D" w:rsidRPr="00EF27CC" w:rsidRDefault="00A06C13" w:rsidP="00103F65">
            <w:pPr>
              <w:spacing w:line="240" w:lineRule="auto"/>
              <w:jc w:val="center"/>
            </w:pPr>
            <w:r w:rsidRPr="00EF27CC">
              <w:rPr>
                <w:rFonts w:cs="Times New Roman"/>
              </w:rPr>
              <w:t>7945.51</w:t>
            </w:r>
          </w:p>
        </w:tc>
        <w:tc>
          <w:tcPr>
            <w:tcW w:w="2052" w:type="dxa"/>
          </w:tcPr>
          <w:p w:rsidR="0010566D" w:rsidRPr="00EF27CC" w:rsidRDefault="00A06C13" w:rsidP="00103F65">
            <w:pPr>
              <w:spacing w:line="240" w:lineRule="auto"/>
              <w:jc w:val="center"/>
            </w:pPr>
            <w:r w:rsidRPr="00EF27CC">
              <w:rPr>
                <w:rFonts w:cs="Times New Roman"/>
              </w:rPr>
              <w:t>8024.02</w:t>
            </w:r>
          </w:p>
        </w:tc>
        <w:tc>
          <w:tcPr>
            <w:tcW w:w="1950" w:type="dxa"/>
          </w:tcPr>
          <w:p w:rsidR="0010566D" w:rsidRPr="00EF27CC" w:rsidRDefault="00A06C13" w:rsidP="00103F65">
            <w:pPr>
              <w:spacing w:line="240" w:lineRule="auto"/>
              <w:jc w:val="center"/>
            </w:pPr>
            <w:r w:rsidRPr="00EF27CC">
              <w:rPr>
                <w:rFonts w:cs="Times New Roman"/>
              </w:rPr>
              <w:t>99.020</w:t>
            </w:r>
          </w:p>
        </w:tc>
        <w:tc>
          <w:tcPr>
            <w:tcW w:w="1936" w:type="dxa"/>
          </w:tcPr>
          <w:p w:rsidR="0010566D" w:rsidRPr="00EF27CC" w:rsidRDefault="00A06C13" w:rsidP="00103F65">
            <w:pPr>
              <w:spacing w:after="0" w:line="240" w:lineRule="auto"/>
              <w:jc w:val="center"/>
              <w:rPr>
                <w:b/>
              </w:rPr>
            </w:pPr>
            <w:r w:rsidRPr="00EF27CC">
              <w:rPr>
                <w:rFonts w:cs="Times New Roman"/>
              </w:rPr>
              <w:t>94.96-103.26</w:t>
            </w:r>
          </w:p>
        </w:tc>
      </w:tr>
    </w:tbl>
    <w:p w:rsidR="0010566D" w:rsidRPr="00EF27CC" w:rsidRDefault="0010566D" w:rsidP="0010566D">
      <w:pPr>
        <w:pStyle w:val="Paragrafoelenco"/>
        <w:spacing w:after="0" w:line="240" w:lineRule="auto"/>
        <w:ind w:left="0"/>
        <w:jc w:val="both"/>
        <w:rPr>
          <w:u w:val="single"/>
        </w:rPr>
      </w:pP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676"/>
        <w:gridCol w:w="1794"/>
        <w:gridCol w:w="2052"/>
        <w:gridCol w:w="1950"/>
        <w:gridCol w:w="1936"/>
      </w:tblGrid>
      <w:tr w:rsidR="0010566D" w:rsidRPr="00EF27CC" w:rsidTr="00103F65">
        <w:trPr>
          <w:jc w:val="center"/>
        </w:trPr>
        <w:tc>
          <w:tcPr>
            <w:tcW w:w="9408" w:type="dxa"/>
            <w:gridSpan w:val="5"/>
            <w:vAlign w:val="bottom"/>
          </w:tcPr>
          <w:p w:rsidR="0010566D" w:rsidRPr="00EF27CC" w:rsidRDefault="00A06C13" w:rsidP="00103F65">
            <w:pPr>
              <w:spacing w:line="240" w:lineRule="auto"/>
              <w:jc w:val="center"/>
              <w:rPr>
                <w:b/>
              </w:rPr>
            </w:pPr>
            <w:r w:rsidRPr="00EF27CC">
              <w:t>Acido clavulanico</w:t>
            </w:r>
          </w:p>
        </w:tc>
      </w:tr>
      <w:tr w:rsidR="0010566D" w:rsidRPr="00EF27CC" w:rsidTr="00103F65">
        <w:trPr>
          <w:jc w:val="center"/>
        </w:trPr>
        <w:tc>
          <w:tcPr>
            <w:tcW w:w="1676" w:type="dxa"/>
            <w:vAlign w:val="bottom"/>
          </w:tcPr>
          <w:p w:rsidR="0010566D" w:rsidRPr="00EF27CC" w:rsidRDefault="00A06C13" w:rsidP="00103F65">
            <w:pPr>
              <w:spacing w:line="240" w:lineRule="auto"/>
              <w:rPr>
                <w:b/>
              </w:rPr>
            </w:pPr>
            <w:r w:rsidRPr="00EF27CC">
              <w:rPr>
                <w:b/>
              </w:rPr>
              <w:t>Parametro</w:t>
            </w:r>
          </w:p>
        </w:tc>
        <w:tc>
          <w:tcPr>
            <w:tcW w:w="1794" w:type="dxa"/>
            <w:vAlign w:val="bottom"/>
          </w:tcPr>
          <w:p w:rsidR="0010566D" w:rsidRPr="00EF27CC" w:rsidRDefault="00A06C13" w:rsidP="00103F65">
            <w:pPr>
              <w:spacing w:line="240" w:lineRule="auto"/>
              <w:jc w:val="center"/>
              <w:rPr>
                <w:b/>
              </w:rPr>
            </w:pPr>
            <w:r w:rsidRPr="00EF27CC">
              <w:rPr>
                <w:b/>
              </w:rPr>
              <w:t xml:space="preserve">Test </w:t>
            </w:r>
          </w:p>
          <w:p w:rsidR="0010566D" w:rsidRPr="00EF27CC" w:rsidRDefault="00A06C13" w:rsidP="00103F65">
            <w:pPr>
              <w:spacing w:line="240" w:lineRule="auto"/>
              <w:jc w:val="center"/>
              <w:rPr>
                <w:b/>
              </w:rPr>
            </w:pPr>
            <w:r w:rsidRPr="00EF27CC">
              <w:rPr>
                <w:b/>
              </w:rPr>
              <w:t>[LSM]</w:t>
            </w:r>
          </w:p>
        </w:tc>
        <w:tc>
          <w:tcPr>
            <w:tcW w:w="2052" w:type="dxa"/>
            <w:vAlign w:val="bottom"/>
          </w:tcPr>
          <w:p w:rsidR="0010566D" w:rsidRPr="00EF27CC" w:rsidRDefault="00A06C13" w:rsidP="00103F65">
            <w:pPr>
              <w:spacing w:line="240" w:lineRule="auto"/>
              <w:jc w:val="center"/>
              <w:rPr>
                <w:b/>
              </w:rPr>
            </w:pPr>
            <w:r w:rsidRPr="00EF27CC">
              <w:rPr>
                <w:b/>
              </w:rPr>
              <w:t>Reference</w:t>
            </w:r>
          </w:p>
          <w:p w:rsidR="0010566D" w:rsidRPr="00EF27CC" w:rsidRDefault="00A06C13" w:rsidP="00103F65">
            <w:pPr>
              <w:spacing w:line="240" w:lineRule="auto"/>
              <w:jc w:val="center"/>
              <w:rPr>
                <w:b/>
              </w:rPr>
            </w:pPr>
            <w:r w:rsidRPr="00EF27CC">
              <w:rPr>
                <w:b/>
              </w:rPr>
              <w:t>[LSM]]</w:t>
            </w:r>
          </w:p>
        </w:tc>
        <w:tc>
          <w:tcPr>
            <w:tcW w:w="1950" w:type="dxa"/>
            <w:vAlign w:val="bottom"/>
          </w:tcPr>
          <w:p w:rsidR="0010566D" w:rsidRPr="00EF27CC" w:rsidRDefault="00A06C13" w:rsidP="00103F65">
            <w:pPr>
              <w:spacing w:line="240" w:lineRule="auto"/>
              <w:jc w:val="center"/>
              <w:rPr>
                <w:b/>
              </w:rPr>
            </w:pPr>
            <w:r w:rsidRPr="00EF27CC">
              <w:rPr>
                <w:b/>
              </w:rPr>
              <w:t>T/R Ratio</w:t>
            </w:r>
          </w:p>
        </w:tc>
        <w:tc>
          <w:tcPr>
            <w:tcW w:w="1936" w:type="dxa"/>
            <w:vAlign w:val="bottom"/>
          </w:tcPr>
          <w:p w:rsidR="0010566D" w:rsidRPr="00EF27CC" w:rsidRDefault="00A06C13" w:rsidP="00103F65">
            <w:pPr>
              <w:spacing w:line="240" w:lineRule="auto"/>
              <w:jc w:val="center"/>
              <w:rPr>
                <w:b/>
              </w:rPr>
            </w:pPr>
            <w:r w:rsidRPr="00EF27CC">
              <w:rPr>
                <w:b/>
              </w:rPr>
              <w:t>90% C.I.</w:t>
            </w:r>
          </w:p>
        </w:tc>
      </w:tr>
      <w:tr w:rsidR="0010566D" w:rsidRPr="00EF27CC" w:rsidTr="00103F65">
        <w:trPr>
          <w:jc w:val="center"/>
        </w:trPr>
        <w:tc>
          <w:tcPr>
            <w:tcW w:w="1676" w:type="dxa"/>
            <w:vAlign w:val="bottom"/>
          </w:tcPr>
          <w:p w:rsidR="0010566D" w:rsidRPr="00EF27CC" w:rsidRDefault="00A06C13" w:rsidP="00103F65">
            <w:pPr>
              <w:spacing w:line="240" w:lineRule="auto"/>
              <w:rPr>
                <w:b/>
              </w:rPr>
            </w:pPr>
            <w:r w:rsidRPr="00EF27CC">
              <w:rPr>
                <w:b/>
              </w:rPr>
              <w:t>AUC0-t</w:t>
            </w:r>
          </w:p>
        </w:tc>
        <w:tc>
          <w:tcPr>
            <w:tcW w:w="1794" w:type="dxa"/>
          </w:tcPr>
          <w:p w:rsidR="0010566D" w:rsidRPr="00EF27CC" w:rsidRDefault="00A06C13" w:rsidP="00103F65">
            <w:pPr>
              <w:spacing w:line="240" w:lineRule="auto"/>
              <w:jc w:val="center"/>
              <w:rPr>
                <w:rFonts w:cs="Times New Roman"/>
              </w:rPr>
            </w:pPr>
            <w:r w:rsidRPr="00EF27CC">
              <w:rPr>
                <w:rFonts w:cs="Times New Roman"/>
              </w:rPr>
              <w:t xml:space="preserve">3122.18 </w:t>
            </w:r>
          </w:p>
        </w:tc>
        <w:tc>
          <w:tcPr>
            <w:tcW w:w="2052" w:type="dxa"/>
          </w:tcPr>
          <w:p w:rsidR="0010566D" w:rsidRPr="00EF27CC" w:rsidRDefault="00A06C13" w:rsidP="00103F65">
            <w:pPr>
              <w:spacing w:line="240" w:lineRule="auto"/>
              <w:jc w:val="center"/>
              <w:rPr>
                <w:rFonts w:cs="Times New Roman"/>
              </w:rPr>
            </w:pPr>
            <w:r w:rsidRPr="00EF27CC">
              <w:rPr>
                <w:rFonts w:cs="Times New Roman"/>
              </w:rPr>
              <w:t>3196.90</w:t>
            </w:r>
          </w:p>
        </w:tc>
        <w:tc>
          <w:tcPr>
            <w:tcW w:w="1950" w:type="dxa"/>
          </w:tcPr>
          <w:p w:rsidR="0010566D" w:rsidRPr="00EF27CC" w:rsidRDefault="00A06C13" w:rsidP="00103F65">
            <w:pPr>
              <w:spacing w:line="240" w:lineRule="auto"/>
              <w:jc w:val="center"/>
              <w:rPr>
                <w:rFonts w:cs="Times New Roman"/>
              </w:rPr>
            </w:pPr>
            <w:r w:rsidRPr="00EF27CC">
              <w:rPr>
                <w:rFonts w:cs="Times New Roman"/>
              </w:rPr>
              <w:t>96.66</w:t>
            </w:r>
          </w:p>
        </w:tc>
        <w:tc>
          <w:tcPr>
            <w:tcW w:w="1936" w:type="dxa"/>
          </w:tcPr>
          <w:p w:rsidR="0010566D" w:rsidRPr="00EF27CC" w:rsidRDefault="00A06C13" w:rsidP="00103F65">
            <w:pPr>
              <w:spacing w:line="240" w:lineRule="auto"/>
              <w:jc w:val="center"/>
              <w:rPr>
                <w:rFonts w:cs="Times New Roman"/>
              </w:rPr>
            </w:pPr>
            <w:r w:rsidRPr="00EF27CC">
              <w:rPr>
                <w:rFonts w:cs="Times New Roman"/>
              </w:rPr>
              <w:t>91.79-103.91</w:t>
            </w:r>
          </w:p>
        </w:tc>
      </w:tr>
      <w:tr w:rsidR="0010566D" w:rsidRPr="00EF27CC" w:rsidTr="00103F65">
        <w:trPr>
          <w:jc w:val="center"/>
        </w:trPr>
        <w:tc>
          <w:tcPr>
            <w:tcW w:w="1676" w:type="dxa"/>
            <w:vAlign w:val="bottom"/>
          </w:tcPr>
          <w:p w:rsidR="0010566D" w:rsidRPr="00EF27CC" w:rsidRDefault="00A06C13" w:rsidP="00103F65">
            <w:pPr>
              <w:spacing w:line="240" w:lineRule="auto"/>
              <w:rPr>
                <w:b/>
              </w:rPr>
            </w:pPr>
            <w:r w:rsidRPr="00EF27CC">
              <w:rPr>
                <w:b/>
              </w:rPr>
              <w:t>Cmax</w:t>
            </w:r>
          </w:p>
        </w:tc>
        <w:tc>
          <w:tcPr>
            <w:tcW w:w="1794" w:type="dxa"/>
          </w:tcPr>
          <w:p w:rsidR="0010566D" w:rsidRPr="00EF27CC" w:rsidRDefault="00A06C13" w:rsidP="00103F65">
            <w:pPr>
              <w:spacing w:line="240" w:lineRule="auto"/>
              <w:jc w:val="center"/>
              <w:rPr>
                <w:rFonts w:cs="Times New Roman"/>
              </w:rPr>
            </w:pPr>
            <w:r w:rsidRPr="00EF27CC">
              <w:rPr>
                <w:rFonts w:cs="Times New Roman"/>
              </w:rPr>
              <w:t xml:space="preserve">1380.56 </w:t>
            </w:r>
          </w:p>
        </w:tc>
        <w:tc>
          <w:tcPr>
            <w:tcW w:w="2052" w:type="dxa"/>
          </w:tcPr>
          <w:p w:rsidR="0010566D" w:rsidRPr="00EF27CC" w:rsidRDefault="00A06C13" w:rsidP="00103F65">
            <w:pPr>
              <w:spacing w:line="240" w:lineRule="auto"/>
              <w:jc w:val="center"/>
              <w:rPr>
                <w:rFonts w:cs="Times New Roman"/>
              </w:rPr>
            </w:pPr>
            <w:r w:rsidRPr="00EF27CC">
              <w:rPr>
                <w:rFonts w:cs="Times New Roman"/>
              </w:rPr>
              <w:t>1454.14</w:t>
            </w:r>
          </w:p>
        </w:tc>
        <w:tc>
          <w:tcPr>
            <w:tcW w:w="1950" w:type="dxa"/>
          </w:tcPr>
          <w:p w:rsidR="0010566D" w:rsidRPr="00EF27CC" w:rsidRDefault="00A06C13" w:rsidP="00103F65">
            <w:pPr>
              <w:spacing w:line="240" w:lineRule="auto"/>
              <w:jc w:val="center"/>
              <w:rPr>
                <w:rFonts w:cs="Times New Roman"/>
              </w:rPr>
            </w:pPr>
            <w:r w:rsidRPr="00EF27CC">
              <w:rPr>
                <w:rFonts w:cs="Times New Roman"/>
              </w:rPr>
              <w:t>94.93</w:t>
            </w:r>
          </w:p>
        </w:tc>
        <w:tc>
          <w:tcPr>
            <w:tcW w:w="1936" w:type="dxa"/>
          </w:tcPr>
          <w:p w:rsidR="0010566D" w:rsidRPr="00EF27CC" w:rsidRDefault="00A06C13" w:rsidP="00103F65">
            <w:pPr>
              <w:spacing w:line="240" w:lineRule="auto"/>
              <w:jc w:val="center"/>
              <w:rPr>
                <w:rFonts w:cs="Times New Roman"/>
              </w:rPr>
            </w:pPr>
            <w:r w:rsidRPr="00EF27CC">
              <w:rPr>
                <w:rFonts w:cs="Times New Roman"/>
              </w:rPr>
              <w:t>88.16-102.24</w:t>
            </w:r>
          </w:p>
        </w:tc>
      </w:tr>
    </w:tbl>
    <w:p w:rsidR="0010566D" w:rsidRPr="00EF27CC" w:rsidRDefault="0010566D" w:rsidP="0010566D">
      <w:pPr>
        <w:pStyle w:val="Paragrafoelenco"/>
        <w:spacing w:after="0" w:line="240" w:lineRule="auto"/>
        <w:ind w:left="0"/>
        <w:jc w:val="both"/>
        <w:rPr>
          <w:u w:val="single"/>
        </w:rPr>
      </w:pPr>
    </w:p>
    <w:p w:rsidR="0010566D" w:rsidRPr="00EF27CC" w:rsidRDefault="0010566D" w:rsidP="0010566D">
      <w:pPr>
        <w:pStyle w:val="Paragrafoelenco"/>
        <w:spacing w:after="0" w:line="240" w:lineRule="auto"/>
        <w:ind w:left="0"/>
        <w:jc w:val="both"/>
        <w:rPr>
          <w:u w:val="single"/>
        </w:rPr>
      </w:pPr>
    </w:p>
    <w:p w:rsidR="005A3A55" w:rsidRPr="00EF27CC" w:rsidRDefault="00A06C13" w:rsidP="005A3A55">
      <w:pPr>
        <w:spacing w:line="240" w:lineRule="auto"/>
      </w:pPr>
      <w:r w:rsidRPr="00EF27CC">
        <w:rPr>
          <w:i/>
        </w:rPr>
        <w:t>Conclusioni sulla bioequivalenza</w:t>
      </w:r>
      <w:r w:rsidRPr="00EF27CC">
        <w:t>.</w:t>
      </w:r>
    </w:p>
    <w:p w:rsidR="007B4DEE" w:rsidRDefault="00A06C13" w:rsidP="005A3A55">
      <w:pPr>
        <w:spacing w:after="0" w:line="240" w:lineRule="auto"/>
        <w:rPr>
          <w:rFonts w:cs="Arial"/>
          <w:i/>
        </w:rPr>
      </w:pPr>
      <w:r w:rsidRPr="00EF27CC">
        <w:t>I risultati degli studi di bioequivalenza mostrano che gli intervalli di confidenza dei parametri farmacocinetici studiati cadono nel range di accettabilità di 80-125%, in accordo con le linee guida correnti.</w:t>
      </w:r>
    </w:p>
    <w:p w:rsidR="002C637F" w:rsidRPr="00386496" w:rsidRDefault="00BB4DA2" w:rsidP="005A3A55">
      <w:pPr>
        <w:spacing w:after="0" w:line="240" w:lineRule="auto"/>
        <w:rPr>
          <w:rFonts w:cs="Arial"/>
        </w:rPr>
      </w:pPr>
      <w:r>
        <w:rPr>
          <w:rFonts w:cs="Arial"/>
          <w:i/>
        </w:rPr>
        <w:t xml:space="preserve"> </w:t>
      </w:r>
    </w:p>
    <w:p w:rsidR="00F22BED" w:rsidRPr="000B3C59" w:rsidRDefault="00F22BED" w:rsidP="00F22BED">
      <w:pPr>
        <w:spacing w:after="0" w:line="240" w:lineRule="auto"/>
        <w:jc w:val="both"/>
        <w:rPr>
          <w:rFonts w:cs="Arial"/>
          <w:b/>
        </w:rPr>
      </w:pPr>
      <w:r w:rsidRPr="000B3C59">
        <w:rPr>
          <w:rFonts w:cs="Arial"/>
          <w:b/>
        </w:rPr>
        <w:t>Efficacia e sicurezza clinica</w:t>
      </w:r>
    </w:p>
    <w:p w:rsidR="00F22BED" w:rsidRPr="00D1324F" w:rsidRDefault="00F22BED" w:rsidP="00F22BED">
      <w:pPr>
        <w:spacing w:after="0" w:line="240" w:lineRule="auto"/>
        <w:jc w:val="both"/>
        <w:rPr>
          <w:rFonts w:cs="Arial"/>
        </w:rPr>
      </w:pPr>
      <w:r>
        <w:rPr>
          <w:rFonts w:cs="Arial"/>
        </w:rPr>
        <w:t xml:space="preserve">Non sono stati presentati nuovi dati di efficacia e sicurezza clinica: il profilo di sicurezza e l’efficacia del principio attivo di </w:t>
      </w:r>
      <w:r w:rsidR="00074E7C">
        <w:rPr>
          <w:rFonts w:cs="Arial"/>
        </w:rPr>
        <w:t>AMOCLA</w:t>
      </w:r>
      <w:r w:rsidR="008437AA" w:rsidRPr="008437AA">
        <w:rPr>
          <w:rFonts w:cs="Arial"/>
        </w:rPr>
        <w:t xml:space="preserve"> </w:t>
      </w:r>
      <w:r>
        <w:rPr>
          <w:rFonts w:cs="Arial"/>
        </w:rPr>
        <w:t>è ben conosciuto</w:t>
      </w:r>
      <w:r w:rsidR="005D13CC">
        <w:rPr>
          <w:rFonts w:cs="Arial"/>
        </w:rPr>
        <w:t>.</w:t>
      </w:r>
    </w:p>
    <w:p w:rsidR="007C68D2" w:rsidRPr="00B32D81"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Piano di Valutazione del Rischio (</w:t>
      </w:r>
      <w:r w:rsidRPr="00B32D81">
        <w:rPr>
          <w:b/>
          <w:i/>
        </w:rPr>
        <w:t>Risk Management Plan</w:t>
      </w:r>
      <w:r w:rsidRPr="00B32D81">
        <w:rPr>
          <w:b/>
        </w:rPr>
        <w:t xml:space="preserve"> - RMP)</w:t>
      </w:r>
    </w:p>
    <w:p w:rsidR="00C051DB" w:rsidRDefault="007C68D2" w:rsidP="00C051DB">
      <w:pPr>
        <w:pStyle w:val="Paragrafoelenco"/>
        <w:spacing w:after="0" w:line="240" w:lineRule="auto"/>
        <w:ind w:left="0"/>
        <w:jc w:val="both"/>
      </w:pPr>
      <w:r w:rsidRPr="00B32D81">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074E7C">
        <w:t>AMOCLA</w:t>
      </w:r>
      <w:r w:rsidRPr="00B32D81">
        <w:t>.</w:t>
      </w:r>
      <w:r w:rsidR="008437AA">
        <w:t xml:space="preserve"> </w:t>
      </w:r>
      <w:r w:rsidR="00C051DB" w:rsidRPr="00B32D81">
        <w:t xml:space="preserve">Il riassunto delle problematiche di sicurezza </w:t>
      </w:r>
      <w:r w:rsidR="005971FB" w:rsidRPr="00FE17AD">
        <w:t>è riportato</w:t>
      </w:r>
      <w:r w:rsidR="00C051DB" w:rsidRPr="00FE17AD">
        <w:t xml:space="preserve"> nella tabella seguente.</w:t>
      </w:r>
    </w:p>
    <w:p w:rsidR="00BB4DA2" w:rsidRDefault="00BB4DA2" w:rsidP="00C051DB">
      <w:pPr>
        <w:pStyle w:val="Paragrafoelenco"/>
        <w:spacing w:after="0" w:line="240" w:lineRule="auto"/>
        <w:ind w:left="0"/>
        <w:jc w:val="both"/>
      </w:pPr>
    </w:p>
    <w:tbl>
      <w:tblPr>
        <w:tblStyle w:val="Grigliatabella"/>
        <w:tblW w:w="0" w:type="auto"/>
        <w:tblLook w:val="04A0"/>
      </w:tblPr>
      <w:tblGrid>
        <w:gridCol w:w="5002"/>
        <w:gridCol w:w="5002"/>
      </w:tblGrid>
      <w:tr w:rsidR="00C77C0B" w:rsidTr="00BB4DA2">
        <w:tc>
          <w:tcPr>
            <w:tcW w:w="5002" w:type="dxa"/>
            <w:vMerge w:val="restart"/>
          </w:tcPr>
          <w:p w:rsidR="00C77C0B" w:rsidRDefault="00C77C0B" w:rsidP="00C051DB">
            <w:pPr>
              <w:pStyle w:val="Paragrafoelenco"/>
              <w:ind w:left="0"/>
              <w:jc w:val="both"/>
            </w:pPr>
            <w:r>
              <w:t>Rischi identificati importanti</w:t>
            </w:r>
          </w:p>
        </w:tc>
        <w:tc>
          <w:tcPr>
            <w:tcW w:w="5002" w:type="dxa"/>
          </w:tcPr>
          <w:p w:rsidR="00C77C0B" w:rsidRDefault="00C77C0B" w:rsidP="00C051DB">
            <w:pPr>
              <w:pStyle w:val="Paragrafoelenco"/>
              <w:ind w:left="0"/>
              <w:jc w:val="both"/>
            </w:pPr>
            <w:r>
              <w:t>Colite associata agli antibiotici</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Danno renale e rischio di convulsioni</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Interazione con anticoagulanti orali</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Pazienti con ridotta escrezione di urine</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Falsi positivi dei risultati di laboratorio</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Reazioni allergiche cutanee gravi (inclusa la pustolosi esantematica acuta generalizzata - AGEP)</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Reazioni di ipersensibilità alle penicilline e storia di ipersensibilità immediata ad altro beta-lattamico (cefalosporine, carbapenem, monobactam)</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Compromissione epatica e storia di compromissione epatica dovuta a amoxicillina/acido clavulanico</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051DB">
            <w:pPr>
              <w:pStyle w:val="Paragrafoelenco"/>
              <w:ind w:left="0"/>
              <w:jc w:val="both"/>
            </w:pPr>
            <w:r>
              <w:t>Reazioni avverse al farmaco (ADR) ematologiche (leucopenia, agranulocitosi)</w:t>
            </w:r>
          </w:p>
        </w:tc>
      </w:tr>
      <w:tr w:rsidR="00C77C0B" w:rsidTr="00BB4DA2">
        <w:tc>
          <w:tcPr>
            <w:tcW w:w="5002" w:type="dxa"/>
            <w:vMerge/>
          </w:tcPr>
          <w:p w:rsidR="00C77C0B" w:rsidRDefault="00C77C0B" w:rsidP="00C051DB">
            <w:pPr>
              <w:pStyle w:val="Paragrafoelenco"/>
              <w:ind w:left="0"/>
              <w:jc w:val="both"/>
            </w:pPr>
          </w:p>
        </w:tc>
        <w:tc>
          <w:tcPr>
            <w:tcW w:w="5002" w:type="dxa"/>
          </w:tcPr>
          <w:p w:rsidR="00C77C0B" w:rsidRDefault="00C77C0B" w:rsidP="00C77C0B">
            <w:pPr>
              <w:pStyle w:val="Paragrafoelenco"/>
              <w:ind w:left="0"/>
              <w:jc w:val="both"/>
            </w:pPr>
            <w:r>
              <w:t>Insorgenza di rash morbilliforme se l’amoxicillina/acido clavulanico è usato nella mononucleosi infettiva</w:t>
            </w:r>
          </w:p>
        </w:tc>
      </w:tr>
      <w:tr w:rsidR="004A6A70" w:rsidTr="00BB4DA2">
        <w:tc>
          <w:tcPr>
            <w:tcW w:w="5002" w:type="dxa"/>
            <w:vMerge w:val="restart"/>
          </w:tcPr>
          <w:p w:rsidR="004A6A70" w:rsidRDefault="004A6A70" w:rsidP="00C051DB">
            <w:pPr>
              <w:pStyle w:val="Paragrafoelenco"/>
              <w:ind w:left="0"/>
              <w:jc w:val="both"/>
            </w:pPr>
            <w:r>
              <w:t>Rischi importanti potenziali</w:t>
            </w:r>
          </w:p>
        </w:tc>
        <w:tc>
          <w:tcPr>
            <w:tcW w:w="5002" w:type="dxa"/>
          </w:tcPr>
          <w:p w:rsidR="004A6A70" w:rsidRDefault="004A6A70" w:rsidP="00C051DB">
            <w:pPr>
              <w:pStyle w:val="Paragrafoelenco"/>
              <w:ind w:left="0"/>
              <w:jc w:val="both"/>
            </w:pPr>
            <w:r w:rsidRPr="004A6A70">
              <w:t>Proliferazione di organismi non sensibili e antibiotico resistenza – uso prolungato</w:t>
            </w:r>
          </w:p>
        </w:tc>
      </w:tr>
      <w:tr w:rsidR="004A6A70" w:rsidTr="00BB4DA2">
        <w:tc>
          <w:tcPr>
            <w:tcW w:w="5002" w:type="dxa"/>
            <w:vMerge/>
          </w:tcPr>
          <w:p w:rsidR="004A6A70" w:rsidRDefault="004A6A70" w:rsidP="00C051DB">
            <w:pPr>
              <w:pStyle w:val="Paragrafoelenco"/>
              <w:ind w:left="0"/>
              <w:jc w:val="both"/>
            </w:pPr>
          </w:p>
        </w:tc>
        <w:tc>
          <w:tcPr>
            <w:tcW w:w="5002" w:type="dxa"/>
          </w:tcPr>
          <w:p w:rsidR="004A6A70" w:rsidRDefault="004A6A70" w:rsidP="00C051DB">
            <w:pPr>
              <w:pStyle w:val="Paragrafoelenco"/>
              <w:ind w:left="0"/>
              <w:jc w:val="both"/>
            </w:pPr>
            <w:r>
              <w:t>Uso concomitante con allopurinolo</w:t>
            </w:r>
          </w:p>
        </w:tc>
      </w:tr>
      <w:tr w:rsidR="004A6A70" w:rsidTr="00BB4DA2">
        <w:tc>
          <w:tcPr>
            <w:tcW w:w="5002" w:type="dxa"/>
            <w:vMerge/>
          </w:tcPr>
          <w:p w:rsidR="004A6A70" w:rsidRDefault="004A6A70" w:rsidP="00C051DB">
            <w:pPr>
              <w:pStyle w:val="Paragrafoelenco"/>
              <w:ind w:left="0"/>
              <w:jc w:val="both"/>
            </w:pPr>
          </w:p>
        </w:tc>
        <w:tc>
          <w:tcPr>
            <w:tcW w:w="5002" w:type="dxa"/>
          </w:tcPr>
          <w:p w:rsidR="004A6A70" w:rsidRDefault="004A6A70" w:rsidP="00C051DB">
            <w:pPr>
              <w:pStyle w:val="Paragrafoelenco"/>
              <w:ind w:left="0"/>
              <w:jc w:val="both"/>
            </w:pPr>
            <w:r w:rsidRPr="00AB7F9A">
              <w:t>Uso concomitante con</w:t>
            </w:r>
            <w:r>
              <w:t xml:space="preserve"> metotressato</w:t>
            </w:r>
          </w:p>
        </w:tc>
      </w:tr>
      <w:tr w:rsidR="004A6A70" w:rsidTr="00BB4DA2">
        <w:tc>
          <w:tcPr>
            <w:tcW w:w="5002" w:type="dxa"/>
            <w:vMerge/>
          </w:tcPr>
          <w:p w:rsidR="004A6A70" w:rsidRDefault="004A6A70" w:rsidP="00C051DB">
            <w:pPr>
              <w:pStyle w:val="Paragrafoelenco"/>
              <w:ind w:left="0"/>
              <w:jc w:val="both"/>
            </w:pPr>
          </w:p>
        </w:tc>
        <w:tc>
          <w:tcPr>
            <w:tcW w:w="5002" w:type="dxa"/>
          </w:tcPr>
          <w:p w:rsidR="004A6A70" w:rsidRDefault="004A6A70" w:rsidP="00C051DB">
            <w:pPr>
              <w:pStyle w:val="Paragrafoelenco"/>
              <w:ind w:left="0"/>
              <w:jc w:val="both"/>
            </w:pPr>
            <w:r>
              <w:t>Uso concomitante con probenecid</w:t>
            </w:r>
          </w:p>
        </w:tc>
      </w:tr>
      <w:tr w:rsidR="004A6A70" w:rsidTr="00BB4DA2">
        <w:tc>
          <w:tcPr>
            <w:tcW w:w="5002" w:type="dxa"/>
            <w:vMerge/>
          </w:tcPr>
          <w:p w:rsidR="004A6A70" w:rsidRDefault="004A6A70" w:rsidP="00C051DB">
            <w:pPr>
              <w:pStyle w:val="Paragrafoelenco"/>
              <w:ind w:left="0"/>
              <w:jc w:val="both"/>
            </w:pPr>
          </w:p>
        </w:tc>
        <w:tc>
          <w:tcPr>
            <w:tcW w:w="5002" w:type="dxa"/>
          </w:tcPr>
          <w:p w:rsidR="004A6A70" w:rsidRDefault="004A6A70" w:rsidP="004A6A70">
            <w:pPr>
              <w:pStyle w:val="Paragrafoelenco"/>
              <w:ind w:left="0"/>
              <w:jc w:val="both"/>
            </w:pPr>
            <w:r>
              <w:t>Aumentato rischio di enterocolite necrotizzante (quando amoxicillina/aci</w:t>
            </w:r>
            <w:bookmarkStart w:id="1" w:name="_GoBack"/>
            <w:bookmarkEnd w:id="1"/>
            <w:r>
              <w:t>do clavulanico è usato in profilassi nelle donne con parto pre-termine o rottura prematura della membrana fetale)</w:t>
            </w:r>
          </w:p>
        </w:tc>
      </w:tr>
      <w:tr w:rsidR="00C77C0B" w:rsidTr="00BB4DA2">
        <w:tc>
          <w:tcPr>
            <w:tcW w:w="5002" w:type="dxa"/>
            <w:vMerge w:val="restart"/>
          </w:tcPr>
          <w:p w:rsidR="00C77C0B" w:rsidRDefault="00C77C0B" w:rsidP="00C051DB">
            <w:pPr>
              <w:pStyle w:val="Paragrafoelenco"/>
              <w:ind w:left="0"/>
              <w:jc w:val="both"/>
            </w:pPr>
            <w:r>
              <w:t>Informazioni mancanti</w:t>
            </w:r>
          </w:p>
        </w:tc>
        <w:tc>
          <w:tcPr>
            <w:tcW w:w="5002" w:type="dxa"/>
          </w:tcPr>
          <w:p w:rsidR="00C77C0B" w:rsidRDefault="004A6A70" w:rsidP="00C051DB">
            <w:pPr>
              <w:pStyle w:val="Paragrafoelenco"/>
              <w:ind w:left="0"/>
              <w:jc w:val="both"/>
            </w:pPr>
            <w:r>
              <w:t>Esposizione in Gravidanza</w:t>
            </w:r>
          </w:p>
        </w:tc>
      </w:tr>
      <w:tr w:rsidR="004A6A70" w:rsidTr="00BB4DA2">
        <w:tc>
          <w:tcPr>
            <w:tcW w:w="5002" w:type="dxa"/>
            <w:vMerge/>
          </w:tcPr>
          <w:p w:rsidR="004A6A70" w:rsidRDefault="004A6A70" w:rsidP="00C051DB">
            <w:pPr>
              <w:pStyle w:val="Paragrafoelenco"/>
              <w:ind w:left="0"/>
              <w:jc w:val="both"/>
            </w:pPr>
          </w:p>
        </w:tc>
        <w:tc>
          <w:tcPr>
            <w:tcW w:w="5002" w:type="dxa"/>
          </w:tcPr>
          <w:p w:rsidR="004A6A70" w:rsidRDefault="004A6A70" w:rsidP="00C051DB">
            <w:pPr>
              <w:pStyle w:val="Paragrafoelenco"/>
              <w:ind w:left="0"/>
              <w:jc w:val="both"/>
            </w:pPr>
            <w:r>
              <w:t>Esposiazione attraverso latte umano</w:t>
            </w:r>
          </w:p>
        </w:tc>
      </w:tr>
      <w:tr w:rsidR="004A6A70" w:rsidTr="004A6A70">
        <w:trPr>
          <w:trHeight w:val="271"/>
        </w:trPr>
        <w:tc>
          <w:tcPr>
            <w:tcW w:w="5002" w:type="dxa"/>
            <w:vMerge/>
          </w:tcPr>
          <w:p w:rsidR="004A6A70" w:rsidRDefault="004A6A70" w:rsidP="00C051DB">
            <w:pPr>
              <w:pStyle w:val="Paragrafoelenco"/>
              <w:ind w:left="0"/>
              <w:jc w:val="both"/>
            </w:pPr>
          </w:p>
        </w:tc>
        <w:tc>
          <w:tcPr>
            <w:tcW w:w="5002" w:type="dxa"/>
          </w:tcPr>
          <w:p w:rsidR="004A6A70" w:rsidRDefault="004A6A70" w:rsidP="00C051DB">
            <w:pPr>
              <w:pStyle w:val="Paragrafoelenco"/>
              <w:ind w:left="0"/>
              <w:jc w:val="both"/>
            </w:pPr>
            <w:r>
              <w:t>Rapporti 7:1 e 14:1 nei dosaggi di amoxicillina/acido clavulanico in pazienti con danno renale con clearance di creatinina inferiore a 30 ml/min.</w:t>
            </w:r>
          </w:p>
        </w:tc>
      </w:tr>
    </w:tbl>
    <w:p w:rsidR="00BB4DA2" w:rsidRDefault="00BB4DA2" w:rsidP="00C051DB">
      <w:pPr>
        <w:pStyle w:val="Paragrafoelenco"/>
        <w:spacing w:after="0" w:line="240" w:lineRule="auto"/>
        <w:ind w:left="0"/>
        <w:jc w:val="both"/>
      </w:pPr>
    </w:p>
    <w:p w:rsidR="00350CDB" w:rsidRDefault="00350CDB" w:rsidP="00C051DB">
      <w:pPr>
        <w:pStyle w:val="Paragrafoelenco"/>
        <w:spacing w:after="0" w:line="240" w:lineRule="auto"/>
        <w:ind w:left="0"/>
        <w:jc w:val="both"/>
      </w:pPr>
    </w:p>
    <w:p w:rsidR="00C051DB" w:rsidRPr="00FE17AD" w:rsidRDefault="00C051DB" w:rsidP="00C051DB">
      <w:pPr>
        <w:pStyle w:val="Paragrafoelenco"/>
        <w:spacing w:after="0" w:line="240" w:lineRule="auto"/>
        <w:ind w:left="0"/>
        <w:jc w:val="both"/>
      </w:pPr>
    </w:p>
    <w:p w:rsidR="007C68D2" w:rsidRPr="00B32D81" w:rsidRDefault="00B20DD0" w:rsidP="00B32D81">
      <w:pPr>
        <w:pStyle w:val="Paragrafoelenco"/>
        <w:spacing w:after="0" w:line="240" w:lineRule="auto"/>
        <w:ind w:left="0"/>
        <w:jc w:val="both"/>
      </w:pPr>
      <w:r>
        <w:t>Azioni ro</w:t>
      </w:r>
      <w:r w:rsidR="007C68D2" w:rsidRPr="00B32D81">
        <w:t>utinarie di farmacovigilanza e di minimizzazione del rischio sono proposte per tutte le problematiche di sicurezza.</w:t>
      </w:r>
      <w:r w:rsidR="008437AA">
        <w:t xml:space="preserve"> </w:t>
      </w:r>
      <w:r w:rsidR="007C68D2" w:rsidRPr="00B32D81">
        <w:t>Oltre le misure previste nel Riassunto delle caratteristiche del prodotto non sono previste attività addizionali di minimizzazione del rischio</w:t>
      </w:r>
      <w:r w:rsidR="006106D5" w:rsidRPr="00B32D81">
        <w:t>.</w:t>
      </w:r>
    </w:p>
    <w:p w:rsidR="007C68D2" w:rsidRPr="00B32D81"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Conclusioni</w:t>
      </w:r>
    </w:p>
    <w:p w:rsidR="007C68D2" w:rsidRPr="00B32D81" w:rsidRDefault="007C68D2" w:rsidP="00B32D81">
      <w:pPr>
        <w:pStyle w:val="Paragrafoelenco"/>
        <w:spacing w:after="0" w:line="240" w:lineRule="auto"/>
        <w:ind w:left="0"/>
        <w:jc w:val="both"/>
      </w:pPr>
      <w:r w:rsidRPr="00B32D81">
        <w:t xml:space="preserve">Per la richiesta di AIC di </w:t>
      </w:r>
      <w:r w:rsidR="00074E7C">
        <w:t>AMOCLA</w:t>
      </w:r>
      <w:r w:rsidR="008437AA" w:rsidRPr="008437AA">
        <w:t xml:space="preserve"> </w:t>
      </w:r>
      <w:r w:rsidRPr="00B32D81">
        <w:t>sono state presentate sufficienti informazioni cliniche.</w:t>
      </w:r>
    </w:p>
    <w:p w:rsidR="007C68D2" w:rsidRPr="00B32D81" w:rsidRDefault="007C68D2" w:rsidP="00B32D81">
      <w:pPr>
        <w:pStyle w:val="Paragrafoelenco"/>
        <w:spacing w:after="0" w:line="240" w:lineRule="auto"/>
        <w:ind w:left="0"/>
        <w:jc w:val="both"/>
      </w:pPr>
      <w:r w:rsidRPr="00B32D81">
        <w:t xml:space="preserve">Il rapporto beneficio/rischio di </w:t>
      </w:r>
      <w:r w:rsidR="00074E7C">
        <w:t>AMOCLA</w:t>
      </w:r>
      <w:r w:rsidR="008437AA" w:rsidRPr="008437AA">
        <w:t xml:space="preserve"> </w:t>
      </w:r>
      <w:r w:rsidRPr="00B32D81">
        <w:t>è considerato favorevole dal punto di vista clinico.</w:t>
      </w:r>
    </w:p>
    <w:p w:rsidR="007C68D2" w:rsidRPr="00B32D81" w:rsidRDefault="007C68D2" w:rsidP="00B32D81">
      <w:pPr>
        <w:pStyle w:val="Paragrafoelenco"/>
        <w:spacing w:after="0" w:line="240" w:lineRule="auto"/>
        <w:ind w:left="0"/>
        <w:jc w:val="both"/>
      </w:pPr>
    </w:p>
    <w:p w:rsidR="007C68D2" w:rsidRDefault="007C68D2" w:rsidP="00B32D81">
      <w:pPr>
        <w:pStyle w:val="Paragrafoelenco"/>
        <w:spacing w:after="0" w:line="240" w:lineRule="auto"/>
        <w:ind w:left="0"/>
        <w:jc w:val="both"/>
      </w:pPr>
    </w:p>
    <w:p w:rsidR="007C68D2" w:rsidRPr="00B32D81" w:rsidRDefault="007C68D2" w:rsidP="00B32D81">
      <w:pPr>
        <w:pStyle w:val="Paragrafoelenco"/>
        <w:numPr>
          <w:ilvl w:val="0"/>
          <w:numId w:val="2"/>
        </w:numPr>
        <w:spacing w:after="0" w:line="240" w:lineRule="auto"/>
        <w:jc w:val="both"/>
        <w:rPr>
          <w:b/>
        </w:rPr>
      </w:pPr>
      <w:r w:rsidRPr="00B32D81">
        <w:rPr>
          <w:b/>
        </w:rPr>
        <w:t>CONSULTAZIONE SUL FOGLIO ILLUSTRATIVO</w:t>
      </w:r>
    </w:p>
    <w:p w:rsidR="007C68D2" w:rsidRPr="00B32D81" w:rsidRDefault="007C68D2" w:rsidP="00B32D81">
      <w:pPr>
        <w:spacing w:after="0" w:line="240" w:lineRule="auto"/>
        <w:jc w:val="both"/>
      </w:pPr>
      <w:r w:rsidRPr="00B12DF7">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7C68D2" w:rsidRDefault="007C68D2" w:rsidP="00B32D81">
      <w:pPr>
        <w:spacing w:after="0" w:line="240" w:lineRule="auto"/>
        <w:jc w:val="both"/>
      </w:pPr>
    </w:p>
    <w:p w:rsidR="00F22BED" w:rsidRPr="00B32D81" w:rsidRDefault="00F22BED" w:rsidP="00B32D81">
      <w:pPr>
        <w:spacing w:after="0" w:line="240" w:lineRule="auto"/>
        <w:jc w:val="both"/>
      </w:pPr>
    </w:p>
    <w:p w:rsidR="007C68D2" w:rsidRPr="00B32D81" w:rsidRDefault="007C68D2" w:rsidP="00B32D81">
      <w:pPr>
        <w:pStyle w:val="Paragrafoelenco"/>
        <w:numPr>
          <w:ilvl w:val="0"/>
          <w:numId w:val="2"/>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jc w:val="both"/>
      </w:pPr>
      <w:r w:rsidRPr="00B32D81">
        <w:t xml:space="preserve">La qualità di </w:t>
      </w:r>
      <w:r w:rsidR="00074E7C">
        <w:t>AMOCLA</w:t>
      </w:r>
      <w:r w:rsidR="009E412F" w:rsidRPr="009E412F">
        <w:t xml:space="preserve"> </w:t>
      </w:r>
      <w:r w:rsidRPr="00B32D81">
        <w:t>è accettabile e non sono state rilevate criticità da un punto di vista non clinico e clinico.</w:t>
      </w:r>
    </w:p>
    <w:p w:rsidR="009E412F" w:rsidRDefault="00F54633" w:rsidP="009E412F">
      <w:pPr>
        <w:spacing w:after="0" w:line="240" w:lineRule="auto"/>
        <w:jc w:val="both"/>
      </w:pPr>
      <w:r>
        <w:rPr>
          <w:rFonts w:ascii="Calibri" w:eastAsia="Calibri" w:hAnsi="Calibri" w:cs="Times New Roman"/>
        </w:rPr>
        <w:t xml:space="preserve">La bioequivalenza di Amocla rispetto al medicinale di riferimento Augmentin è stata dimostrata per tutti i dosaggi e le forme farmaceutiche proposte. </w:t>
      </w:r>
    </w:p>
    <w:p w:rsidR="007C68D2" w:rsidRPr="00B32D81" w:rsidRDefault="007C68D2" w:rsidP="00B32D81">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lang w:eastAsia="it-IT"/>
        </w:rPr>
        <w:t>(</w:t>
      </w:r>
      <w:hyperlink r:id="rId11" w:history="1">
        <w:r w:rsidRPr="00B32D81">
          <w:rPr>
            <w:rStyle w:val="Collegamentoipertestuale"/>
            <w:rFonts w:eastAsia="Calibri" w:cs="Calibri"/>
          </w:rPr>
          <w:t>https://farmaci.agenziafarmaco.gov.it/bancadatifarmaci</w:t>
        </w:r>
      </w:hyperlink>
      <w:r w:rsidRPr="00B32D81">
        <w:rPr>
          <w:rFonts w:eastAsia="Calibri" w:cs="Calibri"/>
          <w:lang w:eastAsia="it-IT"/>
        </w:rPr>
        <w:t>).</w:t>
      </w:r>
      <w:r w:rsidRPr="00B32D81">
        <w:t xml:space="preserve"> </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sectPr w:rsidR="007C68D2" w:rsidRPr="00B32D81" w:rsidSect="001C7AD0">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ADF"/>
    <w:multiLevelType w:val="hybridMultilevel"/>
    <w:tmpl w:val="6DCED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885F4B"/>
    <w:multiLevelType w:val="hybridMultilevel"/>
    <w:tmpl w:val="3196D92C"/>
    <w:lvl w:ilvl="0" w:tplc="4420036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4C7958"/>
    <w:multiLevelType w:val="hybridMultilevel"/>
    <w:tmpl w:val="DA7C7ED6"/>
    <w:lvl w:ilvl="0" w:tplc="EE20CB6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70402C6"/>
    <w:multiLevelType w:val="hybridMultilevel"/>
    <w:tmpl w:val="05F83450"/>
    <w:lvl w:ilvl="0" w:tplc="EB20B7BA">
      <w:numFmt w:val="bullet"/>
      <w:lvlText w:val="-"/>
      <w:lvlJc w:val="left"/>
      <w:pPr>
        <w:ind w:left="720" w:hanging="360"/>
      </w:pPr>
      <w:rPr>
        <w:rFonts w:ascii="Times New Roman" w:eastAsia="Times New Roman"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7B044B6"/>
    <w:multiLevelType w:val="hybridMultilevel"/>
    <w:tmpl w:val="78921E42"/>
    <w:lvl w:ilvl="0" w:tplc="04100001">
      <w:start w:val="1"/>
      <w:numFmt w:val="bullet"/>
      <w:lvlText w:val=""/>
      <w:lvlJc w:val="left"/>
      <w:pPr>
        <w:tabs>
          <w:tab w:val="num" w:pos="1146"/>
        </w:tabs>
        <w:ind w:left="1146"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7">
    <w:nsid w:val="334D4459"/>
    <w:multiLevelType w:val="hybridMultilevel"/>
    <w:tmpl w:val="552C0E56"/>
    <w:lvl w:ilvl="0" w:tplc="37CAA2CE">
      <w:start w:val="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6BE2FC0"/>
    <w:multiLevelType w:val="hybridMultilevel"/>
    <w:tmpl w:val="1312F1E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5A4B4223"/>
    <w:multiLevelType w:val="hybridMultilevel"/>
    <w:tmpl w:val="6470902C"/>
    <w:lvl w:ilvl="0" w:tplc="5BBA4B3A">
      <w:start w:val="1"/>
      <w:numFmt w:val="bullet"/>
      <w:lvlText w:val="-"/>
      <w:lvlJc w:val="left"/>
      <w:pPr>
        <w:ind w:left="720" w:hanging="360"/>
      </w:pPr>
      <w:rPr>
        <w:rFonts w:ascii="Calibri" w:eastAsiaTheme="minorHAnsi" w:hAnsi="Calibri" w:cs="Times New Roman"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2"/>
  </w:num>
  <w:num w:numId="5">
    <w:abstractNumId w:val="10"/>
  </w:num>
  <w:num w:numId="6">
    <w:abstractNumId w:val="7"/>
  </w:num>
  <w:num w:numId="7">
    <w:abstractNumId w:val="8"/>
  </w:num>
  <w:num w:numId="8">
    <w:abstractNumId w:val="5"/>
  </w:num>
  <w:num w:numId="9">
    <w:abstractNumId w:val="3"/>
  </w:num>
  <w:num w:numId="10">
    <w:abstractNumId w:val="1"/>
  </w:num>
  <w:num w:numId="11">
    <w:abstractNumId w:val="6"/>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 Farmaci e Salute">
    <w15:presenceInfo w15:providerId="Windows Live" w15:userId="19cbeda6922f742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283"/>
  <w:characterSpacingControl w:val="doNotCompress"/>
  <w:compat/>
  <w:rsids>
    <w:rsidRoot w:val="004241AC"/>
    <w:rsid w:val="00013020"/>
    <w:rsid w:val="00032587"/>
    <w:rsid w:val="00040526"/>
    <w:rsid w:val="00051D76"/>
    <w:rsid w:val="00053B3F"/>
    <w:rsid w:val="00062636"/>
    <w:rsid w:val="00064299"/>
    <w:rsid w:val="00070A74"/>
    <w:rsid w:val="000725FF"/>
    <w:rsid w:val="00074E7C"/>
    <w:rsid w:val="00092BAB"/>
    <w:rsid w:val="000B6CEA"/>
    <w:rsid w:val="000D3DA6"/>
    <w:rsid w:val="000D71E8"/>
    <w:rsid w:val="000E0C85"/>
    <w:rsid w:val="0010566D"/>
    <w:rsid w:val="00110EEB"/>
    <w:rsid w:val="0011520C"/>
    <w:rsid w:val="0012124D"/>
    <w:rsid w:val="00151E0A"/>
    <w:rsid w:val="00156285"/>
    <w:rsid w:val="001750E4"/>
    <w:rsid w:val="00182C9C"/>
    <w:rsid w:val="00184758"/>
    <w:rsid w:val="00186D72"/>
    <w:rsid w:val="00194530"/>
    <w:rsid w:val="001A07F0"/>
    <w:rsid w:val="001B67E5"/>
    <w:rsid w:val="001C7AD0"/>
    <w:rsid w:val="001D06ED"/>
    <w:rsid w:val="001E6EA4"/>
    <w:rsid w:val="001E6F35"/>
    <w:rsid w:val="001F0970"/>
    <w:rsid w:val="00213B3A"/>
    <w:rsid w:val="0021636C"/>
    <w:rsid w:val="002349D8"/>
    <w:rsid w:val="00240F4C"/>
    <w:rsid w:val="00252A0E"/>
    <w:rsid w:val="00255431"/>
    <w:rsid w:val="00256B5A"/>
    <w:rsid w:val="002833EC"/>
    <w:rsid w:val="00283953"/>
    <w:rsid w:val="00293095"/>
    <w:rsid w:val="00296924"/>
    <w:rsid w:val="002C389F"/>
    <w:rsid w:val="002C472F"/>
    <w:rsid w:val="002C637F"/>
    <w:rsid w:val="002C6868"/>
    <w:rsid w:val="002D71A8"/>
    <w:rsid w:val="002E130E"/>
    <w:rsid w:val="00307DD6"/>
    <w:rsid w:val="00310B73"/>
    <w:rsid w:val="003134F6"/>
    <w:rsid w:val="003167B4"/>
    <w:rsid w:val="00322BF5"/>
    <w:rsid w:val="00326548"/>
    <w:rsid w:val="0032701C"/>
    <w:rsid w:val="00342A0B"/>
    <w:rsid w:val="00345502"/>
    <w:rsid w:val="00347A18"/>
    <w:rsid w:val="00350CDB"/>
    <w:rsid w:val="00353318"/>
    <w:rsid w:val="00356C29"/>
    <w:rsid w:val="0036392F"/>
    <w:rsid w:val="00364C44"/>
    <w:rsid w:val="0036781E"/>
    <w:rsid w:val="0038218C"/>
    <w:rsid w:val="003A0AA5"/>
    <w:rsid w:val="003A5623"/>
    <w:rsid w:val="003A6FA1"/>
    <w:rsid w:val="003D4AC2"/>
    <w:rsid w:val="003D5E5E"/>
    <w:rsid w:val="003E2826"/>
    <w:rsid w:val="003F4952"/>
    <w:rsid w:val="003F5446"/>
    <w:rsid w:val="004015D9"/>
    <w:rsid w:val="00403249"/>
    <w:rsid w:val="004171F6"/>
    <w:rsid w:val="004241AC"/>
    <w:rsid w:val="00424DDF"/>
    <w:rsid w:val="004349A2"/>
    <w:rsid w:val="0045169D"/>
    <w:rsid w:val="00452444"/>
    <w:rsid w:val="00467B27"/>
    <w:rsid w:val="004708AC"/>
    <w:rsid w:val="00475935"/>
    <w:rsid w:val="00480244"/>
    <w:rsid w:val="00494CCF"/>
    <w:rsid w:val="004960F4"/>
    <w:rsid w:val="004A3172"/>
    <w:rsid w:val="004A3408"/>
    <w:rsid w:val="004A6A70"/>
    <w:rsid w:val="004B20A8"/>
    <w:rsid w:val="004B69C4"/>
    <w:rsid w:val="004C0764"/>
    <w:rsid w:val="004C100C"/>
    <w:rsid w:val="004C2B07"/>
    <w:rsid w:val="004E106E"/>
    <w:rsid w:val="00502AB1"/>
    <w:rsid w:val="00512471"/>
    <w:rsid w:val="00512522"/>
    <w:rsid w:val="00520FDC"/>
    <w:rsid w:val="005276B9"/>
    <w:rsid w:val="005368CE"/>
    <w:rsid w:val="0055120E"/>
    <w:rsid w:val="005536D0"/>
    <w:rsid w:val="00556648"/>
    <w:rsid w:val="00564F57"/>
    <w:rsid w:val="00577B78"/>
    <w:rsid w:val="005820A7"/>
    <w:rsid w:val="00587D0E"/>
    <w:rsid w:val="00590665"/>
    <w:rsid w:val="00594CD5"/>
    <w:rsid w:val="005971FB"/>
    <w:rsid w:val="005A2741"/>
    <w:rsid w:val="005A2B9B"/>
    <w:rsid w:val="005A2DC6"/>
    <w:rsid w:val="005A3A55"/>
    <w:rsid w:val="005B446C"/>
    <w:rsid w:val="005D13CC"/>
    <w:rsid w:val="005D53B9"/>
    <w:rsid w:val="005E265A"/>
    <w:rsid w:val="005F2D30"/>
    <w:rsid w:val="0060553B"/>
    <w:rsid w:val="006058B8"/>
    <w:rsid w:val="006063E6"/>
    <w:rsid w:val="006106D5"/>
    <w:rsid w:val="0061374D"/>
    <w:rsid w:val="0062597F"/>
    <w:rsid w:val="006312EE"/>
    <w:rsid w:val="00631675"/>
    <w:rsid w:val="00633428"/>
    <w:rsid w:val="006378A8"/>
    <w:rsid w:val="00651405"/>
    <w:rsid w:val="00655AE3"/>
    <w:rsid w:val="00665921"/>
    <w:rsid w:val="00674664"/>
    <w:rsid w:val="0068214B"/>
    <w:rsid w:val="006831C7"/>
    <w:rsid w:val="006959E3"/>
    <w:rsid w:val="006B5DF8"/>
    <w:rsid w:val="006C3065"/>
    <w:rsid w:val="006C34C0"/>
    <w:rsid w:val="006E0162"/>
    <w:rsid w:val="00700F7D"/>
    <w:rsid w:val="00716EE9"/>
    <w:rsid w:val="00735DD8"/>
    <w:rsid w:val="00745D5C"/>
    <w:rsid w:val="00747E5B"/>
    <w:rsid w:val="00762D88"/>
    <w:rsid w:val="007935FE"/>
    <w:rsid w:val="007B00CF"/>
    <w:rsid w:val="007B4DEE"/>
    <w:rsid w:val="007C5380"/>
    <w:rsid w:val="007C68D2"/>
    <w:rsid w:val="007D4C35"/>
    <w:rsid w:val="007D68A8"/>
    <w:rsid w:val="0083545D"/>
    <w:rsid w:val="008437AA"/>
    <w:rsid w:val="00852838"/>
    <w:rsid w:val="008547E9"/>
    <w:rsid w:val="0085564B"/>
    <w:rsid w:val="00856A2D"/>
    <w:rsid w:val="00864960"/>
    <w:rsid w:val="00867ED3"/>
    <w:rsid w:val="0087132D"/>
    <w:rsid w:val="00874568"/>
    <w:rsid w:val="008A24CC"/>
    <w:rsid w:val="008D0D75"/>
    <w:rsid w:val="00900DAA"/>
    <w:rsid w:val="00906180"/>
    <w:rsid w:val="00915A40"/>
    <w:rsid w:val="00950211"/>
    <w:rsid w:val="00972C6A"/>
    <w:rsid w:val="00982EDD"/>
    <w:rsid w:val="009A039C"/>
    <w:rsid w:val="009A1E3E"/>
    <w:rsid w:val="009A260F"/>
    <w:rsid w:val="009A3BA6"/>
    <w:rsid w:val="009A642C"/>
    <w:rsid w:val="009B280E"/>
    <w:rsid w:val="009C5CC3"/>
    <w:rsid w:val="009D0BE5"/>
    <w:rsid w:val="009E412F"/>
    <w:rsid w:val="009F0F0B"/>
    <w:rsid w:val="00A048B7"/>
    <w:rsid w:val="00A06C13"/>
    <w:rsid w:val="00A15887"/>
    <w:rsid w:val="00A23A95"/>
    <w:rsid w:val="00A434C6"/>
    <w:rsid w:val="00A52DC4"/>
    <w:rsid w:val="00A642C7"/>
    <w:rsid w:val="00A655E7"/>
    <w:rsid w:val="00A668D0"/>
    <w:rsid w:val="00A719C2"/>
    <w:rsid w:val="00A90BD3"/>
    <w:rsid w:val="00AB02E2"/>
    <w:rsid w:val="00AB1281"/>
    <w:rsid w:val="00AB7F9A"/>
    <w:rsid w:val="00AD2871"/>
    <w:rsid w:val="00AD4E22"/>
    <w:rsid w:val="00AE3426"/>
    <w:rsid w:val="00AE7A98"/>
    <w:rsid w:val="00AF171E"/>
    <w:rsid w:val="00B07EF8"/>
    <w:rsid w:val="00B1227E"/>
    <w:rsid w:val="00B1234D"/>
    <w:rsid w:val="00B12DF7"/>
    <w:rsid w:val="00B20DD0"/>
    <w:rsid w:val="00B27FD9"/>
    <w:rsid w:val="00B30CB8"/>
    <w:rsid w:val="00B329D4"/>
    <w:rsid w:val="00B32D81"/>
    <w:rsid w:val="00B35BAB"/>
    <w:rsid w:val="00B362D7"/>
    <w:rsid w:val="00B53B58"/>
    <w:rsid w:val="00B5510E"/>
    <w:rsid w:val="00B70D8F"/>
    <w:rsid w:val="00B75D1D"/>
    <w:rsid w:val="00B75EA4"/>
    <w:rsid w:val="00B81A2B"/>
    <w:rsid w:val="00B8240C"/>
    <w:rsid w:val="00B82FD1"/>
    <w:rsid w:val="00B96AB1"/>
    <w:rsid w:val="00B96D89"/>
    <w:rsid w:val="00B9728E"/>
    <w:rsid w:val="00BB16C2"/>
    <w:rsid w:val="00BB4DA2"/>
    <w:rsid w:val="00BD1173"/>
    <w:rsid w:val="00BD1200"/>
    <w:rsid w:val="00BD7F96"/>
    <w:rsid w:val="00C00425"/>
    <w:rsid w:val="00C051DB"/>
    <w:rsid w:val="00C31AF0"/>
    <w:rsid w:val="00C33A16"/>
    <w:rsid w:val="00C55B9A"/>
    <w:rsid w:val="00C630E2"/>
    <w:rsid w:val="00C75C50"/>
    <w:rsid w:val="00C77C0B"/>
    <w:rsid w:val="00C8171A"/>
    <w:rsid w:val="00C87C2E"/>
    <w:rsid w:val="00CA29BF"/>
    <w:rsid w:val="00CC7AFF"/>
    <w:rsid w:val="00CE289E"/>
    <w:rsid w:val="00CE2F83"/>
    <w:rsid w:val="00CE5C72"/>
    <w:rsid w:val="00D07C5C"/>
    <w:rsid w:val="00D103AB"/>
    <w:rsid w:val="00D16510"/>
    <w:rsid w:val="00D172B7"/>
    <w:rsid w:val="00D20170"/>
    <w:rsid w:val="00D416F1"/>
    <w:rsid w:val="00D419A0"/>
    <w:rsid w:val="00D47411"/>
    <w:rsid w:val="00D57289"/>
    <w:rsid w:val="00D57567"/>
    <w:rsid w:val="00D61BEE"/>
    <w:rsid w:val="00D64CB8"/>
    <w:rsid w:val="00D745C6"/>
    <w:rsid w:val="00D8197E"/>
    <w:rsid w:val="00D8546C"/>
    <w:rsid w:val="00D874E3"/>
    <w:rsid w:val="00D92C93"/>
    <w:rsid w:val="00D97736"/>
    <w:rsid w:val="00DA08C4"/>
    <w:rsid w:val="00DA1945"/>
    <w:rsid w:val="00DA4C20"/>
    <w:rsid w:val="00DC0AB6"/>
    <w:rsid w:val="00DC5BE2"/>
    <w:rsid w:val="00DE051E"/>
    <w:rsid w:val="00DE2447"/>
    <w:rsid w:val="00DE2C61"/>
    <w:rsid w:val="00DE79A0"/>
    <w:rsid w:val="00E0569D"/>
    <w:rsid w:val="00E14380"/>
    <w:rsid w:val="00E176BF"/>
    <w:rsid w:val="00E21095"/>
    <w:rsid w:val="00E22AEF"/>
    <w:rsid w:val="00E25334"/>
    <w:rsid w:val="00E43089"/>
    <w:rsid w:val="00E543A8"/>
    <w:rsid w:val="00E61896"/>
    <w:rsid w:val="00E74440"/>
    <w:rsid w:val="00E7486A"/>
    <w:rsid w:val="00E752F3"/>
    <w:rsid w:val="00E927A4"/>
    <w:rsid w:val="00E95CA3"/>
    <w:rsid w:val="00EA43C8"/>
    <w:rsid w:val="00EB16E6"/>
    <w:rsid w:val="00EE1FA2"/>
    <w:rsid w:val="00EF096A"/>
    <w:rsid w:val="00EF27CC"/>
    <w:rsid w:val="00F01566"/>
    <w:rsid w:val="00F01FB3"/>
    <w:rsid w:val="00F2215C"/>
    <w:rsid w:val="00F22BED"/>
    <w:rsid w:val="00F4168A"/>
    <w:rsid w:val="00F54633"/>
    <w:rsid w:val="00F80DE9"/>
    <w:rsid w:val="00F84949"/>
    <w:rsid w:val="00F9209F"/>
    <w:rsid w:val="00FA2702"/>
    <w:rsid w:val="00FA53E0"/>
    <w:rsid w:val="00FA55B0"/>
    <w:rsid w:val="00FC188F"/>
    <w:rsid w:val="00FE17AD"/>
    <w:rsid w:val="00FF3972"/>
    <w:rsid w:val="00FF53CA"/>
    <w:rsid w:val="00FF5EE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7C6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Titolo1"/>
    <w:uiPriority w:val="9"/>
    <w:rsid w:val="007C68D2"/>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7C68D2"/>
    <w:pPr>
      <w:ind w:left="720"/>
      <w:contextualSpacing/>
    </w:pPr>
  </w:style>
  <w:style w:type="character" w:customStyle="1" w:styleId="s1">
    <w:name w:val="s1"/>
    <w:basedOn w:val="Carpredefinitoparagrafo"/>
    <w:rsid w:val="007C68D2"/>
    <w:rPr>
      <w:rFonts w:ascii="Arial" w:hAnsi="Arial" w:cs="Arial" w:hint="default"/>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character" w:styleId="Rimandocommento">
    <w:name w:val="annotation reference"/>
    <w:basedOn w:val="Carpredefinitoparagrafo"/>
    <w:uiPriority w:val="99"/>
    <w:semiHidden/>
    <w:unhideWhenUsed/>
    <w:rsid w:val="00564F57"/>
    <w:rPr>
      <w:sz w:val="16"/>
      <w:szCs w:val="16"/>
    </w:rPr>
  </w:style>
  <w:style w:type="paragraph" w:styleId="Testocommento">
    <w:name w:val="annotation text"/>
    <w:basedOn w:val="Normale"/>
    <w:link w:val="TestocommentoCarattere"/>
    <w:uiPriority w:val="99"/>
    <w:semiHidden/>
    <w:unhideWhenUsed/>
    <w:rsid w:val="00564F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4F57"/>
    <w:rPr>
      <w:sz w:val="20"/>
      <w:szCs w:val="20"/>
    </w:rPr>
  </w:style>
  <w:style w:type="paragraph" w:styleId="Soggettocommento">
    <w:name w:val="annotation subject"/>
    <w:basedOn w:val="Testocommento"/>
    <w:next w:val="Testocommento"/>
    <w:link w:val="SoggettocommentoCarattere"/>
    <w:uiPriority w:val="99"/>
    <w:semiHidden/>
    <w:unhideWhenUsed/>
    <w:rsid w:val="00564F57"/>
    <w:rPr>
      <w:b/>
      <w:bCs/>
    </w:rPr>
  </w:style>
  <w:style w:type="character" w:customStyle="1" w:styleId="SoggettocommentoCarattere">
    <w:name w:val="Soggetto commento Carattere"/>
    <w:basedOn w:val="TestocommentoCarattere"/>
    <w:link w:val="Soggettocommento"/>
    <w:uiPriority w:val="99"/>
    <w:semiHidden/>
    <w:rsid w:val="00564F57"/>
    <w:rPr>
      <w:b/>
      <w:bCs/>
      <w:sz w:val="20"/>
      <w:szCs w:val="20"/>
    </w:rPr>
  </w:style>
  <w:style w:type="paragraph" w:customStyle="1" w:styleId="TabletextrowsAgency">
    <w:name w:val="Table text rows (Agency)"/>
    <w:basedOn w:val="Normale"/>
    <w:semiHidden/>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 w:type="paragraph" w:styleId="Corpodeltesto">
    <w:name w:val="Body Text"/>
    <w:basedOn w:val="Normale"/>
    <w:link w:val="CorpodeltestoCarattere"/>
    <w:uiPriority w:val="1"/>
    <w:qFormat/>
    <w:rsid w:val="00D8197E"/>
    <w:pPr>
      <w:widowControl w:val="0"/>
      <w:spacing w:after="0" w:line="240" w:lineRule="auto"/>
      <w:ind w:left="400"/>
    </w:pPr>
    <w:rPr>
      <w:rFonts w:ascii="Times New Roman" w:eastAsia="Times New Roman" w:hAnsi="Times New Roman"/>
      <w:lang w:val="en-US"/>
    </w:rPr>
  </w:style>
  <w:style w:type="character" w:customStyle="1" w:styleId="CorpodeltestoCarattere">
    <w:name w:val="Corpo del testo Carattere"/>
    <w:basedOn w:val="Carpredefinitoparagrafo"/>
    <w:link w:val="Corpodeltesto"/>
    <w:uiPriority w:val="1"/>
    <w:rsid w:val="00D8197E"/>
    <w:rPr>
      <w:rFonts w:ascii="Times New Roman" w:eastAsia="Times New Roman" w:hAnsi="Times New Roman"/>
      <w:lang w:val="en-US"/>
    </w:rPr>
  </w:style>
  <w:style w:type="paragraph" w:customStyle="1" w:styleId="Default">
    <w:name w:val="Default"/>
    <w:rsid w:val="009A3B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ighlight">
    <w:name w:val="highlight"/>
    <w:basedOn w:val="Carpredefinitoparagrafo"/>
    <w:rsid w:val="00B12DF7"/>
    <w:rPr>
      <w:shd w:val="clear" w:color="auto" w:fill="A2F0F0"/>
    </w:rPr>
  </w:style>
  <w:style w:type="character" w:customStyle="1" w:styleId="f14sb1">
    <w:name w:val="f14sb1"/>
    <w:basedOn w:val="Carpredefinitoparagrafo"/>
    <w:rsid w:val="00B12DF7"/>
    <w:rPr>
      <w:rFonts w:ascii="Arial" w:hAnsi="Arial" w:cs="Arial" w:hint="default"/>
      <w:b/>
      <w:bCs/>
      <w:sz w:val="28"/>
      <w:szCs w:val="28"/>
    </w:rPr>
  </w:style>
  <w:style w:type="paragraph" w:styleId="Testodelblocco">
    <w:name w:val="Block Text"/>
    <w:basedOn w:val="Normale"/>
    <w:rsid w:val="00AD4E22"/>
    <w:pPr>
      <w:spacing w:after="0" w:line="240" w:lineRule="auto"/>
      <w:ind w:left="709" w:right="-1" w:hanging="283"/>
      <w:jc w:val="both"/>
    </w:pPr>
    <w:rPr>
      <w:rFonts w:ascii="Times New Roman" w:eastAsia="Times New Roman" w:hAnsi="Times New Roman" w:cs="Times New Roman"/>
      <w:sz w:val="24"/>
      <w:szCs w:val="20"/>
      <w:lang w:eastAsia="it-IT"/>
    </w:rPr>
  </w:style>
  <w:style w:type="paragraph" w:customStyle="1" w:styleId="ZchnZchnCharZchnZchn">
    <w:name w:val="Zchn Zchn Char Zchn Zchn"/>
    <w:basedOn w:val="Normale"/>
    <w:next w:val="Normale"/>
    <w:rsid w:val="005A2DC6"/>
    <w:pPr>
      <w:spacing w:after="160" w:line="240" w:lineRule="auto"/>
      <w:jc w:val="both"/>
    </w:pPr>
    <w:rPr>
      <w:rFonts w:ascii="Times New Roman" w:eastAsia="Times New Roman" w:hAnsi="Times New Roman" w:cs="Times New Roman"/>
      <w:sz w:val="24"/>
      <w:szCs w:val="20"/>
      <w:lang w:val="en-GB"/>
    </w:rPr>
  </w:style>
  <w:style w:type="paragraph" w:styleId="Rientronormale">
    <w:name w:val="Normal Indent"/>
    <w:basedOn w:val="Normale"/>
    <w:rsid w:val="008547E9"/>
    <w:pPr>
      <w:spacing w:after="0" w:line="240" w:lineRule="auto"/>
      <w:ind w:left="1304"/>
    </w:pPr>
    <w:rPr>
      <w:rFonts w:ascii="Times New Roman" w:eastAsia="Times New Roman" w:hAnsi="Times New Roman" w:cs="Times New Roman"/>
      <w:sz w:val="24"/>
      <w:szCs w:val="20"/>
      <w:lang w:val="fi-FI" w:eastAsia="fi-FI"/>
    </w:rPr>
  </w:style>
  <w:style w:type="paragraph" w:customStyle="1" w:styleId="ZchnZchnCharZchnZchnZchnZchnChar">
    <w:name w:val="Zchn Zchn Char Zchn Zchn Zchn Zchn Char"/>
    <w:basedOn w:val="Normale"/>
    <w:next w:val="Normale"/>
    <w:rsid w:val="0055120E"/>
    <w:pPr>
      <w:spacing w:after="160" w:line="240" w:lineRule="auto"/>
      <w:jc w:val="both"/>
    </w:pPr>
    <w:rPr>
      <w:rFonts w:ascii="Times New Roman" w:eastAsia="Times New Roman" w:hAnsi="Times New Roman" w:cs="Times New Roman"/>
      <w:sz w:val="24"/>
      <w:szCs w:val="20"/>
      <w:lang w:val="en-GB"/>
    </w:rPr>
  </w:style>
  <w:style w:type="paragraph" w:customStyle="1" w:styleId="ZchnZchnCharZchnZchn0">
    <w:name w:val="Zchn Zchn Char Zchn Zchn"/>
    <w:basedOn w:val="Normale"/>
    <w:next w:val="Normale"/>
    <w:rsid w:val="0055120E"/>
    <w:pPr>
      <w:spacing w:after="160" w:line="240" w:lineRule="auto"/>
      <w:jc w:val="both"/>
    </w:pPr>
    <w:rPr>
      <w:rFonts w:ascii="Times New Roman" w:eastAsia="Times New Roman" w:hAnsi="Times New Roman" w:cs="Times New Roman"/>
      <w:sz w:val="24"/>
      <w:szCs w:val="20"/>
      <w:lang w:val="en-GB"/>
    </w:rPr>
  </w:style>
  <w:style w:type="table" w:styleId="Grigliatabella">
    <w:name w:val="Table Grid"/>
    <w:basedOn w:val="Tabellanormale"/>
    <w:uiPriority w:val="59"/>
    <w:rsid w:val="00AE3426"/>
    <w:pPr>
      <w:spacing w:after="0" w:line="240" w:lineRule="auto"/>
    </w:pPr>
    <w:rPr>
      <w:rFonts w:eastAsiaTheme="minorEastAsia"/>
      <w:lang w:eastAsia="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49622">
      <w:bodyDiv w:val="1"/>
      <w:marLeft w:val="0"/>
      <w:marRight w:val="0"/>
      <w:marTop w:val="0"/>
      <w:marBottom w:val="0"/>
      <w:divBdr>
        <w:top w:val="none" w:sz="0" w:space="0" w:color="auto"/>
        <w:left w:val="none" w:sz="0" w:space="0" w:color="auto"/>
        <w:bottom w:val="none" w:sz="0" w:space="0" w:color="auto"/>
        <w:right w:val="none" w:sz="0" w:space="0" w:color="auto"/>
      </w:divBdr>
    </w:div>
    <w:div w:id="388765485">
      <w:bodyDiv w:val="1"/>
      <w:marLeft w:val="0"/>
      <w:marRight w:val="0"/>
      <w:marTop w:val="0"/>
      <w:marBottom w:val="0"/>
      <w:divBdr>
        <w:top w:val="none" w:sz="0" w:space="0" w:color="auto"/>
        <w:left w:val="none" w:sz="0" w:space="0" w:color="auto"/>
        <w:bottom w:val="none" w:sz="0" w:space="0" w:color="auto"/>
        <w:right w:val="none" w:sz="0" w:space="0" w:color="auto"/>
      </w:divBdr>
      <w:divsChild>
        <w:div w:id="1200508620">
          <w:marLeft w:val="0"/>
          <w:marRight w:val="0"/>
          <w:marTop w:val="0"/>
          <w:marBottom w:val="0"/>
          <w:divBdr>
            <w:top w:val="none" w:sz="0" w:space="0" w:color="auto"/>
            <w:left w:val="none" w:sz="0" w:space="0" w:color="auto"/>
            <w:bottom w:val="none" w:sz="0" w:space="0" w:color="auto"/>
            <w:right w:val="none" w:sz="0" w:space="0" w:color="auto"/>
          </w:divBdr>
          <w:divsChild>
            <w:div w:id="69438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81656">
      <w:bodyDiv w:val="1"/>
      <w:marLeft w:val="0"/>
      <w:marRight w:val="0"/>
      <w:marTop w:val="0"/>
      <w:marBottom w:val="0"/>
      <w:divBdr>
        <w:top w:val="none" w:sz="0" w:space="0" w:color="auto"/>
        <w:left w:val="none" w:sz="0" w:space="0" w:color="auto"/>
        <w:bottom w:val="none" w:sz="0" w:space="0" w:color="auto"/>
        <w:right w:val="none" w:sz="0" w:space="0" w:color="auto"/>
      </w:divBdr>
    </w:div>
    <w:div w:id="1014377101">
      <w:bodyDiv w:val="1"/>
      <w:marLeft w:val="0"/>
      <w:marRight w:val="0"/>
      <w:marTop w:val="0"/>
      <w:marBottom w:val="0"/>
      <w:divBdr>
        <w:top w:val="none" w:sz="0" w:space="0" w:color="auto"/>
        <w:left w:val="none" w:sz="0" w:space="0" w:color="auto"/>
        <w:bottom w:val="none" w:sz="0" w:space="0" w:color="auto"/>
        <w:right w:val="none" w:sz="0" w:space="0" w:color="auto"/>
      </w:divBdr>
      <w:divsChild>
        <w:div w:id="124199613">
          <w:marLeft w:val="0"/>
          <w:marRight w:val="0"/>
          <w:marTop w:val="0"/>
          <w:marBottom w:val="0"/>
          <w:divBdr>
            <w:top w:val="none" w:sz="0" w:space="0" w:color="auto"/>
            <w:left w:val="none" w:sz="0" w:space="0" w:color="auto"/>
            <w:bottom w:val="none" w:sz="0" w:space="0" w:color="auto"/>
            <w:right w:val="none" w:sz="0" w:space="0" w:color="auto"/>
          </w:divBdr>
          <w:divsChild>
            <w:div w:id="18837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image" Target="media/image3.gif"/><Relationship Id="rId14"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06D92-61A3-408D-9417-34B738E56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4112</Words>
  <Characters>23439</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rovazzanid</cp:lastModifiedBy>
  <cp:revision>6</cp:revision>
  <dcterms:created xsi:type="dcterms:W3CDTF">2019-12-19T10:10:00Z</dcterms:created>
  <dcterms:modified xsi:type="dcterms:W3CDTF">2019-12-19T10:22:00Z</dcterms:modified>
</cp:coreProperties>
</file>