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D575B7" w:rsidP="004241AC">
      <w:pPr>
        <w:spacing w:after="0" w:line="240" w:lineRule="auto"/>
        <w:jc w:val="center"/>
        <w:rPr>
          <w:lang w:val="en-US"/>
        </w:rPr>
      </w:pPr>
      <w:r w:rsidRPr="00D575B7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D575B7" w:rsidP="004241AC">
      <w:pPr>
        <w:widowControl w:val="0"/>
        <w:spacing w:after="0" w:line="240" w:lineRule="auto"/>
        <w:jc w:val="center"/>
        <w:rPr>
          <w:snapToGrid w:val="0"/>
        </w:rPr>
      </w:pPr>
      <w:r w:rsidRPr="00D575B7">
        <w:rPr>
          <w:rFonts w:ascii="Calibri" w:eastAsia="Calibri" w:hAnsi="Calibri" w:cs="Times New Roman"/>
          <w:b/>
          <w:sz w:val="32"/>
        </w:rPr>
        <w:t xml:space="preserve">DABIGATRAN ETEXILATO </w:t>
      </w:r>
      <w:proofErr w:type="spellStart"/>
      <w:r w:rsidRPr="00D575B7">
        <w:rPr>
          <w:rFonts w:ascii="Calibri" w:eastAsia="Calibri" w:hAnsi="Calibri" w:cs="Times New Roman"/>
          <w:b/>
          <w:sz w:val="32"/>
        </w:rPr>
        <w:t>VI.REL</w:t>
      </w:r>
      <w:proofErr w:type="spellEnd"/>
      <w:r w:rsidRPr="00D575B7">
        <w:rPr>
          <w:rFonts w:ascii="Calibri" w:eastAsia="Calibri" w:hAnsi="Calibri" w:cs="Times New Roman"/>
          <w:b/>
          <w:sz w:val="32"/>
        </w:rPr>
        <w:t xml:space="preserve"> PHARMA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D575B7">
        <w:rPr>
          <w:snapToGrid w:val="0"/>
        </w:rPr>
        <w:t>dabigatran</w:t>
      </w:r>
      <w:proofErr w:type="spellEnd"/>
      <w:r w:rsidR="00D575B7">
        <w:rPr>
          <w:snapToGrid w:val="0"/>
        </w:rPr>
        <w:t xml:space="preserve"> </w:t>
      </w:r>
      <w:proofErr w:type="spellStart"/>
      <w:r w:rsidR="00D575B7">
        <w:rPr>
          <w:snapToGrid w:val="0"/>
        </w:rPr>
        <w:t>etexilato</w:t>
      </w:r>
      <w:proofErr w:type="spellEnd"/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D575B7" w:rsidP="004241AC">
      <w:pPr>
        <w:spacing w:after="0" w:line="240" w:lineRule="auto"/>
        <w:jc w:val="center"/>
        <w:rPr>
          <w:b/>
        </w:rPr>
      </w:pPr>
      <w:proofErr w:type="spellStart"/>
      <w:r w:rsidRPr="00D575B7">
        <w:rPr>
          <w:rFonts w:ascii="Calibri" w:eastAsia="Calibri" w:hAnsi="Calibri" w:cs="Times New Roman"/>
          <w:b/>
        </w:rPr>
        <w:t>Vi.Rel</w:t>
      </w:r>
      <w:proofErr w:type="spellEnd"/>
      <w:r w:rsidRPr="00D575B7">
        <w:rPr>
          <w:rFonts w:ascii="Calibri" w:eastAsia="Calibri" w:hAnsi="Calibri" w:cs="Times New Roman"/>
          <w:b/>
        </w:rPr>
        <w:t xml:space="preserve"> </w:t>
      </w:r>
      <w:proofErr w:type="spellStart"/>
      <w:r w:rsidRPr="00D575B7">
        <w:rPr>
          <w:rFonts w:ascii="Calibri" w:eastAsia="Calibri" w:hAnsi="Calibri" w:cs="Times New Roman"/>
          <w:b/>
        </w:rPr>
        <w:t>Pharma</w:t>
      </w:r>
      <w:proofErr w:type="spellEnd"/>
      <w:r w:rsidRPr="00D575B7">
        <w:rPr>
          <w:rFonts w:ascii="Calibri" w:eastAsia="Calibri" w:hAnsi="Calibri" w:cs="Times New Roman"/>
          <w:b/>
        </w:rPr>
        <w:t xml:space="preserve"> S.a.s. Di Carletto Lorella E C.</w:t>
      </w:r>
      <w:r w:rsidR="00BF7A42"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033FFC" w:rsidRPr="00033FFC">
        <w:rPr>
          <w:rFonts w:ascii="Calibri" w:eastAsia="Calibri" w:hAnsi="Calibri" w:cs="Helvetica"/>
          <w:b/>
        </w:rPr>
        <w:t>044831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33FFC">
        <w:rPr>
          <w:rFonts w:eastAsia="Calibri" w:cs="Calibri"/>
          <w:color w:val="000000"/>
          <w:lang w:eastAsia="it-IT"/>
        </w:rPr>
        <w:t>Dabigatran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etexilato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VI.REL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33FFC">
        <w:rPr>
          <w:rFonts w:eastAsia="Calibri" w:cs="Calibri"/>
          <w:color w:val="000000"/>
          <w:lang w:eastAsia="it-IT"/>
        </w:rPr>
        <w:t>Dabigatran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etexilato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VI.REL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Pharma</w:t>
      </w:r>
      <w:proofErr w:type="spellEnd"/>
      <w:r w:rsidR="00033FFC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033FFC">
        <w:rPr>
          <w:rFonts w:eastAsia="Calibri" w:cs="Calibri"/>
          <w:color w:val="000000"/>
          <w:lang w:eastAsia="it-IT"/>
        </w:rPr>
        <w:t>Dabigatran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etexilato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VI.REL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Dabigatran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etexilato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VI.REL</w:t>
      </w:r>
      <w:proofErr w:type="spellEnd"/>
      <w:r w:rsidR="00033F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33FFC">
        <w:rPr>
          <w:rFonts w:eastAsia="Calibri" w:cs="Calibri"/>
          <w:color w:val="000000"/>
          <w:lang w:eastAsia="it-IT"/>
        </w:rPr>
        <w:t>Pharma</w:t>
      </w:r>
      <w:proofErr w:type="spellEnd"/>
      <w:r w:rsidR="00033FFC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00BEA" w:rsidRPr="00033FFC" w:rsidRDefault="00BB2AF8" w:rsidP="00033F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33FFC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033FFC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033FFC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033FFC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033FFC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033FFC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033FFC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033FFC" w:rsidRPr="00033FF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1B19C0" w:rsidRPr="001B19C0" w:rsidRDefault="001B19C0" w:rsidP="00BB2AF8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Dabigatran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etexilato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5928E6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dabigatran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etexilato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mesilato</w:t>
      </w:r>
      <w:proofErr w:type="spellEnd"/>
      <w:r>
        <w:rPr>
          <w:rFonts w:eastAsia="Calibri" w:cs="Calibri"/>
          <w:color w:val="000000"/>
          <w:lang w:eastAsia="it-IT"/>
        </w:rPr>
        <w:t xml:space="preserve"> ed è </w:t>
      </w:r>
      <w:r w:rsidRPr="005928E6">
        <w:rPr>
          <w:rFonts w:eastAsia="Calibri" w:cs="Calibri"/>
          <w:color w:val="000000"/>
          <w:lang w:eastAsia="it-IT"/>
        </w:rPr>
        <w:t xml:space="preserve">disponibile in </w:t>
      </w:r>
      <w:r>
        <w:rPr>
          <w:rFonts w:eastAsia="Calibri" w:cs="Calibri"/>
          <w:color w:val="000000"/>
          <w:lang w:eastAsia="it-IT"/>
        </w:rPr>
        <w:t>capsule rigide contenenti 75 mg, 110 mg e 175 mg</w:t>
      </w:r>
      <w:r>
        <w:rPr>
          <w:rFonts w:cs="Helvetica"/>
        </w:rPr>
        <w:t xml:space="preserve"> di principio attivo</w:t>
      </w:r>
      <w:r w:rsidRPr="005928E6">
        <w:t>.</w:t>
      </w:r>
    </w:p>
    <w:p w:rsidR="00BB2AF8" w:rsidRDefault="00033FF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Dabigatran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etexilato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Pr="000E0632">
        <w:rPr>
          <w:rFonts w:eastAsia="Calibri" w:cs="Calibri"/>
          <w:color w:val="000000"/>
          <w:lang w:eastAsia="it-IT"/>
        </w:rPr>
        <w:t xml:space="preserve"> </w:t>
      </w:r>
      <w:r w:rsidR="00300BEA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Pradaxa</w:t>
      </w:r>
      <w:proofErr w:type="spellEnd"/>
      <w:r w:rsidR="00300BEA">
        <w:rPr>
          <w:rFonts w:eastAsia="Calibri" w:cs="Calibri"/>
          <w:color w:val="000000"/>
          <w:lang w:eastAsia="it-IT"/>
        </w:rPr>
        <w:t xml:space="preserve">, già autorizzato in Italia con una procedura </w:t>
      </w:r>
      <w:r w:rsidR="00BB2AF8">
        <w:rPr>
          <w:rFonts w:eastAsia="Calibri" w:cs="Calibri"/>
          <w:color w:val="000000"/>
          <w:lang w:eastAsia="it-IT"/>
        </w:rPr>
        <w:t>centralizzata</w:t>
      </w:r>
      <w:r w:rsidR="00BB2AF8" w:rsidRPr="00E83F8D">
        <w:rPr>
          <w:rFonts w:eastAsia="Calibri" w:cs="Calibri"/>
          <w:color w:val="000000"/>
          <w:lang w:eastAsia="it-IT"/>
        </w:rPr>
        <w:t>.</w:t>
      </w:r>
      <w:r w:rsidR="00BB2AF8"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BB2AF8">
        <w:rPr>
          <w:rFonts w:eastAsia="Calibri" w:cs="Calibri"/>
          <w:color w:val="000000"/>
          <w:lang w:eastAsia="it-IT"/>
        </w:rPr>
        <w:t xml:space="preserve"> </w:t>
      </w:r>
      <w:r w:rsidR="00BB2AF8"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BB2AF8"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BB2AF8"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="00BB2AF8" w:rsidRPr="009F1B70">
        <w:rPr>
          <w:rFonts w:eastAsia="Calibri" w:cs="Calibri"/>
          <w:color w:val="000000"/>
          <w:lang w:eastAsia="it-IT"/>
        </w:rPr>
        <w:t xml:space="preserve"> (</w:t>
      </w:r>
      <w:r w:rsidR="00BB2AF8">
        <w:rPr>
          <w:rFonts w:eastAsia="Calibri" w:cs="Calibri"/>
          <w:color w:val="000000"/>
          <w:lang w:eastAsia="it-IT"/>
        </w:rPr>
        <w:t>E</w:t>
      </w:r>
      <w:r w:rsidR="00BB2AF8" w:rsidRPr="009F1B70">
        <w:rPr>
          <w:rFonts w:eastAsia="Calibri" w:cs="Calibri"/>
          <w:color w:val="000000"/>
          <w:lang w:eastAsia="it-IT"/>
        </w:rPr>
        <w:t>PAR)</w:t>
      </w:r>
      <w:r w:rsidR="00BB2AF8">
        <w:rPr>
          <w:rFonts w:eastAsia="Calibri" w:cs="Calibri"/>
          <w:color w:val="000000"/>
          <w:lang w:eastAsia="it-IT"/>
        </w:rPr>
        <w:t xml:space="preserve"> di </w:t>
      </w:r>
      <w:proofErr w:type="spellStart"/>
      <w:r>
        <w:rPr>
          <w:rFonts w:eastAsia="Calibri" w:cs="Calibri"/>
          <w:color w:val="000000"/>
          <w:lang w:eastAsia="it-IT"/>
        </w:rPr>
        <w:t>Pradaxa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>può essere consultato sul sito dell’Agenzia Europea dei medicinali (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BB2AF8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BB2AF8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BB2AF8"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BB2AF8">
        <w:rPr>
          <w:rFonts w:eastAsia="Calibri" w:cs="Calibri"/>
          <w:color w:val="000000"/>
          <w:lang w:eastAsia="it-IT"/>
        </w:rPr>
        <w:t xml:space="preserve"> – EMA) </w:t>
      </w:r>
    </w:p>
    <w:p w:rsidR="00BB2AF8" w:rsidRPr="000E0632" w:rsidRDefault="00BB2AF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(</w:t>
      </w:r>
      <w:hyperlink r:id="rId6" w:history="1">
        <w:r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>
        <w:rPr>
          <w:rFonts w:eastAsia="Calibri" w:cs="Calibri"/>
          <w:bCs/>
          <w:color w:val="000000"/>
          <w:lang w:eastAsia="it-IT"/>
        </w:rPr>
        <w:t>).</w:t>
      </w:r>
    </w:p>
    <w:p w:rsidR="00BB2AF8" w:rsidRDefault="00033FF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Dabigatran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etexilato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BB2AF8">
        <w:rPr>
          <w:rFonts w:eastAsia="Calibri" w:cs="Calibri"/>
          <w:lang w:eastAsia="it-IT"/>
        </w:rPr>
        <w:t>:</w:t>
      </w:r>
    </w:p>
    <w:p w:rsidR="00033FFC" w:rsidRPr="00033FFC" w:rsidRDefault="00033FFC" w:rsidP="00033FFC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  <w:r w:rsidRPr="00033FFC">
        <w:rPr>
          <w:rFonts w:eastAsia="Calibri" w:cs="Calibri"/>
          <w:color w:val="000000"/>
          <w:lang w:eastAsia="it-IT"/>
        </w:rPr>
        <w:t>- per la prevenzione della formazione di coaguli del sangue nelle vene a seguito di interventi di chirurgia per sostituzione del ginocchio o dell’anca negli adulti</w:t>
      </w:r>
      <w:r w:rsidR="005F3E03">
        <w:rPr>
          <w:rFonts w:eastAsia="Calibri" w:cs="Calibri"/>
          <w:color w:val="000000"/>
          <w:lang w:eastAsia="it-IT"/>
        </w:rPr>
        <w:t xml:space="preserve"> (dosaggio da 75 mg e 110 mg)</w:t>
      </w:r>
      <w:r w:rsidRPr="00033FFC">
        <w:rPr>
          <w:rFonts w:eastAsia="Calibri" w:cs="Calibri"/>
          <w:color w:val="000000"/>
          <w:lang w:eastAsia="it-IT"/>
        </w:rPr>
        <w:t>.</w:t>
      </w:r>
    </w:p>
    <w:p w:rsidR="00033FFC" w:rsidRPr="00033FFC" w:rsidRDefault="00033FFC" w:rsidP="00033FF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 xml:space="preserve">- </w:t>
      </w:r>
      <w:r w:rsidRPr="00033FFC">
        <w:rPr>
          <w:rFonts w:ascii="Calibri" w:eastAsia="Calibri" w:hAnsi="Calibri" w:cs="Calibri"/>
          <w:color w:val="000000"/>
          <w:lang w:eastAsia="it-IT"/>
        </w:rPr>
        <w:t>prevenire coaguli di sangue nel cervello (ictus) e in altri vasi sanguigni del corpo se presenta un tipo di alterazione del ritmo cardiaco chiamata fibrillazione atriale non-valvolare e almeno un ulteriore fattore di rischio</w:t>
      </w:r>
      <w:r w:rsidR="005F3E03">
        <w:rPr>
          <w:rFonts w:ascii="Calibri" w:eastAsia="Calibri" w:hAnsi="Calibri" w:cs="Calibri"/>
          <w:color w:val="000000"/>
          <w:lang w:eastAsia="it-IT"/>
        </w:rPr>
        <w:t xml:space="preserve"> (dosaggio da 110mg e 150 mg)</w:t>
      </w:r>
      <w:r w:rsidRPr="00033FFC">
        <w:rPr>
          <w:rFonts w:ascii="Calibri" w:eastAsia="Calibri" w:hAnsi="Calibri" w:cs="Calibri"/>
          <w:color w:val="000000"/>
          <w:lang w:eastAsia="it-IT"/>
        </w:rPr>
        <w:t xml:space="preserve">. </w:t>
      </w:r>
    </w:p>
    <w:p w:rsidR="00033FFC" w:rsidRPr="00033FFC" w:rsidRDefault="005F3E03" w:rsidP="005F3E0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 xml:space="preserve">- </w:t>
      </w:r>
      <w:r w:rsidR="00033FFC" w:rsidRPr="00033FFC">
        <w:rPr>
          <w:rFonts w:ascii="Calibri" w:eastAsia="Calibri" w:hAnsi="Calibri" w:cs="Calibri"/>
          <w:color w:val="000000"/>
          <w:lang w:eastAsia="it-IT"/>
        </w:rPr>
        <w:t>trattare i coaguli di sangue nelle vene delle gambe e dei polmoni e per prevenire che i coaguli di sangue si riformino nelle vene delle gambe e dei polmoni</w:t>
      </w:r>
      <w:r>
        <w:rPr>
          <w:rFonts w:ascii="Calibri" w:eastAsia="Calibri" w:hAnsi="Calibri" w:cs="Calibri"/>
          <w:color w:val="000000"/>
          <w:lang w:eastAsia="it-IT"/>
        </w:rPr>
        <w:t xml:space="preserve"> (dosaggio da 110mg e 150 mg)</w:t>
      </w:r>
      <w:r w:rsidR="00033FFC" w:rsidRPr="00033FFC">
        <w:rPr>
          <w:rFonts w:ascii="Calibri" w:eastAsia="Calibri" w:hAnsi="Calibri" w:cs="Calibri"/>
          <w:color w:val="000000"/>
          <w:lang w:eastAsia="it-IT"/>
        </w:rPr>
        <w:t>.</w:t>
      </w:r>
    </w:p>
    <w:p w:rsidR="00BB2AF8" w:rsidRPr="00300BEA" w:rsidRDefault="00BB2AF8" w:rsidP="00300B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F3E03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5F3E03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5F3E03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5F3E03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5F3E03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5F3E03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5F3E03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5F3E03" w:rsidRDefault="005F3E03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>Dabigatran</w:t>
      </w:r>
      <w:proofErr w:type="spellEnd"/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t>etexilato</w:t>
      </w:r>
      <w:proofErr w:type="spellEnd"/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t>VI.REL</w:t>
      </w:r>
      <w:proofErr w:type="spellEnd"/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t>Pharma</w:t>
      </w:r>
      <w:proofErr w:type="spellEnd"/>
      <w:r w:rsidRPr="005F3E03">
        <w:rPr>
          <w:rFonts w:asciiTheme="minorHAnsi" w:eastAsia="Calibri" w:hAnsiTheme="minorHAnsi" w:cs="Calibri"/>
          <w:b/>
          <w:bCs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di centri ospedalieri o di specialisti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: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5F3E03">
        <w:rPr>
          <w:rFonts w:ascii="Calibri" w:eastAsia="Calibri" w:hAnsi="Calibri" w:cs="Calibri"/>
          <w:color w:val="000000"/>
          <w:sz w:val="22"/>
          <w:szCs w:val="22"/>
        </w:rPr>
        <w:t>ortopedic</w:t>
      </w:r>
      <w:r w:rsidR="00DF190A">
        <w:rPr>
          <w:rFonts w:ascii="Calibri" w:eastAsia="Calibri" w:hAnsi="Calibri" w:cs="Calibri"/>
          <w:color w:val="000000"/>
          <w:sz w:val="22"/>
          <w:szCs w:val="22"/>
        </w:rPr>
        <w:t>o, fisiatra, internista, ematologi</w:t>
      </w:r>
      <w:r w:rsidRPr="005F3E03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DF190A" w:rsidRPr="00DF190A">
        <w:rPr>
          <w:rFonts w:ascii="Calibri" w:eastAsia="Calibri" w:hAnsi="Calibri" w:cs="Calibri"/>
          <w:color w:val="000000"/>
          <w:sz w:val="22"/>
          <w:szCs w:val="22"/>
        </w:rPr>
        <w:t>che lavorano nei Centri di trombosi ed emos</w:t>
      </w:r>
      <w:r w:rsidR="00DF190A">
        <w:rPr>
          <w:rFonts w:ascii="Calibri" w:eastAsia="Calibri" w:hAnsi="Calibri" w:cs="Calibri"/>
          <w:color w:val="000000"/>
          <w:sz w:val="22"/>
          <w:szCs w:val="22"/>
        </w:rPr>
        <w:t>tasi, neurologo, geriatra, pneu</w:t>
      </w:r>
      <w:r w:rsidR="00DF190A" w:rsidRPr="00DF190A">
        <w:rPr>
          <w:rFonts w:ascii="Calibri" w:eastAsia="Calibri" w:hAnsi="Calibri" w:cs="Calibri"/>
          <w:color w:val="000000"/>
          <w:sz w:val="22"/>
          <w:szCs w:val="22"/>
        </w:rPr>
        <w:t>mologo e cardiologo</w:t>
      </w:r>
      <w:r w:rsidRPr="005F3E0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con ricetta limitativa ripetibile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:rsidR="00DF190A" w:rsidRDefault="00DF190A" w:rsidP="00BB2AF8">
      <w:pPr>
        <w:tabs>
          <w:tab w:val="left" w:pos="0"/>
        </w:tabs>
        <w:spacing w:after="0" w:line="240" w:lineRule="auto"/>
        <w:jc w:val="both"/>
        <w:rPr>
          <w:rFonts w:ascii="Fd1041514-Identity-H" w:hAnsi="Fd1041514-Identity-H" w:cs="Fd1041514-Identity-H"/>
          <w:color w:val="101010"/>
          <w:sz w:val="19"/>
          <w:szCs w:val="19"/>
        </w:rPr>
      </w:pPr>
    </w:p>
    <w:p w:rsidR="008A6FEC" w:rsidRDefault="008A6FEC" w:rsidP="00BB2AF8">
      <w:pPr>
        <w:tabs>
          <w:tab w:val="left" w:pos="0"/>
        </w:tabs>
        <w:spacing w:after="0" w:line="240" w:lineRule="auto"/>
        <w:jc w:val="both"/>
      </w:pPr>
      <w:r>
        <w:t>La quantità di medicinale da utilizzare è stabilita dal medico in</w:t>
      </w:r>
      <w:r w:rsidR="005F3E03">
        <w:t xml:space="preserve"> relazione al tipo di indicazioni per cui si prescrive il medicinale </w:t>
      </w:r>
      <w:r>
        <w:t xml:space="preserve">e allo stato del paziente. </w:t>
      </w:r>
    </w:p>
    <w:p w:rsidR="005F3E03" w:rsidRDefault="005F3E03" w:rsidP="00BB2AF8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:rsidR="00BB2AF8" w:rsidRDefault="00BB2AF8" w:rsidP="00BB2AF8">
      <w:pPr>
        <w:tabs>
          <w:tab w:val="left" w:pos="0"/>
        </w:tabs>
        <w:spacing w:after="0" w:line="240" w:lineRule="auto"/>
        <w:jc w:val="both"/>
      </w:pPr>
      <w:r w:rsidRPr="00B7597D">
        <w:t xml:space="preserve">Nei pazienti </w:t>
      </w:r>
      <w:r w:rsidR="001C15DF">
        <w:t>anziani</w:t>
      </w:r>
      <w:r w:rsidR="005F3E03">
        <w:t xml:space="preserve"> e nei pazienti </w:t>
      </w:r>
      <w:r w:rsidRPr="00B7597D">
        <w:t>con problemi al rene</w:t>
      </w:r>
      <w:r w:rsidR="001C15DF">
        <w:t xml:space="preserve"> </w:t>
      </w:r>
      <w:r w:rsidRPr="00B7597D">
        <w:t>il dosaggio può essere più basso.</w:t>
      </w:r>
    </w:p>
    <w:p w:rsidR="005F3E03" w:rsidRDefault="005F3E03" w:rsidP="00BB2AF8">
      <w:pPr>
        <w:tabs>
          <w:tab w:val="left" w:pos="0"/>
        </w:tabs>
        <w:spacing w:after="0" w:line="240" w:lineRule="auto"/>
        <w:jc w:val="both"/>
      </w:pP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 nella popolazione pediatrica in quanto non sono disponibili dati sull’uso in questa fascia di età.</w:t>
      </w:r>
    </w:p>
    <w:p w:rsidR="005F3E03" w:rsidRDefault="005F3E03" w:rsidP="008A6FEC">
      <w:pPr>
        <w:tabs>
          <w:tab w:val="left" w:pos="284"/>
        </w:tabs>
        <w:spacing w:after="0" w:line="240" w:lineRule="auto"/>
        <w:jc w:val="both"/>
        <w:rPr>
          <w:b/>
          <w:i/>
          <w:sz w:val="20"/>
          <w:szCs w:val="20"/>
        </w:rPr>
      </w:pPr>
    </w:p>
    <w:p w:rsidR="00BB2AF8" w:rsidRPr="004B4170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>e c</w:t>
      </w:r>
      <w:r w:rsidR="005F3E03">
        <w:t>apsule</w:t>
      </w:r>
      <w:r w:rsidRPr="00D95D44">
        <w:t xml:space="preserve"> </w:t>
      </w:r>
      <w:r w:rsidR="005F3E03">
        <w:t xml:space="preserve">devono essere assunte  </w:t>
      </w:r>
      <w:r>
        <w:t>inte</w:t>
      </w:r>
      <w:r w:rsidR="005F3E03">
        <w:t xml:space="preserve">re (non frantumate o masticate) </w:t>
      </w:r>
      <w:r>
        <w:t xml:space="preserve"> con un </w:t>
      </w:r>
      <w:r w:rsidR="005F3E03">
        <w:t>bicchiere di acqua</w:t>
      </w:r>
      <w:r>
        <w:t xml:space="preserve">, </w:t>
      </w:r>
      <w:r w:rsidR="005F3E03">
        <w:t>cono o senza cibo.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4B4170" w:rsidRDefault="00DF190A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Pr="00DF190A">
        <w:rPr>
          <w:rFonts w:eastAsia="Calibri" w:cs="Calibri"/>
          <w:bCs/>
          <w:color w:val="000000"/>
          <w:lang w:eastAsia="it-IT"/>
        </w:rPr>
        <w:t xml:space="preserve"> 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DF190A">
        <w:t>B01AE07</w:t>
      </w:r>
      <w: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 xml:space="preserve">appartiene alla classe dei </w:t>
      </w:r>
      <w:r>
        <w:t>anticoagulanti</w:t>
      </w:r>
      <w:r w:rsidR="00BB2AF8" w:rsidRPr="00EF6711">
        <w:t xml:space="preserve"> e agisce </w:t>
      </w:r>
      <w:r w:rsidRPr="00DF190A">
        <w:t>blocca</w:t>
      </w:r>
      <w:r>
        <w:t>ndo</w:t>
      </w:r>
      <w:r w:rsidRPr="00DF190A">
        <w:t xml:space="preserve"> l’azione di una sostanza presente nell’organismo coinvolta nella formazione dei coaguli del sangue.</w:t>
      </w:r>
      <w:r w:rsidR="00BB2AF8" w:rsidRPr="004B4170">
        <w:rPr>
          <w:rFonts w:cs="Arial"/>
          <w:color w:val="000000"/>
          <w:shd w:val="clear" w:color="auto" w:fill="FFFFFF"/>
        </w:rPr>
        <w:br/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F96473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DF190A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DF190A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DF190A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DF190A" w:rsidRPr="00DF190A">
        <w:rPr>
          <w:rFonts w:eastAsia="Calibri" w:cs="Calibri"/>
          <w:bCs/>
          <w:color w:val="000000"/>
          <w:lang w:eastAsia="it-IT"/>
        </w:rPr>
        <w:t xml:space="preserve"> </w:t>
      </w:r>
      <w:r w:rsidRPr="00D85E7D">
        <w:rPr>
          <w:rFonts w:cs="Arial"/>
        </w:rPr>
        <w:t>è un medicinale generico,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>la bioequivalenza rispetto al medicinale di riferimento</w:t>
      </w:r>
      <w:r w:rsidR="00DF190A">
        <w:rPr>
          <w:rFonts w:cs="Arial"/>
        </w:rPr>
        <w:t xml:space="preserve"> </w:t>
      </w:r>
      <w:proofErr w:type="spellStart"/>
      <w:r w:rsidR="00DF190A">
        <w:rPr>
          <w:rFonts w:cs="Arial"/>
        </w:rPr>
        <w:t>Pradaxa</w:t>
      </w:r>
      <w:proofErr w:type="spellEnd"/>
      <w:r w:rsidR="00DF190A">
        <w:rPr>
          <w:rFonts w:cs="Arial"/>
        </w:rPr>
        <w:t>.</w:t>
      </w:r>
      <w:r w:rsidRPr="00D85E7D">
        <w:rPr>
          <w:rFonts w:cs="Arial"/>
        </w:rPr>
        <w:t xml:space="preserve"> Due medicinali sono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943785" w:rsidRPr="00E233B1" w:rsidRDefault="00943785" w:rsidP="00943785">
      <w:pPr>
        <w:spacing w:after="0" w:line="240" w:lineRule="auto"/>
        <w:jc w:val="both"/>
      </w:pPr>
      <w:r w:rsidRPr="00E233B1">
        <w:t xml:space="preserve"> 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DF190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7170D7"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DF190A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DF190A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DF190A" w:rsidRPr="00666CCE">
        <w:rPr>
          <w:rFonts w:eastAsia="Calibri" w:cs="Calibri"/>
          <w:b/>
          <w:bCs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DF190A">
        <w:rPr>
          <w:rFonts w:eastAsia="Calibri" w:cs="Calibri"/>
          <w:bCs/>
          <w:iCs/>
          <w:lang w:eastAsia="it-IT"/>
        </w:rPr>
        <w:t>9, 10 e 11 Maggio 2018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DF190A">
        <w:rPr>
          <w:rFonts w:eastAsia="Calibri" w:cs="Calibri"/>
          <w:lang w:eastAsia="it-IT"/>
        </w:rPr>
        <w:t>Pradaxa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DF190A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DF190A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DF190A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F190A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DF190A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>sono superiori ai rischi individuati</w:t>
      </w:r>
      <w:r w:rsidRPr="00504251">
        <w:rPr>
          <w:rFonts w:eastAsia="Calibri" w:cs="Calibri"/>
          <w:lang w:eastAsia="it-IT"/>
        </w:rPr>
        <w:t>. La CTS ha, inoltre, definito le modalità di prescrizione di cui al punto 2) di questo Riassunto e la classe di rimborsabilità del medicinale</w:t>
      </w:r>
      <w:r w:rsidR="007170D7" w:rsidRPr="00504251">
        <w:rPr>
          <w:rFonts w:eastAsia="Calibri" w:cs="Calibri"/>
          <w:lang w:eastAsia="it-IT"/>
        </w:rPr>
        <w:t xml:space="preserve"> </w:t>
      </w:r>
      <w:r w:rsidR="00504251" w:rsidRPr="00504251">
        <w:rPr>
          <w:rFonts w:eastAsia="Calibri" w:cs="Calibri"/>
          <w:lang w:eastAsia="it-IT"/>
        </w:rPr>
        <w:t>Cnn</w:t>
      </w:r>
      <w:r w:rsidRPr="00504251">
        <w:rPr>
          <w:rFonts w:eastAsia="Calibri" w:cs="Calibri"/>
          <w:lang w:eastAsia="it-IT"/>
        </w:rPr>
        <w:t>.</w:t>
      </w:r>
      <w:r w:rsidRPr="00CB3303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C67874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C67874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C67874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4241AC" w:rsidRPr="007170D7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Dabigatran</w:t>
      </w:r>
      <w:proofErr w:type="spellEnd"/>
      <w:r w:rsidR="00C67874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etexilato</w:t>
      </w:r>
      <w:proofErr w:type="spellEnd"/>
      <w:r w:rsidR="00C67874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C67874" w:rsidRPr="00033FFC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C67874" w:rsidRPr="00033FFC">
        <w:rPr>
          <w:rFonts w:eastAsia="Calibri" w:cs="Calibri"/>
          <w:b/>
          <w:color w:val="000000"/>
          <w:lang w:eastAsia="it-IT"/>
        </w:rPr>
        <w:t>Pharma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504251">
        <w:rPr>
          <w:rFonts w:eastAsia="Calibri" w:cs="Calibri"/>
          <w:bCs/>
          <w:iCs/>
          <w:lang w:eastAsia="it-IT"/>
        </w:rPr>
        <w:t xml:space="preserve">Il </w:t>
      </w:r>
      <w:r w:rsidR="00504251">
        <w:rPr>
          <w:rFonts w:eastAsia="Calibri" w:cs="Calibri"/>
          <w:bCs/>
          <w:iCs/>
          <w:lang w:eastAsia="it-IT"/>
        </w:rPr>
        <w:t>12/07/2019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lastRenderedPageBreak/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C67874" w:rsidRPr="00CA3A1E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504251">
        <w:rPr>
          <w:rFonts w:eastAsia="Calibri" w:cs="Calibri"/>
          <w:lang w:eastAsia="it-IT"/>
        </w:rPr>
        <w:t>03/10/2018</w:t>
      </w:r>
      <w:r w:rsidRPr="002A3F14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C67874" w:rsidRDefault="00C67874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C67874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EF6711">
        <w:t xml:space="preserve">Sulla base dei dati di qualità, sicurezza ed efficacia, l’AIFA ha rilasciato a </w:t>
      </w:r>
      <w:proofErr w:type="spellStart"/>
      <w:r w:rsidR="00C67874" w:rsidRPr="00C67874">
        <w:t>Vi.Rel</w:t>
      </w:r>
      <w:proofErr w:type="spellEnd"/>
      <w:r w:rsidR="00C67874" w:rsidRPr="00C67874">
        <w:t xml:space="preserve"> </w:t>
      </w:r>
      <w:proofErr w:type="spellStart"/>
      <w:r w:rsidR="00C67874" w:rsidRPr="00C67874">
        <w:t>Pharma</w:t>
      </w:r>
      <w:proofErr w:type="spellEnd"/>
      <w:r w:rsidR="00C67874" w:rsidRPr="00C67874">
        <w:t xml:space="preserve"> S.a.s. Di Carletto Lorella E C.</w:t>
      </w:r>
      <w:r w:rsidR="00C67874" w:rsidRPr="00C67874">
        <w:rPr>
          <w:b/>
        </w:rPr>
        <w:t xml:space="preserve"> </w:t>
      </w:r>
      <w:r w:rsidRPr="00EF6711">
        <w:t xml:space="preserve">l’autorizzazione all’immissione in commercio (AIC) per il medicinale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C67874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7874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C67874" w:rsidRPr="00EF6711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504251">
        <w:rPr>
          <w:rFonts w:eastAsia="Calibri" w:cs="Calibri"/>
          <w:bCs/>
          <w:iCs/>
          <w:lang w:eastAsia="it-IT"/>
        </w:rPr>
        <w:t>12/07/2019.</w:t>
      </w:r>
      <w:r w:rsidRPr="00EF6711"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C67874" w:rsidRPr="00C67874" w:rsidRDefault="00C67874" w:rsidP="00C67874">
      <w:pPr>
        <w:autoSpaceDE w:val="0"/>
        <w:autoSpaceDN w:val="0"/>
        <w:adjustRightInd w:val="0"/>
        <w:jc w:val="both"/>
        <w:rPr>
          <w:rFonts w:cs="Calibri"/>
          <w:color w:val="000000"/>
        </w:rPr>
      </w:pP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Pr="00B7597D">
        <w:rPr>
          <w:rFonts w:eastAsia="Calibri" w:cs="Calibri"/>
          <w:color w:val="000000"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Pr="00C67874">
        <w:rPr>
          <w:rFonts w:cs="Calibri"/>
          <w:color w:val="000000"/>
        </w:rPr>
        <w:t xml:space="preserve">solo su prescrizione da parte di centri ospedalieri o di specialisti: ortopedico, fisiatra, internista, ematologi </w:t>
      </w:r>
      <w:r w:rsidRPr="00C67874">
        <w:rPr>
          <w:rFonts w:eastAsia="Calibri" w:cs="Calibri"/>
          <w:color w:val="000000"/>
        </w:rPr>
        <w:t>che lavorano nei Centri di trombosi ed emos</w:t>
      </w:r>
      <w:r w:rsidRPr="00C67874">
        <w:rPr>
          <w:rFonts w:cs="Calibri"/>
          <w:color w:val="000000"/>
        </w:rPr>
        <w:t>tasi, neurologo, geriatra, pneu</w:t>
      </w:r>
      <w:r w:rsidRPr="00C67874">
        <w:rPr>
          <w:rFonts w:eastAsia="Calibri" w:cs="Calibri"/>
          <w:color w:val="000000"/>
        </w:rPr>
        <w:t>mologo e cardiologo</w:t>
      </w:r>
      <w:r w:rsidRPr="00C67874">
        <w:rPr>
          <w:rFonts w:cs="Calibri"/>
          <w:color w:val="000000"/>
        </w:rPr>
        <w:t xml:space="preserve"> con ricetta limitativa ripetibile.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C67874">
        <w:t xml:space="preserve">10.1 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C67874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Pr="00B7597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lang w:eastAsia="it-IT"/>
        </w:rPr>
        <w:t>Pradaxa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C67874" w:rsidRPr="00C67874" w:rsidRDefault="00C67874" w:rsidP="00C678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Pr="00DF190A">
        <w:t>B01AE07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42214D">
        <w:rPr>
          <w:rFonts w:eastAsia="Calibri" w:cs="Calibri"/>
          <w:lang w:eastAsia="it-IT"/>
        </w:rPr>
        <w:t xml:space="preserve"> </w:t>
      </w:r>
      <w:r w:rsidR="00B1186F" w:rsidRPr="00EF6711">
        <w:rPr>
          <w:rFonts w:eastAsia="Calibri" w:cs="Calibri"/>
          <w:bCs/>
          <w:lang w:eastAsia="it-IT"/>
        </w:rPr>
        <w:t>,</w:t>
      </w:r>
      <w:r>
        <w:rPr>
          <w:rFonts w:eastAsia="Calibri" w:cs="Calibri"/>
          <w:bCs/>
          <w:lang w:eastAsia="it-IT"/>
        </w:rPr>
        <w:t xml:space="preserve">che </w:t>
      </w:r>
      <w:r w:rsidR="00B1186F" w:rsidRPr="00EF6711">
        <w:rPr>
          <w:rFonts w:eastAsia="Calibri" w:cs="Calibri"/>
          <w:bCs/>
          <w:lang w:eastAsia="it-IT"/>
        </w:rPr>
        <w:t xml:space="preserve"> </w:t>
      </w:r>
      <w:r w:rsidRPr="00C67874">
        <w:rPr>
          <w:rFonts w:eastAsia="Calibri" w:cs="Calibri"/>
          <w:bCs/>
          <w:lang w:eastAsia="it-IT"/>
        </w:rPr>
        <w:t xml:space="preserve">è un </w:t>
      </w:r>
      <w:proofErr w:type="spellStart"/>
      <w:r w:rsidRPr="00C67874">
        <w:rPr>
          <w:rFonts w:eastAsia="Calibri" w:cs="Calibri"/>
          <w:bCs/>
          <w:lang w:eastAsia="it-IT"/>
        </w:rPr>
        <w:t>profarmaco</w:t>
      </w:r>
      <w:proofErr w:type="spellEnd"/>
      <w:r w:rsidRPr="00C67874">
        <w:rPr>
          <w:rFonts w:eastAsia="Calibri" w:cs="Calibri"/>
          <w:bCs/>
          <w:lang w:eastAsia="it-IT"/>
        </w:rPr>
        <w:t xml:space="preserve"> di piccole dimensioni molecolari che non esercita alcuna attività farmacologica. Dopo somministrazione orale, </w:t>
      </w:r>
      <w:proofErr w:type="spellStart"/>
      <w:r w:rsidRPr="00C67874">
        <w:rPr>
          <w:rFonts w:eastAsia="Calibri" w:cs="Calibri"/>
          <w:bCs/>
          <w:lang w:eastAsia="it-IT"/>
        </w:rPr>
        <w:t>dabigatran</w:t>
      </w:r>
      <w:proofErr w:type="spellEnd"/>
      <w:r w:rsidRPr="00C67874">
        <w:rPr>
          <w:rFonts w:eastAsia="Calibri" w:cs="Calibri"/>
          <w:bCs/>
          <w:lang w:eastAsia="it-IT"/>
        </w:rPr>
        <w:t xml:space="preserve"> </w:t>
      </w:r>
      <w:proofErr w:type="spellStart"/>
      <w:r w:rsidRPr="00C67874">
        <w:rPr>
          <w:rFonts w:eastAsia="Calibri" w:cs="Calibri"/>
          <w:bCs/>
          <w:lang w:eastAsia="it-IT"/>
        </w:rPr>
        <w:t>etexilato</w:t>
      </w:r>
      <w:proofErr w:type="spellEnd"/>
      <w:r w:rsidRPr="00C67874">
        <w:rPr>
          <w:rFonts w:eastAsia="Calibri" w:cs="Calibri"/>
          <w:bCs/>
          <w:lang w:eastAsia="it-IT"/>
        </w:rPr>
        <w:t xml:space="preserve"> è rapidamente assorbito e convertito in </w:t>
      </w:r>
      <w:proofErr w:type="spellStart"/>
      <w:r w:rsidRPr="00C67874">
        <w:rPr>
          <w:rFonts w:eastAsia="Calibri" w:cs="Calibri"/>
          <w:bCs/>
          <w:lang w:eastAsia="it-IT"/>
        </w:rPr>
        <w:t>dabigatran</w:t>
      </w:r>
      <w:proofErr w:type="spellEnd"/>
      <w:r w:rsidRPr="00C67874">
        <w:rPr>
          <w:rFonts w:eastAsia="Calibri" w:cs="Calibri"/>
          <w:bCs/>
          <w:lang w:eastAsia="it-IT"/>
        </w:rPr>
        <w:t xml:space="preserve"> mediante idrolisi catalizzata da esterasi nel plasma e nel fegato. </w:t>
      </w:r>
      <w:proofErr w:type="spellStart"/>
      <w:r w:rsidRPr="00C67874">
        <w:rPr>
          <w:rFonts w:eastAsia="Calibri" w:cs="Calibri"/>
          <w:bCs/>
          <w:lang w:eastAsia="it-IT"/>
        </w:rPr>
        <w:t>Dabigatran</w:t>
      </w:r>
      <w:proofErr w:type="spellEnd"/>
      <w:r w:rsidRPr="00C67874">
        <w:rPr>
          <w:rFonts w:eastAsia="Calibri" w:cs="Calibri"/>
          <w:bCs/>
          <w:lang w:eastAsia="it-IT"/>
        </w:rPr>
        <w:t xml:space="preserve"> è un potente inibitore diretto, competitivo, reversibile della trombina ed è il principio attivo principale che si ritrova nel plasma.</w:t>
      </w:r>
    </w:p>
    <w:p w:rsidR="00C67874" w:rsidRPr="00C67874" w:rsidRDefault="00C67874" w:rsidP="00C678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C67874">
        <w:rPr>
          <w:rFonts w:eastAsia="Calibri" w:cs="Calibri"/>
          <w:bCs/>
          <w:lang w:eastAsia="it-IT"/>
        </w:rPr>
        <w:t>Poiché la trombina (</w:t>
      </w:r>
      <w:proofErr w:type="spellStart"/>
      <w:r w:rsidRPr="00C67874">
        <w:rPr>
          <w:rFonts w:eastAsia="Calibri" w:cs="Calibri"/>
          <w:bCs/>
          <w:lang w:eastAsia="it-IT"/>
        </w:rPr>
        <w:t>proteasi</w:t>
      </w:r>
      <w:proofErr w:type="spellEnd"/>
      <w:r w:rsidRPr="00C67874">
        <w:rPr>
          <w:rFonts w:eastAsia="Calibri" w:cs="Calibri"/>
          <w:bCs/>
          <w:lang w:eastAsia="it-IT"/>
        </w:rPr>
        <w:t xml:space="preserve"> della </w:t>
      </w:r>
      <w:proofErr w:type="spellStart"/>
      <w:r w:rsidRPr="00C67874">
        <w:rPr>
          <w:rFonts w:eastAsia="Calibri" w:cs="Calibri"/>
          <w:bCs/>
          <w:lang w:eastAsia="it-IT"/>
        </w:rPr>
        <w:t>serina</w:t>
      </w:r>
      <w:proofErr w:type="spellEnd"/>
      <w:r w:rsidRPr="00C67874">
        <w:rPr>
          <w:rFonts w:eastAsia="Calibri" w:cs="Calibri"/>
          <w:bCs/>
          <w:lang w:eastAsia="it-IT"/>
        </w:rPr>
        <w:t xml:space="preserve">) consente la conversione del fibrinogeno in fibrina nella cascata della coagulazione, la sua inibizione previene la formazione di trombi. </w:t>
      </w:r>
      <w:proofErr w:type="spellStart"/>
      <w:r w:rsidRPr="00C67874">
        <w:rPr>
          <w:rFonts w:eastAsia="Calibri" w:cs="Calibri"/>
          <w:bCs/>
          <w:lang w:eastAsia="it-IT"/>
        </w:rPr>
        <w:t>Dabigatran</w:t>
      </w:r>
      <w:proofErr w:type="spellEnd"/>
      <w:r w:rsidRPr="00C67874">
        <w:rPr>
          <w:rFonts w:eastAsia="Calibri" w:cs="Calibri"/>
          <w:bCs/>
          <w:lang w:eastAsia="it-IT"/>
        </w:rPr>
        <w:t xml:space="preserve"> inibisce la trombina libera, la trombina legata a fibrina e l’aggregazione delle piastrine indotta dalla trombina.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67874" w:rsidRDefault="00C67874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Pharma</w:t>
      </w:r>
      <w:proofErr w:type="spellEnd"/>
      <w:r>
        <w:t xml:space="preserve"> </w:t>
      </w:r>
      <w:r w:rsidR="00265B61">
        <w:t>è utilizzato</w:t>
      </w:r>
      <w:r>
        <w:t>:</w:t>
      </w:r>
    </w:p>
    <w:p w:rsidR="00C67874" w:rsidRDefault="00C67874" w:rsidP="00C678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bookmarkStart w:id="2" w:name="_Hlk515612625"/>
      <w:r>
        <w:t xml:space="preserve">- </w:t>
      </w:r>
      <w:r w:rsidRPr="00C67874">
        <w:t xml:space="preserve">Prevenzione primaria di episodi </w:t>
      </w:r>
      <w:proofErr w:type="spellStart"/>
      <w:r w:rsidRPr="00C67874">
        <w:t>tromboembolici</w:t>
      </w:r>
      <w:proofErr w:type="spellEnd"/>
      <w:r w:rsidRPr="00C67874">
        <w:t xml:space="preserve"> in pazienti adulti sottoposti a chirurgia sostitutiva elettiva totale dell’anca o del ginocchio.</w:t>
      </w:r>
      <w:r>
        <w:t xml:space="preserve"> (dosaggio da 75 mg e 110mg)</w:t>
      </w:r>
    </w:p>
    <w:p w:rsidR="00C67874" w:rsidRPr="00C67874" w:rsidRDefault="00C67874" w:rsidP="00C678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>
        <w:t xml:space="preserve">- </w:t>
      </w:r>
      <w:r w:rsidRPr="00C67874">
        <w:rPr>
          <w:rFonts w:ascii="Calibri" w:eastAsia="Calibri" w:hAnsi="Calibri" w:cs="Times New Roman"/>
        </w:rPr>
        <w:t>Prevenzione di ictus e embolia sistemica in pazienti adulti con fibrillazione atriale non-valvolare (FANV), con uno o più fattori di rischio, quali precedente ictus o attacco ischemico transitorio (TIA); età ≥ 75 anni; insufficienza cardiaca (Classe NYHA ≥ II); diabete mellito; ipertensione.</w:t>
      </w:r>
      <w:r>
        <w:t xml:space="preserve"> (dosaggio da 110mg e 150mg)</w:t>
      </w:r>
    </w:p>
    <w:p w:rsidR="00C67874" w:rsidRPr="00C67874" w:rsidRDefault="00C67874" w:rsidP="00C678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>
        <w:t xml:space="preserve">- </w:t>
      </w:r>
      <w:r w:rsidRPr="00C67874">
        <w:rPr>
          <w:rFonts w:ascii="Calibri" w:eastAsia="Calibri" w:hAnsi="Calibri" w:cs="Times New Roman"/>
        </w:rPr>
        <w:t>Trattamento della trombosi venosa profonda (TVP) e dell’embolia polmonare (EP) e prevenzione delle recidive di TVP e EP negli adulti.</w:t>
      </w:r>
      <w:r>
        <w:t>(dosaggio da 110mg e 150 mg)</w:t>
      </w:r>
    </w:p>
    <w:p w:rsidR="00C67874" w:rsidRPr="00C67874" w:rsidRDefault="00C67874" w:rsidP="00C6787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bookmarkEnd w:id="2"/>
    <w:p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42214D" w:rsidRPr="00900C91" w:rsidRDefault="0042214D" w:rsidP="0042214D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6D007D">
        <w:t xml:space="preserve"> </w:t>
      </w:r>
      <w:r w:rsidRPr="00900C91">
        <w:t>e quelli del medicinale</w:t>
      </w:r>
      <w:r>
        <w:t xml:space="preserve"> di riferimento</w:t>
      </w:r>
      <w:r w:rsidRPr="00900C91">
        <w:t xml:space="preserve"> </w:t>
      </w:r>
      <w:proofErr w:type="spellStart"/>
      <w:r w:rsidR="006D007D">
        <w:t>Pradaxa</w:t>
      </w:r>
      <w:proofErr w:type="spellEnd"/>
      <w:r>
        <w:t xml:space="preserve"> autorizzato in Italia</w:t>
      </w:r>
      <w:r w:rsidRPr="00900C91">
        <w:t>.</w:t>
      </w:r>
    </w:p>
    <w:p w:rsidR="0042214D" w:rsidRDefault="0042214D" w:rsidP="0042214D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CC52A3" w:rsidRPr="00900C91" w:rsidRDefault="00CC52A3" w:rsidP="0042214D">
      <w:pPr>
        <w:spacing w:after="0" w:line="240" w:lineRule="auto"/>
        <w:jc w:val="both"/>
      </w:pP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</w:t>
      </w:r>
      <w:proofErr w:type="spellStart"/>
      <w:r w:rsidRPr="00EF6711">
        <w:rPr>
          <w:i/>
        </w:rPr>
        <w:t>Plan</w:t>
      </w:r>
      <w:proofErr w:type="spellEnd"/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6D007D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</w:t>
      </w:r>
      <w:r w:rsidRPr="00EF6711">
        <w:lastRenderedPageBreak/>
        <w:t>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485F57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485F57">
        <w:rPr>
          <w:b/>
        </w:rPr>
        <w:t xml:space="preserve">ASPETTI </w:t>
      </w:r>
      <w:proofErr w:type="spellStart"/>
      <w:r w:rsidRPr="00485F57">
        <w:rPr>
          <w:b/>
        </w:rPr>
        <w:t>DI</w:t>
      </w:r>
      <w:proofErr w:type="spellEnd"/>
      <w:r w:rsidRPr="00485F57">
        <w:rPr>
          <w:b/>
        </w:rPr>
        <w:t xml:space="preserve"> QUALITA’</w:t>
      </w:r>
    </w:p>
    <w:p w:rsidR="00F81216" w:rsidRPr="00485F57" w:rsidRDefault="00F81216" w:rsidP="00EF6711">
      <w:pPr>
        <w:spacing w:after="0" w:line="240" w:lineRule="auto"/>
        <w:jc w:val="both"/>
        <w:rPr>
          <w:b/>
          <w:i/>
          <w:sz w:val="20"/>
        </w:rPr>
      </w:pPr>
    </w:p>
    <w:p w:rsidR="004E5A39" w:rsidRPr="00485F57" w:rsidRDefault="004E5A39" w:rsidP="00EF6711">
      <w:pPr>
        <w:spacing w:after="0" w:line="240" w:lineRule="auto"/>
        <w:jc w:val="both"/>
      </w:pPr>
      <w:r w:rsidRPr="00485F57">
        <w:rPr>
          <w:b/>
        </w:rPr>
        <w:t xml:space="preserve">II.1 PRINCIPIO ATTIVO </w:t>
      </w:r>
      <w:r w:rsidR="00F81216" w:rsidRPr="00485F57">
        <w:rPr>
          <w:b/>
        </w:rPr>
        <w:t>DABIGATRAN ETEXILATO MESILATO</w:t>
      </w:r>
    </w:p>
    <w:p w:rsidR="004E5A39" w:rsidRPr="00485F57" w:rsidRDefault="004E5A39" w:rsidP="000D3D3B">
      <w:pPr>
        <w:autoSpaceDE w:val="0"/>
        <w:autoSpaceDN w:val="0"/>
        <w:adjustRightInd w:val="0"/>
        <w:spacing w:after="0" w:line="240" w:lineRule="auto"/>
        <w:rPr>
          <w:iCs/>
        </w:rPr>
      </w:pPr>
      <w:r w:rsidRPr="00485F57">
        <w:rPr>
          <w:u w:val="single"/>
        </w:rPr>
        <w:t>Nome chimico</w:t>
      </w:r>
      <w:r w:rsidR="00F81216" w:rsidRPr="00485F57">
        <w:rPr>
          <w:u w:val="single"/>
        </w:rPr>
        <w:t>:</w:t>
      </w:r>
      <w:r w:rsidR="000E4494" w:rsidRPr="00485F57">
        <w:rPr>
          <w:i/>
          <w:iCs/>
        </w:rPr>
        <w:t xml:space="preserve"> </w:t>
      </w:r>
      <w:proofErr w:type="spellStart"/>
      <w:r w:rsidR="000D3D3B" w:rsidRPr="00485F57">
        <w:rPr>
          <w:iCs/>
        </w:rPr>
        <w:t>ethyl</w:t>
      </w:r>
      <w:proofErr w:type="spellEnd"/>
      <w:r w:rsidR="000D3D3B" w:rsidRPr="00485F57">
        <w:rPr>
          <w:iCs/>
        </w:rPr>
        <w:t xml:space="preserve"> 3-[[2-[[4-[(Z)-N'-hexoxycarbonylcarbamimidoyl]anilino]methyl]-1-methylbenzimidazole-5-carbonyl]-pyridin-2-ylamino]propanoate;methanesulfonic acid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rPr>
          <w:u w:val="single"/>
        </w:rPr>
        <w:t>Struttura</w:t>
      </w:r>
      <w:r w:rsidRPr="00485F57">
        <w:t>:</w:t>
      </w:r>
    </w:p>
    <w:p w:rsidR="004E5A39" w:rsidRPr="00485F57" w:rsidRDefault="000D3D3B" w:rsidP="00EF6711">
      <w:pPr>
        <w:spacing w:after="0" w:line="240" w:lineRule="auto"/>
        <w:jc w:val="center"/>
      </w:pPr>
      <w:r w:rsidRPr="00485F57">
        <w:rPr>
          <w:noProof/>
          <w:lang w:eastAsia="it-IT"/>
        </w:rPr>
        <w:drawing>
          <wp:inline distT="0" distB="0" distL="0" distR="0">
            <wp:extent cx="3209180" cy="1217161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133" cy="121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rPr>
          <w:u w:val="single"/>
        </w:rPr>
        <w:t>Formula molecolare</w:t>
      </w:r>
      <w:r w:rsidRPr="00485F57">
        <w:t>:</w:t>
      </w:r>
      <w:r w:rsidRPr="00485F57">
        <w:rPr>
          <w:rStyle w:val="s1"/>
          <w:rFonts w:asciiTheme="minorHAnsi" w:hAnsiTheme="minorHAnsi"/>
        </w:rPr>
        <w:t xml:space="preserve"> </w:t>
      </w:r>
      <w:r w:rsidR="000D3D3B" w:rsidRPr="00485F57">
        <w:rPr>
          <w:rFonts w:cs="Calibri"/>
        </w:rPr>
        <w:t>C</w:t>
      </w:r>
      <w:r w:rsidR="000D3D3B" w:rsidRPr="00485F57">
        <w:rPr>
          <w:rFonts w:cs="Calibri"/>
          <w:vertAlign w:val="subscript"/>
        </w:rPr>
        <w:t>35</w:t>
      </w:r>
      <w:r w:rsidR="000D3D3B" w:rsidRPr="00485F57">
        <w:rPr>
          <w:rFonts w:cs="Calibri"/>
        </w:rPr>
        <w:t>H</w:t>
      </w:r>
      <w:r w:rsidR="000D3D3B" w:rsidRPr="00485F57">
        <w:rPr>
          <w:rFonts w:cs="Calibri"/>
          <w:vertAlign w:val="subscript"/>
        </w:rPr>
        <w:t>45</w:t>
      </w:r>
      <w:r w:rsidR="000D3D3B" w:rsidRPr="00485F57">
        <w:rPr>
          <w:rFonts w:cs="Calibri"/>
        </w:rPr>
        <w:t>N</w:t>
      </w:r>
      <w:r w:rsidR="000D3D3B" w:rsidRPr="00485F57">
        <w:rPr>
          <w:rFonts w:cs="Calibri"/>
          <w:vertAlign w:val="subscript"/>
        </w:rPr>
        <w:t>7</w:t>
      </w:r>
      <w:r w:rsidR="000D3D3B" w:rsidRPr="00485F57">
        <w:rPr>
          <w:rFonts w:cs="Calibri"/>
        </w:rPr>
        <w:t>O</w:t>
      </w:r>
      <w:r w:rsidR="000D3D3B" w:rsidRPr="00485F57">
        <w:rPr>
          <w:rFonts w:cs="Calibri"/>
          <w:vertAlign w:val="subscript"/>
        </w:rPr>
        <w:t>8</w:t>
      </w:r>
      <w:r w:rsidR="000D3D3B" w:rsidRPr="00485F57">
        <w:rPr>
          <w:rFonts w:cs="Calibri"/>
        </w:rPr>
        <w:t>S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rPr>
          <w:u w:val="single"/>
        </w:rPr>
        <w:t>Peso molecolare</w:t>
      </w:r>
      <w:r w:rsidRPr="00485F57">
        <w:t>:</w:t>
      </w:r>
      <w:r w:rsidRPr="00485F57">
        <w:rPr>
          <w:rFonts w:cs="Arial"/>
          <w:color w:val="252525"/>
          <w:shd w:val="clear" w:color="auto" w:fill="F9F9F9"/>
        </w:rPr>
        <w:t xml:space="preserve"> </w:t>
      </w:r>
      <w:r w:rsidR="000D3D3B" w:rsidRPr="00485F57">
        <w:rPr>
          <w:rFonts w:cs="Calibri"/>
        </w:rPr>
        <w:t>723.86</w:t>
      </w:r>
      <w:r w:rsidR="009A23DE" w:rsidRPr="00485F57">
        <w:rPr>
          <w:rFonts w:cs="Calibri"/>
        </w:rPr>
        <w:t xml:space="preserve"> </w:t>
      </w:r>
      <w:r w:rsidRPr="00485F57">
        <w:rPr>
          <w:rStyle w:val="s1"/>
          <w:rFonts w:asciiTheme="minorHAnsi" w:hAnsiTheme="minorHAnsi"/>
        </w:rPr>
        <w:t>g/mol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rPr>
          <w:u w:val="single"/>
        </w:rPr>
        <w:t>CAS</w:t>
      </w:r>
      <w:r w:rsidRPr="00485F57">
        <w:t xml:space="preserve">: </w:t>
      </w:r>
      <w:r w:rsidR="000D3D3B" w:rsidRPr="00485F57">
        <w:t>[872728-81-9]</w:t>
      </w:r>
    </w:p>
    <w:p w:rsidR="000D3D3B" w:rsidRPr="00485F57" w:rsidRDefault="004E5A39" w:rsidP="00EF6711">
      <w:pPr>
        <w:spacing w:after="0" w:line="240" w:lineRule="auto"/>
        <w:jc w:val="both"/>
        <w:rPr>
          <w:b/>
          <w:i/>
          <w:sz w:val="20"/>
        </w:rPr>
      </w:pPr>
      <w:r w:rsidRPr="00485F57">
        <w:rPr>
          <w:u w:val="single"/>
        </w:rPr>
        <w:t>Aspetto</w:t>
      </w:r>
      <w:r w:rsidRPr="00485F57">
        <w:t xml:space="preserve">: </w:t>
      </w:r>
      <w:r w:rsidR="000D3D3B" w:rsidRPr="00485F57">
        <w:t>polvere di colore da bianca-gialla a gialla</w:t>
      </w:r>
      <w:r w:rsidR="00CC52A3" w:rsidRPr="00485F57">
        <w:t xml:space="preserve"> </w:t>
      </w:r>
    </w:p>
    <w:p w:rsidR="004E5A39" w:rsidRPr="00485F57" w:rsidRDefault="004E5A39" w:rsidP="00EF6711">
      <w:pPr>
        <w:spacing w:after="0" w:line="240" w:lineRule="auto"/>
        <w:jc w:val="both"/>
        <w:rPr>
          <w:rStyle w:val="s1"/>
          <w:rFonts w:asciiTheme="minorHAnsi" w:hAnsiTheme="minorHAnsi" w:cstheme="minorBidi"/>
          <w:b/>
          <w:i/>
          <w:sz w:val="20"/>
        </w:rPr>
      </w:pPr>
      <w:r w:rsidRPr="00485F57">
        <w:rPr>
          <w:u w:val="single"/>
        </w:rPr>
        <w:t>Solubilità</w:t>
      </w:r>
      <w:r w:rsidRPr="00485F57">
        <w:t xml:space="preserve">: </w:t>
      </w:r>
      <w:r w:rsidR="000D3D3B" w:rsidRPr="00485F57">
        <w:t xml:space="preserve">molto solubile in metanolo, solubile in etanolo, praticamente insolubile in </w:t>
      </w:r>
      <w:proofErr w:type="spellStart"/>
      <w:r w:rsidR="000D3D3B" w:rsidRPr="00485F57">
        <w:t>etil</w:t>
      </w:r>
      <w:proofErr w:type="spellEnd"/>
      <w:r w:rsidR="000D3D3B" w:rsidRPr="00485F57">
        <w:t xml:space="preserve"> acetato</w:t>
      </w:r>
    </w:p>
    <w:p w:rsidR="004E5A39" w:rsidRPr="00485F57" w:rsidRDefault="004E5A39" w:rsidP="00EF6711">
      <w:pPr>
        <w:spacing w:after="0" w:line="240" w:lineRule="auto"/>
        <w:jc w:val="both"/>
      </w:pPr>
    </w:p>
    <w:p w:rsidR="00265B61" w:rsidRPr="00485F57" w:rsidRDefault="00265B61" w:rsidP="00265B61">
      <w:pPr>
        <w:spacing w:after="0" w:line="240" w:lineRule="auto"/>
        <w:jc w:val="both"/>
      </w:pPr>
      <w:r w:rsidRPr="00485F57">
        <w:t>Il principio attivo non è</w:t>
      </w:r>
      <w:r w:rsidR="00CC52A3" w:rsidRPr="00485F57">
        <w:t xml:space="preserve"> </w:t>
      </w:r>
      <w:r w:rsidRPr="00485F57">
        <w:t xml:space="preserve">presente in Farmacopea Europea; il produttore ha presentato un ASMF. </w:t>
      </w:r>
    </w:p>
    <w:p w:rsidR="00265B61" w:rsidRPr="00485F57" w:rsidRDefault="00265B61" w:rsidP="00265B61">
      <w:pPr>
        <w:spacing w:after="0" w:line="240" w:lineRule="auto"/>
        <w:jc w:val="both"/>
      </w:pPr>
      <w:r w:rsidRPr="00485F57">
        <w:t>La sintesi del principio attivo è stata adeguatamente descritta a partire da idonei materiali di partenza; sono utilizzati appropriati controlli di processo e intermedi di sintesi.</w:t>
      </w:r>
    </w:p>
    <w:p w:rsidR="00265B61" w:rsidRPr="00485F57" w:rsidRDefault="00265B61" w:rsidP="00265B61">
      <w:pPr>
        <w:spacing w:after="0" w:line="240" w:lineRule="auto"/>
        <w:jc w:val="both"/>
      </w:pPr>
      <w:r w:rsidRPr="00485F57">
        <w:t>I materiali e i reagenti utilizzati nella sintesi sono di qualità adeguata.</w:t>
      </w:r>
    </w:p>
    <w:p w:rsidR="00265B61" w:rsidRPr="00485F57" w:rsidRDefault="00265B61" w:rsidP="00265B61">
      <w:pPr>
        <w:spacing w:after="0" w:line="240" w:lineRule="auto"/>
        <w:jc w:val="both"/>
      </w:pPr>
      <w:r w:rsidRPr="00485F57"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:rsidR="00265B61" w:rsidRPr="00485F57" w:rsidRDefault="00265B61" w:rsidP="00265B61">
      <w:pPr>
        <w:spacing w:after="0" w:line="240" w:lineRule="auto"/>
        <w:jc w:val="both"/>
      </w:pPr>
      <w:r w:rsidRPr="00485F57">
        <w:t>Le specifiche del principio attivo sono appropriate e controllate con metodi analitici adeguatamente convalidati. Sono stati forniti certificati analitici che confermano la qualità del principio attivo.</w:t>
      </w:r>
    </w:p>
    <w:p w:rsidR="00265B61" w:rsidRPr="00485F57" w:rsidRDefault="00265B61" w:rsidP="00265B61">
      <w:pPr>
        <w:spacing w:after="0" w:line="240" w:lineRule="auto"/>
        <w:jc w:val="both"/>
      </w:pPr>
      <w:r w:rsidRPr="00485F57">
        <w:t xml:space="preserve">Il principio attivo è confezionato in un adeguato contenitore, per il quale sono stati forniti specifiche e certificati analitici. Il confezionamento primario è costituito da </w:t>
      </w:r>
      <w:r w:rsidR="00E441E1" w:rsidRPr="00485F57">
        <w:t>una d</w:t>
      </w:r>
      <w:r w:rsidR="00E441E1" w:rsidRPr="00485F57">
        <w:rPr>
          <w:rFonts w:ascii="Calibri" w:eastAsia="Calibri" w:hAnsi="Calibri" w:cs="Times New Roman"/>
        </w:rPr>
        <w:t>oppia busta trasparente di polietilene (entrambe sotto azoto) posta in una busta nera di polietilene sotto azoto con gel di silice; il tutto viene posto in busta in tripla lamina sotto azoto, sistemata in contenitore in HDPE.</w:t>
      </w:r>
    </w:p>
    <w:p w:rsidR="00265B61" w:rsidRPr="00485F57" w:rsidRDefault="00265B61" w:rsidP="00265B61">
      <w:pPr>
        <w:spacing w:after="0" w:line="240" w:lineRule="auto"/>
        <w:jc w:val="both"/>
      </w:pPr>
      <w:r w:rsidRPr="00485F57">
        <w:t xml:space="preserve">Sono stati forniti adeguati studi di stabilità per il principio attivo </w:t>
      </w:r>
      <w:r w:rsidR="001B19C0" w:rsidRPr="00485F57">
        <w:t xml:space="preserve">in forma non micronizzata </w:t>
      </w:r>
      <w:r w:rsidRPr="00485F57">
        <w:t xml:space="preserve">conservato nel confezionamento proposto per il commercio. Sulla base di questi dati, è stato approvato un periodo di </w:t>
      </w:r>
      <w:proofErr w:type="spellStart"/>
      <w:r w:rsidRPr="00485F57">
        <w:t>retest</w:t>
      </w:r>
      <w:proofErr w:type="spellEnd"/>
      <w:r w:rsidRPr="00485F57">
        <w:t xml:space="preserve"> di </w:t>
      </w:r>
      <w:r w:rsidR="001B19C0" w:rsidRPr="00485F57">
        <w:t>48</w:t>
      </w:r>
      <w:r w:rsidRPr="00485F57">
        <w:t xml:space="preserve"> mesi.</w:t>
      </w:r>
    </w:p>
    <w:p w:rsidR="000B7AC8" w:rsidRPr="00485F57" w:rsidRDefault="000B7AC8" w:rsidP="00EF6711">
      <w:pPr>
        <w:spacing w:after="0" w:line="240" w:lineRule="auto"/>
        <w:jc w:val="both"/>
      </w:pP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>II.2 PRODOTTO FINITO</w:t>
      </w: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>Descrizione e composizione</w:t>
      </w:r>
    </w:p>
    <w:p w:rsidR="004E5A39" w:rsidRPr="00485F57" w:rsidRDefault="001B19C0" w:rsidP="00EF6711">
      <w:pPr>
        <w:widowControl w:val="0"/>
        <w:spacing w:after="0" w:line="240" w:lineRule="auto"/>
        <w:jc w:val="both"/>
      </w:pPr>
      <w:proofErr w:type="spellStart"/>
      <w:r w:rsidRPr="00485F57">
        <w:rPr>
          <w:rFonts w:eastAsia="Calibri" w:cs="Calibri"/>
          <w:color w:val="000000"/>
          <w:lang w:eastAsia="it-IT"/>
        </w:rPr>
        <w:t>Dabigatran</w:t>
      </w:r>
      <w:proofErr w:type="spellEnd"/>
      <w:r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85F57">
        <w:rPr>
          <w:rFonts w:eastAsia="Calibri" w:cs="Calibri"/>
          <w:color w:val="000000"/>
          <w:lang w:eastAsia="it-IT"/>
        </w:rPr>
        <w:t>Etexilato</w:t>
      </w:r>
      <w:proofErr w:type="spellEnd"/>
      <w:r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85F57">
        <w:rPr>
          <w:rFonts w:eastAsia="Calibri" w:cs="Calibri"/>
          <w:color w:val="000000"/>
          <w:lang w:eastAsia="it-IT"/>
        </w:rPr>
        <w:t>Vi.Rel</w:t>
      </w:r>
      <w:proofErr w:type="spellEnd"/>
      <w:r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85F57">
        <w:rPr>
          <w:rFonts w:eastAsia="Calibri" w:cs="Calibri"/>
          <w:color w:val="000000"/>
          <w:lang w:eastAsia="it-IT"/>
        </w:rPr>
        <w:t>Pharma</w:t>
      </w:r>
      <w:proofErr w:type="spellEnd"/>
      <w:r w:rsidR="000B7AC8" w:rsidRPr="00485F57">
        <w:rPr>
          <w:rFonts w:eastAsia="Calibri" w:cs="Calibri"/>
          <w:color w:val="000000"/>
          <w:lang w:eastAsia="it-IT"/>
        </w:rPr>
        <w:t xml:space="preserve"> è disponibile in </w:t>
      </w:r>
      <w:proofErr w:type="spellStart"/>
      <w:r w:rsidR="00336805" w:rsidRPr="00485F57">
        <w:rPr>
          <w:rFonts w:eastAsia="Calibri" w:cs="Calibri"/>
          <w:color w:val="000000"/>
          <w:lang w:eastAsia="it-IT"/>
        </w:rPr>
        <w:t>in</w:t>
      </w:r>
      <w:proofErr w:type="spellEnd"/>
      <w:r w:rsidR="00336805" w:rsidRPr="00485F57">
        <w:rPr>
          <w:rFonts w:eastAsia="Calibri" w:cs="Calibri"/>
          <w:color w:val="000000"/>
          <w:lang w:eastAsia="it-IT"/>
        </w:rPr>
        <w:t xml:space="preserve"> capsule rigide contenenti 75 mg, 110 mg e 175 mg di principio attivo</w:t>
      </w:r>
      <w:r w:rsidR="00B30431" w:rsidRPr="00485F57">
        <w:rPr>
          <w:rFonts w:eastAsia="Calibri" w:cs="Calibri"/>
          <w:color w:val="000000"/>
          <w:lang w:eastAsia="it-IT"/>
        </w:rPr>
        <w:t>.</w:t>
      </w:r>
      <w:r w:rsidR="004E5A39" w:rsidRPr="00485F57">
        <w:rPr>
          <w:rFonts w:cs="Helvetica"/>
        </w:rPr>
        <w:t xml:space="preserve"> </w:t>
      </w:r>
    </w:p>
    <w:p w:rsidR="002F78CB" w:rsidRPr="00485F57" w:rsidRDefault="004E5A39" w:rsidP="00EF6711">
      <w:pPr>
        <w:spacing w:after="0" w:line="240" w:lineRule="auto"/>
        <w:jc w:val="both"/>
      </w:pPr>
      <w:r w:rsidRPr="00485F57">
        <w:t xml:space="preserve">Gli eccipienti </w:t>
      </w:r>
      <w:r w:rsidR="00336805" w:rsidRPr="00485F57">
        <w:t xml:space="preserve">delle capsule </w:t>
      </w:r>
      <w:r w:rsidRPr="00485F57">
        <w:t>sono</w:t>
      </w:r>
      <w:r w:rsidR="002F78CB" w:rsidRPr="00485F57">
        <w:t>:</w:t>
      </w:r>
    </w:p>
    <w:p w:rsidR="002F78CB" w:rsidRPr="00485F57" w:rsidRDefault="002F78CB" w:rsidP="002F78CB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485F57">
        <w:rPr>
          <w:rFonts w:ascii="Calibri" w:eastAsia="Calibri" w:hAnsi="Calibri" w:cs="Times New Roman"/>
          <w:u w:val="single"/>
        </w:rPr>
        <w:t>Contenuto della capsula</w:t>
      </w:r>
    </w:p>
    <w:p w:rsidR="002F78CB" w:rsidRPr="00485F57" w:rsidRDefault="00B54161" w:rsidP="002F78CB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485F57">
        <w:rPr>
          <w:rFonts w:ascii="Calibri" w:eastAsia="Calibri" w:hAnsi="Calibri" w:cs="Times New Roman"/>
        </w:rPr>
        <w:t>Alcool isopropilico</w:t>
      </w:r>
      <w:r w:rsidR="002F78CB" w:rsidRPr="00485F57">
        <w:rPr>
          <w:rFonts w:ascii="Calibri" w:eastAsia="Calibri" w:hAnsi="Calibri" w:cs="Times New Roman"/>
        </w:rPr>
        <w:t xml:space="preserve">, cellulosa microcristallina (E460), </w:t>
      </w:r>
      <w:proofErr w:type="spellStart"/>
      <w:r w:rsidR="002F78CB" w:rsidRPr="00485F57">
        <w:rPr>
          <w:rFonts w:ascii="Calibri" w:eastAsia="Calibri" w:hAnsi="Calibri" w:cs="Times New Roman"/>
        </w:rPr>
        <w:t>Croscarmellosa</w:t>
      </w:r>
      <w:proofErr w:type="spellEnd"/>
      <w:r w:rsidR="002F78CB" w:rsidRPr="00485F57">
        <w:rPr>
          <w:rFonts w:ascii="Calibri" w:eastAsia="Calibri" w:hAnsi="Calibri" w:cs="Times New Roman"/>
        </w:rPr>
        <w:t xml:space="preserve"> sodica (E468), </w:t>
      </w:r>
      <w:proofErr w:type="spellStart"/>
      <w:r w:rsidR="002F78CB" w:rsidRPr="00485F57">
        <w:rPr>
          <w:rFonts w:ascii="Calibri" w:eastAsia="Calibri" w:hAnsi="Calibri" w:cs="Times New Roman"/>
        </w:rPr>
        <w:t>Crospovidone</w:t>
      </w:r>
      <w:proofErr w:type="spellEnd"/>
      <w:r w:rsidR="002F78CB" w:rsidRPr="00485F57">
        <w:rPr>
          <w:rFonts w:ascii="Calibri" w:eastAsia="Calibri" w:hAnsi="Calibri" w:cs="Times New Roman"/>
        </w:rPr>
        <w:t xml:space="preserve">, Talco, Acido   tartarico   in   </w:t>
      </w:r>
      <w:proofErr w:type="spellStart"/>
      <w:r w:rsidR="002F78CB" w:rsidRPr="00485F57">
        <w:rPr>
          <w:rFonts w:ascii="Calibri" w:eastAsia="Calibri" w:hAnsi="Calibri" w:cs="Times New Roman"/>
        </w:rPr>
        <w:t>pellets</w:t>
      </w:r>
      <w:proofErr w:type="spellEnd"/>
      <w:r w:rsidR="002F78CB" w:rsidRPr="00485F57">
        <w:rPr>
          <w:rFonts w:ascii="Calibri" w:eastAsia="Calibri" w:hAnsi="Calibri" w:cs="Times New Roman"/>
        </w:rPr>
        <w:t xml:space="preserve">, </w:t>
      </w:r>
      <w:proofErr w:type="spellStart"/>
      <w:r w:rsidR="002F78CB" w:rsidRPr="00485F57">
        <w:rPr>
          <w:rFonts w:ascii="Calibri" w:eastAsia="Calibri" w:hAnsi="Calibri" w:cs="Times New Roman"/>
        </w:rPr>
        <w:t>Idrossipropilcellulosa</w:t>
      </w:r>
      <w:proofErr w:type="spellEnd"/>
      <w:r w:rsidR="002F78CB" w:rsidRPr="00485F57">
        <w:rPr>
          <w:rFonts w:ascii="Calibri" w:eastAsia="Calibri" w:hAnsi="Calibri" w:cs="Times New Roman"/>
        </w:rPr>
        <w:t xml:space="preserve">, Mannitolo, Magnesio   stearato </w:t>
      </w:r>
    </w:p>
    <w:p w:rsidR="002F78CB" w:rsidRPr="00485F57" w:rsidRDefault="002F78CB" w:rsidP="002F78CB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485F57">
        <w:rPr>
          <w:rFonts w:ascii="Calibri" w:eastAsia="Calibri" w:hAnsi="Calibri" w:cs="Times New Roman"/>
          <w:u w:val="single"/>
        </w:rPr>
        <w:t>Involucro della capsula (</w:t>
      </w:r>
      <w:proofErr w:type="spellStart"/>
      <w:r w:rsidRPr="00485F57">
        <w:rPr>
          <w:rFonts w:ascii="Calibri" w:eastAsia="Calibri" w:hAnsi="Calibri" w:cs="Times New Roman"/>
          <w:u w:val="single"/>
        </w:rPr>
        <w:t>size</w:t>
      </w:r>
      <w:proofErr w:type="spellEnd"/>
      <w:r w:rsidRPr="00485F57">
        <w:rPr>
          <w:rFonts w:ascii="Calibri" w:eastAsia="Calibri" w:hAnsi="Calibri" w:cs="Times New Roman"/>
          <w:u w:val="single"/>
        </w:rPr>
        <w:t xml:space="preserve"> 2)</w:t>
      </w:r>
      <w:r w:rsidRPr="00485F57">
        <w:rPr>
          <w:rFonts w:ascii="Calibri" w:eastAsia="Calibri" w:hAnsi="Calibri" w:cs="Times New Roman"/>
        </w:rPr>
        <w:t>:</w:t>
      </w:r>
    </w:p>
    <w:p w:rsidR="002F78CB" w:rsidRPr="00485F57" w:rsidRDefault="002F78CB" w:rsidP="002F78CB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spellStart"/>
      <w:r w:rsidRPr="00485F57">
        <w:rPr>
          <w:rFonts w:ascii="Calibri" w:eastAsia="Calibri" w:hAnsi="Calibri" w:cs="Times New Roman"/>
        </w:rPr>
        <w:t>Ipromellosa</w:t>
      </w:r>
      <w:proofErr w:type="spellEnd"/>
      <w:r w:rsidRPr="00485F57">
        <w:rPr>
          <w:rFonts w:ascii="Calibri" w:eastAsia="Calibri" w:hAnsi="Calibri" w:cs="Times New Roman"/>
        </w:rPr>
        <w:t xml:space="preserve"> (E464), Titanio diossido (E171), Ferro ossido rosso (E172), Inchiostro nero</w:t>
      </w:r>
    </w:p>
    <w:p w:rsidR="002F78CB" w:rsidRPr="00485F57" w:rsidRDefault="002F78CB" w:rsidP="002F78CB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2F78CB" w:rsidRPr="00485F57" w:rsidRDefault="002F78CB" w:rsidP="002F78CB">
      <w:pPr>
        <w:spacing w:after="0" w:line="240" w:lineRule="auto"/>
        <w:jc w:val="both"/>
      </w:pPr>
      <w:r w:rsidRPr="00485F57">
        <w:rPr>
          <w:rFonts w:ascii="Calibri" w:eastAsia="Calibri" w:hAnsi="Calibri" w:cs="Times New Roman"/>
        </w:rPr>
        <w:t xml:space="preserve">L’inchiostro nero per stampa contiene gommalacca, </w:t>
      </w:r>
      <w:r w:rsidR="00B54161" w:rsidRPr="00485F57">
        <w:rPr>
          <w:rFonts w:ascii="Calibri" w:eastAsia="Calibri" w:hAnsi="Calibri" w:cs="Times New Roman"/>
        </w:rPr>
        <w:t xml:space="preserve">glicole </w:t>
      </w:r>
      <w:proofErr w:type="spellStart"/>
      <w:r w:rsidR="00B54161" w:rsidRPr="00485F57">
        <w:rPr>
          <w:rFonts w:ascii="Calibri" w:eastAsia="Calibri" w:hAnsi="Calibri" w:cs="Times New Roman"/>
        </w:rPr>
        <w:t>propilenico</w:t>
      </w:r>
      <w:proofErr w:type="spellEnd"/>
      <w:r w:rsidRPr="00485F57">
        <w:rPr>
          <w:rFonts w:ascii="Calibri" w:eastAsia="Calibri" w:hAnsi="Calibri" w:cs="Times New Roman"/>
        </w:rPr>
        <w:t xml:space="preserve">, ferro ossido nero(E172), soluzione </w:t>
      </w:r>
      <w:r w:rsidR="00B54161" w:rsidRPr="00485F57">
        <w:rPr>
          <w:rFonts w:ascii="Calibri" w:eastAsia="Calibri" w:hAnsi="Calibri" w:cs="Times New Roman"/>
        </w:rPr>
        <w:t xml:space="preserve">concentrata </w:t>
      </w:r>
      <w:r w:rsidRPr="00485F57">
        <w:rPr>
          <w:rFonts w:ascii="Calibri" w:eastAsia="Calibri" w:hAnsi="Calibri" w:cs="Times New Roman"/>
        </w:rPr>
        <w:t>di ammoniaca e potassio idrossido</w:t>
      </w:r>
      <w:r w:rsidRPr="00485F57">
        <w:t>.</w:t>
      </w:r>
    </w:p>
    <w:p w:rsidR="002F78CB" w:rsidRPr="00485F57" w:rsidRDefault="002F78CB" w:rsidP="002F78CB">
      <w:pPr>
        <w:spacing w:after="0" w:line="240" w:lineRule="auto"/>
        <w:jc w:val="both"/>
        <w:rPr>
          <w:b/>
          <w:bCs/>
        </w:rPr>
      </w:pPr>
    </w:p>
    <w:p w:rsidR="000B7AC8" w:rsidRPr="00485F57" w:rsidRDefault="004E5A39" w:rsidP="00EF6711">
      <w:pPr>
        <w:spacing w:after="0" w:line="240" w:lineRule="auto"/>
        <w:ind w:right="13"/>
        <w:jc w:val="both"/>
      </w:pPr>
      <w:r w:rsidRPr="00485F57">
        <w:t xml:space="preserve">Tutti gli eccipienti </w:t>
      </w:r>
      <w:r w:rsidR="00B54161" w:rsidRPr="00485F57">
        <w:t xml:space="preserve">che costituiscono il contenuto delle capsule </w:t>
      </w:r>
      <w:r w:rsidRPr="00485F57">
        <w:t>sono conformi alla relativa monografia di Farmacopea Europea.</w:t>
      </w:r>
      <w:r w:rsidR="00B54161" w:rsidRPr="00485F57">
        <w:t xml:space="preserve"> P</w:t>
      </w:r>
      <w:r w:rsidR="000B7AC8" w:rsidRPr="00485F57">
        <w:t xml:space="preserve">er </w:t>
      </w:r>
      <w:r w:rsidR="00B54161" w:rsidRPr="00485F57">
        <w:t>le capsule</w:t>
      </w:r>
      <w:r w:rsidR="000B7AC8" w:rsidRPr="00485F57">
        <w:t xml:space="preserve"> </w:t>
      </w:r>
      <w:r w:rsidR="00B54161" w:rsidRPr="00485F57">
        <w:t>sono applicate</w:t>
      </w:r>
      <w:r w:rsidR="000B7AC8" w:rsidRPr="00485F57">
        <w:t xml:space="preserve"> spec</w:t>
      </w:r>
      <w:r w:rsidR="00B54161" w:rsidRPr="00485F57">
        <w:t>ifiche di controllo accettabili.</w:t>
      </w:r>
    </w:p>
    <w:p w:rsidR="000808A3" w:rsidRPr="00485F57" w:rsidRDefault="000808A3" w:rsidP="00EF6711">
      <w:pPr>
        <w:spacing w:after="0" w:line="240" w:lineRule="auto"/>
        <w:ind w:right="13"/>
        <w:jc w:val="both"/>
      </w:pPr>
    </w:p>
    <w:p w:rsidR="004E5A39" w:rsidRPr="00485F57" w:rsidRDefault="004E5A39" w:rsidP="00EF6711">
      <w:pPr>
        <w:spacing w:after="0" w:line="240" w:lineRule="auto"/>
        <w:jc w:val="both"/>
      </w:pPr>
      <w:r w:rsidRPr="00485F57">
        <w:t>Nessun eccipiente è ottenuto da organismi geneticamente modificati; non sono presenti eccipienti mai utilizzati nell’uomo.</w:t>
      </w:r>
    </w:p>
    <w:p w:rsidR="004E5A39" w:rsidRPr="00485F57" w:rsidRDefault="004E5A39" w:rsidP="00EF6711">
      <w:pPr>
        <w:spacing w:after="0" w:line="240" w:lineRule="auto"/>
        <w:jc w:val="both"/>
      </w:pP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>Sviluppo farmaceutico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t>Sono stati forniti dettagli dello sviluppo farmaceutico e questi sono stati ritenuti soddisfacenti.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t>Sono stati forniti dati comparativi relativi al profilo di impurezze rispetto al medicinale di riferimento</w:t>
      </w:r>
      <w:r w:rsidR="00B30431" w:rsidRPr="00485F57">
        <w:rPr>
          <w:rFonts w:eastAsia="Calibri" w:cs="Calibri"/>
          <w:lang w:eastAsia="it-IT"/>
        </w:rPr>
        <w:t xml:space="preserve"> </w:t>
      </w:r>
      <w:proofErr w:type="spellStart"/>
      <w:r w:rsidR="00485F57" w:rsidRPr="00485F57">
        <w:rPr>
          <w:rFonts w:eastAsia="Calibri" w:cs="Calibri"/>
          <w:lang w:eastAsia="it-IT"/>
        </w:rPr>
        <w:t>Pradaxa</w:t>
      </w:r>
      <w:proofErr w:type="spellEnd"/>
      <w:r w:rsidRPr="00485F57">
        <w:t>. I dati sono soddisfacenti.</w:t>
      </w:r>
    </w:p>
    <w:p w:rsidR="004E5A39" w:rsidRPr="00485F57" w:rsidRDefault="004E5A39" w:rsidP="00EF6711">
      <w:pPr>
        <w:spacing w:after="0" w:line="240" w:lineRule="auto"/>
        <w:jc w:val="both"/>
      </w:pP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 xml:space="preserve">Produzione 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t>Sono stati forniti una descrizione del metodo di produzione e la relativa flow-chart.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485F57" w:rsidRDefault="004E5A39" w:rsidP="00EF6711">
      <w:pPr>
        <w:spacing w:after="0" w:line="240" w:lineRule="auto"/>
        <w:jc w:val="both"/>
      </w:pP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>Specifiche del prodotto finito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0808A3" w:rsidRPr="00485F57">
        <w:t>i dive</w:t>
      </w:r>
      <w:r w:rsidR="00485F57" w:rsidRPr="00485F57">
        <w:t>rsi dosaggi del prodotti finito</w:t>
      </w:r>
      <w:r w:rsidRPr="00485F57">
        <w:t>: questi dati dimostrano che i lotti prodotti sono in accordo alle specifiche proposte. Sono stati forniti, infine, certificati analitici per gli standard di riferimento utilizzati.</w:t>
      </w: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>Contenitore</w:t>
      </w:r>
    </w:p>
    <w:p w:rsidR="00BA0ACD" w:rsidRPr="00485F57" w:rsidRDefault="00485F57" w:rsidP="00EF6711">
      <w:pPr>
        <w:spacing w:after="0" w:line="240" w:lineRule="auto"/>
        <w:jc w:val="both"/>
      </w:pPr>
      <w:proofErr w:type="spellStart"/>
      <w:r w:rsidRPr="00485F57">
        <w:rPr>
          <w:rFonts w:eastAsia="Calibri" w:cs="Calibri"/>
          <w:color w:val="000000"/>
          <w:lang w:eastAsia="it-IT"/>
        </w:rPr>
        <w:t>Dabigatran</w:t>
      </w:r>
      <w:proofErr w:type="spellEnd"/>
      <w:r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85F57">
        <w:rPr>
          <w:rFonts w:eastAsia="Calibri" w:cs="Calibri"/>
          <w:color w:val="000000"/>
          <w:lang w:eastAsia="it-IT"/>
        </w:rPr>
        <w:t>Etexilato</w:t>
      </w:r>
      <w:proofErr w:type="spellEnd"/>
      <w:r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85F57">
        <w:rPr>
          <w:rFonts w:eastAsia="Calibri" w:cs="Calibri"/>
          <w:color w:val="000000"/>
          <w:lang w:eastAsia="it-IT"/>
        </w:rPr>
        <w:t>Vi.Rel</w:t>
      </w:r>
      <w:proofErr w:type="spellEnd"/>
      <w:r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85F57">
        <w:rPr>
          <w:rFonts w:eastAsia="Calibri" w:cs="Calibri"/>
          <w:color w:val="000000"/>
          <w:lang w:eastAsia="it-IT"/>
        </w:rPr>
        <w:t>Pharma</w:t>
      </w:r>
      <w:proofErr w:type="spellEnd"/>
      <w:r w:rsidR="000808A3" w:rsidRPr="00485F57">
        <w:rPr>
          <w:rFonts w:eastAsia="Calibri" w:cs="Calibri"/>
          <w:color w:val="000000"/>
          <w:lang w:eastAsia="it-IT"/>
        </w:rPr>
        <w:t xml:space="preserve"> </w:t>
      </w:r>
      <w:r w:rsidR="004E5A39" w:rsidRPr="00485F57">
        <w:t xml:space="preserve">è confezionato in </w:t>
      </w:r>
      <w:r w:rsidRPr="00485F57">
        <w:t xml:space="preserve"> </w:t>
      </w:r>
      <w:r w:rsidR="000808A3" w:rsidRPr="00485F57">
        <w:t xml:space="preserve">blister di </w:t>
      </w:r>
      <w:r w:rsidRPr="00485F57">
        <w:t>alluminio con gel di silice come essiccante.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t>Sono state fornite specifiche e certificati analitici per tutti i componenti del confezionamento primario, che è adeguato per il medicinale.</w:t>
      </w:r>
    </w:p>
    <w:p w:rsidR="00BA0ACD" w:rsidRPr="00485F57" w:rsidRDefault="00BA0ACD" w:rsidP="00EF6711">
      <w:pPr>
        <w:spacing w:after="0" w:line="240" w:lineRule="auto"/>
        <w:jc w:val="both"/>
      </w:pP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>Stabilità</w:t>
      </w:r>
    </w:p>
    <w:p w:rsidR="004E5A39" w:rsidRPr="00485F57" w:rsidRDefault="004E5A39" w:rsidP="00EF6711">
      <w:pPr>
        <w:spacing w:after="0" w:line="240" w:lineRule="auto"/>
        <w:jc w:val="both"/>
      </w:pPr>
      <w:r w:rsidRPr="00485F57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485F57" w:rsidRPr="00485F57">
        <w:t>2</w:t>
      </w:r>
      <w:r w:rsidR="00265B61" w:rsidRPr="00485F57">
        <w:t xml:space="preserve"> anni</w:t>
      </w:r>
      <w:r w:rsidRPr="00485F57">
        <w:t xml:space="preserve"> </w:t>
      </w:r>
      <w:r w:rsidR="00485F57" w:rsidRPr="00485F57">
        <w:t>conservando il medicinale nella confeziona originale per tenerlo al riparo dall’umidità</w:t>
      </w:r>
      <w:r w:rsidR="00BA0ACD" w:rsidRPr="00485F57">
        <w:t xml:space="preserve">. </w:t>
      </w:r>
    </w:p>
    <w:p w:rsidR="004E5A39" w:rsidRPr="00485F57" w:rsidRDefault="004E5A39" w:rsidP="00EF6711">
      <w:pPr>
        <w:spacing w:after="0" w:line="240" w:lineRule="auto"/>
        <w:jc w:val="both"/>
      </w:pPr>
    </w:p>
    <w:p w:rsidR="004E5A39" w:rsidRPr="00485F57" w:rsidRDefault="004E5A39" w:rsidP="00EF6711">
      <w:pPr>
        <w:spacing w:after="0" w:line="240" w:lineRule="auto"/>
        <w:jc w:val="both"/>
        <w:rPr>
          <w:b/>
        </w:rPr>
      </w:pPr>
      <w:r w:rsidRPr="00485F57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485F57">
        <w:t xml:space="preserve">Tutte le criticità evidenziate nel corso della valutazione sono state risolte e la qualità di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Dabigatran</w:t>
      </w:r>
      <w:proofErr w:type="spellEnd"/>
      <w:r w:rsidR="00485F57"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Etexilato</w:t>
      </w:r>
      <w:proofErr w:type="spellEnd"/>
      <w:r w:rsidR="00485F57"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Vi.Rel</w:t>
      </w:r>
      <w:proofErr w:type="spellEnd"/>
      <w:r w:rsidR="00485F57"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Pharma</w:t>
      </w:r>
      <w:proofErr w:type="spellEnd"/>
      <w:r w:rsidR="000808A3" w:rsidRPr="00485F57">
        <w:rPr>
          <w:rFonts w:eastAsia="Calibri" w:cs="Calibri"/>
          <w:color w:val="000000"/>
          <w:lang w:eastAsia="it-IT"/>
        </w:rPr>
        <w:t xml:space="preserve"> </w:t>
      </w:r>
      <w:r w:rsidRPr="00485F57">
        <w:t xml:space="preserve">è considerata adeguata. Non ci sono obiezioni per l’approvazione di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Dabigatran</w:t>
      </w:r>
      <w:proofErr w:type="spellEnd"/>
      <w:r w:rsidR="00485F57"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Etexilato</w:t>
      </w:r>
      <w:proofErr w:type="spellEnd"/>
      <w:r w:rsidR="00485F57"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Vi.Rel</w:t>
      </w:r>
      <w:proofErr w:type="spellEnd"/>
      <w:r w:rsidR="00485F57" w:rsidRPr="00485F5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85F57" w:rsidRPr="00485F57">
        <w:rPr>
          <w:rFonts w:eastAsia="Calibri" w:cs="Calibri"/>
          <w:color w:val="000000"/>
          <w:lang w:eastAsia="it-IT"/>
        </w:rPr>
        <w:t>Pharma</w:t>
      </w:r>
      <w:proofErr w:type="spellEnd"/>
      <w:r w:rsidR="00265B61" w:rsidRPr="00485F57">
        <w:t xml:space="preserve"> </w:t>
      </w:r>
      <w:r w:rsidRPr="00485F57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6D007D"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6D007D">
        <w:rPr>
          <w:rFonts w:eastAsia="Calibri" w:cs="Calibri"/>
          <w:lang w:eastAsia="it-IT"/>
        </w:rPr>
        <w:t>Pradaxa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0808A3" w:rsidP="00EF6711">
      <w:pPr>
        <w:spacing w:after="0" w:line="240" w:lineRule="auto"/>
        <w:jc w:val="both"/>
      </w:pPr>
      <w:r w:rsidRPr="000808A3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6D007D" w:rsidRDefault="006D007D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F190A">
        <w:rPr>
          <w:rFonts w:eastAsia="Calibri" w:cs="Calibri"/>
          <w:color w:val="000000"/>
          <w:lang w:eastAsia="it-IT"/>
        </w:rPr>
        <w:t>Pharma</w:t>
      </w:r>
      <w:proofErr w:type="spellEnd"/>
      <w:r>
        <w:t xml:space="preserve"> è utilizzato :</w:t>
      </w:r>
    </w:p>
    <w:p w:rsidR="006D007D" w:rsidRDefault="006D007D" w:rsidP="006D00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 xml:space="preserve">- </w:t>
      </w:r>
      <w:r w:rsidRPr="00C67874">
        <w:t xml:space="preserve">Prevenzione primaria di episodi </w:t>
      </w:r>
      <w:proofErr w:type="spellStart"/>
      <w:r w:rsidRPr="00C67874">
        <w:t>tromboembolici</w:t>
      </w:r>
      <w:proofErr w:type="spellEnd"/>
      <w:r w:rsidRPr="00C67874">
        <w:t xml:space="preserve"> in pazienti adulti sottoposti a chirurgia sostitutiva elettiva totale dell’anca o del ginocchio.</w:t>
      </w:r>
      <w:r>
        <w:t xml:space="preserve"> (dosaggio da 75 mg e 110mg)</w:t>
      </w:r>
    </w:p>
    <w:p w:rsidR="006D007D" w:rsidRPr="00C67874" w:rsidRDefault="006D007D" w:rsidP="006D00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>
        <w:lastRenderedPageBreak/>
        <w:t xml:space="preserve">- </w:t>
      </w:r>
      <w:r w:rsidRPr="00C67874">
        <w:rPr>
          <w:rFonts w:ascii="Calibri" w:eastAsia="Calibri" w:hAnsi="Calibri" w:cs="Times New Roman"/>
        </w:rPr>
        <w:t>Prevenzione di ictus e embolia sistemica in pazienti adulti con fibrillazione atriale non-valvolare (FANV), con uno o più fattori di rischio, quali precedente ictus o attacco ischemico transitorio (TIA); età ≥ 75 anni; insufficienza cardiaca (Classe NYHA ≥ II); diabete mellito; ipertensione.</w:t>
      </w:r>
      <w:r>
        <w:t xml:space="preserve"> (dosaggio da 110mg e 150mg)</w:t>
      </w:r>
    </w:p>
    <w:p w:rsidR="006D007D" w:rsidRPr="00C67874" w:rsidRDefault="006D007D" w:rsidP="006D00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>
        <w:t xml:space="preserve">- </w:t>
      </w:r>
      <w:r w:rsidRPr="00C67874">
        <w:rPr>
          <w:rFonts w:ascii="Calibri" w:eastAsia="Calibri" w:hAnsi="Calibri" w:cs="Times New Roman"/>
        </w:rPr>
        <w:t>Trattamento della trombosi venosa profonda (TVP) e dell’embolia polmonare (EP) e prevenzione delle recidive di TVP e EP negli adulti.</w:t>
      </w:r>
      <w:r>
        <w:t>(dosaggio da 110mg e 150 mg)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lang w:eastAsia="it-IT"/>
        </w:rPr>
        <w:t>è ben conosciuta.</w:t>
      </w:r>
      <w:r w:rsidRPr="006727BD"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6D007D">
        <w:t xml:space="preserve"> </w:t>
      </w:r>
      <w:r w:rsidRPr="006727BD">
        <w:t xml:space="preserve">contiene </w:t>
      </w:r>
      <w:r w:rsidR="00BA0ACD" w:rsidRPr="006727BD">
        <w:t>un</w:t>
      </w:r>
      <w:r w:rsidRPr="006727BD">
        <w:t xml:space="preserve"> principi</w:t>
      </w:r>
      <w:r w:rsidR="00BA0ACD" w:rsidRPr="006727BD">
        <w:t>o</w:t>
      </w:r>
      <w:r w:rsidRPr="006727BD">
        <w:t xml:space="preserve"> attiv</w:t>
      </w:r>
      <w:r w:rsidR="00BA0ACD" w:rsidRPr="006727BD">
        <w:t>o</w:t>
      </w:r>
      <w:r w:rsidRPr="006727BD">
        <w:t xml:space="preserve"> not</w:t>
      </w:r>
      <w:r w:rsidR="00BA0ACD" w:rsidRPr="006727BD">
        <w:t>o</w:t>
      </w:r>
      <w:r w:rsidRPr="006727BD">
        <w:t xml:space="preserve"> present</w:t>
      </w:r>
      <w:r w:rsidR="00BA0ACD" w:rsidRPr="006727BD">
        <w:t>e</w:t>
      </w:r>
      <w:r w:rsidRPr="006727BD">
        <w:t xml:space="preserve"> nel medicinale </w:t>
      </w:r>
      <w:r w:rsidR="00BA0ACD" w:rsidRPr="006727BD">
        <w:t xml:space="preserve">di riferimento </w:t>
      </w:r>
      <w:proofErr w:type="spellStart"/>
      <w:r w:rsidR="006D007D">
        <w:t>Pradaxa</w:t>
      </w:r>
      <w:proofErr w:type="spellEnd"/>
      <w:r w:rsidRPr="006727BD">
        <w:t xml:space="preserve"> autorizzato in Italia da più di 10 anni.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6D007D">
        <w:t xml:space="preserve"> </w:t>
      </w:r>
      <w:r w:rsidR="00BE7CDB" w:rsidRPr="006727BD">
        <w:t xml:space="preserve">contiene un principio attivo noto e presente nel medicinale </w:t>
      </w:r>
      <w:r w:rsidR="006727BD">
        <w:t xml:space="preserve">di riferimento </w:t>
      </w:r>
      <w:proofErr w:type="spellStart"/>
      <w:r w:rsidR="006D007D">
        <w:t>Pradaxa</w:t>
      </w:r>
      <w:proofErr w:type="spellEnd"/>
      <w:r w:rsidR="00BE7CDB" w:rsidRPr="006727BD">
        <w:t xml:space="preserve"> autorizzato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6D007D">
        <w:t xml:space="preserve"> </w:t>
      </w:r>
      <w:r w:rsidRPr="009F5FC7">
        <w:t xml:space="preserve">e quelli del medicinale </w:t>
      </w:r>
      <w:r>
        <w:t xml:space="preserve">di riferimento </w:t>
      </w:r>
      <w:proofErr w:type="spellStart"/>
      <w:r w:rsidR="006D007D">
        <w:t>Pradaxa</w:t>
      </w:r>
      <w:proofErr w:type="spellEnd"/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6D007D">
        <w:t>maggiore 15</w:t>
      </w:r>
      <w:r w:rsidRPr="00333936">
        <w:t>0 mg per lo studio di bioequivalenza è st</w:t>
      </w:r>
      <w:r w:rsidR="006D007D">
        <w:t>ato opportunamente giustificato</w:t>
      </w:r>
      <w: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7469AE">
        <w:rPr>
          <w:rFonts w:ascii="Calibri" w:hAnsi="Calibri"/>
        </w:rPr>
        <w:t xml:space="preserve">Lo studio di bioequivalenza è </w:t>
      </w:r>
      <w:r>
        <w:rPr>
          <w:rFonts w:ascii="Calibri" w:hAnsi="Calibri"/>
        </w:rPr>
        <w:t xml:space="preserve"> uno studio </w:t>
      </w:r>
      <w:r w:rsidRPr="005D5D07">
        <w:rPr>
          <w:rFonts w:ascii="Calibri" w:hAnsi="Calibri"/>
        </w:rPr>
        <w:t xml:space="preserve">comparativo, randomizzato, </w:t>
      </w:r>
      <w:r w:rsidR="006D007D">
        <w:rPr>
          <w:rFonts w:ascii="Calibri" w:hAnsi="Calibri"/>
        </w:rPr>
        <w:t xml:space="preserve">in replicato, </w:t>
      </w:r>
      <w:r w:rsidRPr="005D5D07">
        <w:rPr>
          <w:rFonts w:ascii="Calibri" w:hAnsi="Calibri"/>
        </w:rPr>
        <w:t xml:space="preserve">a dose singola, </w:t>
      </w:r>
      <w:r w:rsidRPr="00F36FEA">
        <w:rPr>
          <w:rFonts w:ascii="Calibri" w:hAnsi="Calibri"/>
        </w:rPr>
        <w:t xml:space="preserve">crossover condotto in </w:t>
      </w:r>
      <w:r w:rsidR="006D007D">
        <w:rPr>
          <w:rFonts w:ascii="Calibri" w:hAnsi="Calibri"/>
        </w:rPr>
        <w:t>44</w:t>
      </w:r>
      <w:r w:rsidRPr="00F36FEA">
        <w:rPr>
          <w:rFonts w:ascii="Calibri" w:hAnsi="Calibri"/>
        </w:rPr>
        <w:t xml:space="preserve"> volontari sani con somministrazione a digiuno. </w:t>
      </w:r>
      <w:r w:rsidRPr="00F36FEA">
        <w:rPr>
          <w:rFonts w:ascii="Calibri" w:hAnsi="Calibri" w:cs="Arial"/>
        </w:rPr>
        <w:t xml:space="preserve">Dopo una notte di digiuno, il medicinale è stato somministrato con acqua. </w:t>
      </w:r>
      <w:r w:rsidRPr="00F36FEA">
        <w:rPr>
          <w:rFonts w:ascii="Calibri" w:hAnsi="Calibri"/>
        </w:rPr>
        <w:t xml:space="preserve">Un soddisfacente periodo di wash-out di </w:t>
      </w:r>
      <w:r w:rsidR="006D007D">
        <w:rPr>
          <w:rFonts w:ascii="Calibri" w:hAnsi="Calibri" w:cs="Arial"/>
        </w:rPr>
        <w:t>7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>Campioni di sangue sono stati prelevati al tempo zero (</w:t>
      </w:r>
      <w:proofErr w:type="spellStart"/>
      <w:r w:rsidRPr="009F5FC7">
        <w:rPr>
          <w:rFonts w:ascii="Calibri" w:hAnsi="Calibri" w:cs="Arial"/>
        </w:rPr>
        <w:t>pre-dose</w:t>
      </w:r>
      <w:proofErr w:type="spellEnd"/>
      <w:r w:rsidRPr="009F5FC7">
        <w:rPr>
          <w:rFonts w:ascii="Calibri" w:hAnsi="Calibri" w:cs="Arial"/>
        </w:rPr>
        <w:t xml:space="preserve">) e a specificati tempi fino a </w:t>
      </w:r>
      <w:r w:rsidR="006D007D">
        <w:rPr>
          <w:rFonts w:ascii="Calibri" w:hAnsi="Calibri" w:cs="Arial"/>
        </w:rPr>
        <w:t>48</w:t>
      </w:r>
      <w:r w:rsidRPr="009F5FC7">
        <w:rPr>
          <w:rFonts w:ascii="Calibri" w:hAnsi="Calibri" w:cs="Arial"/>
        </w:rPr>
        <w:t xml:space="preserve"> ore dopo la somministrazione. I livelli plasmatici di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r w:rsidRPr="009F5FC7">
        <w:rPr>
          <w:rFonts w:ascii="Calibri" w:hAnsi="Calibri" w:cs="Arial"/>
        </w:rPr>
        <w:t xml:space="preserve">sono stati determinati mediante un metodo analitico </w:t>
      </w:r>
      <w:r w:rsidR="006D007D" w:rsidRPr="009457D0">
        <w:rPr>
          <w:rFonts w:cs="Arial"/>
        </w:rPr>
        <w:t>HPLC-MS-MS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 w:rsidR="006D007D">
        <w:rPr>
          <w:rFonts w:eastAsia="Calibri" w:cs="Calibri"/>
          <w:color w:val="000000"/>
          <w:lang w:eastAsia="it-IT"/>
        </w:rPr>
        <w:t>d</w:t>
      </w:r>
      <w:r w:rsidR="006D007D" w:rsidRPr="00DF190A">
        <w:rPr>
          <w:rFonts w:eastAsia="Calibri" w:cs="Calibri"/>
          <w:color w:val="000000"/>
          <w:lang w:eastAsia="it-IT"/>
        </w:rPr>
        <w:t>abigatran</w:t>
      </w:r>
      <w:proofErr w:type="spellEnd"/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D007D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6D007D">
        <w:rPr>
          <w:rFonts w:eastAsia="Calibri" w:cs="Calibri"/>
          <w:color w:val="000000"/>
          <w:lang w:eastAsia="it-IT"/>
        </w:rPr>
        <w:t xml:space="preserve"> libero e totale</w:t>
      </w:r>
      <w:r w:rsidR="006D007D" w:rsidRPr="00DF190A">
        <w:rPr>
          <w:rFonts w:eastAsia="Calibri" w:cs="Calibri"/>
          <w:color w:val="000000"/>
          <w:lang w:eastAsia="it-IT"/>
        </w:rPr>
        <w:t xml:space="preserve"> </w:t>
      </w:r>
      <w:r>
        <w:rPr>
          <w:rFonts w:ascii="Calibri" w:hAnsi="Calibri" w:cs="Arial"/>
        </w:rPr>
        <w:t xml:space="preserve">sono state definite le seguenti </w:t>
      </w:r>
      <w:r w:rsidRPr="009F5FC7">
        <w:rPr>
          <w:rFonts w:ascii="Calibri" w:hAnsi="Calibri" w:cs="Arial"/>
        </w:rPr>
        <w:t xml:space="preserve">variabili farmacocinetiche: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t½</w:t>
      </w:r>
      <w:proofErr w:type="spellEnd"/>
      <w:r w:rsidRPr="009F5FC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 xml:space="preserve">,,  cadono nel </w:t>
      </w:r>
      <w:proofErr w:type="spellStart"/>
      <w:r w:rsidRPr="009F5FC7">
        <w:rPr>
          <w:rFonts w:ascii="Calibri" w:hAnsi="Calibri" w:cs="Arial"/>
        </w:rPr>
        <w:t>range</w:t>
      </w:r>
      <w:proofErr w:type="spellEnd"/>
      <w:r w:rsidRPr="009F5FC7">
        <w:rPr>
          <w:rFonts w:ascii="Calibri" w:hAnsi="Calibri" w:cs="Arial"/>
        </w:rPr>
        <w:t xml:space="preserve"> di accettabilità di 0.80-1.25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6D007D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44 </w:t>
      </w:r>
      <w:r w:rsidR="005049A1" w:rsidRPr="009F5FC7">
        <w:rPr>
          <w:rFonts w:ascii="Calibri" w:hAnsi="Calibri" w:cs="Arial"/>
        </w:rPr>
        <w:t xml:space="preserve">volontari sani sono stati arruolati nello studio. </w:t>
      </w:r>
      <w:r>
        <w:rPr>
          <w:rFonts w:ascii="Calibri" w:hAnsi="Calibri" w:cs="Arial"/>
        </w:rPr>
        <w:t xml:space="preserve"> Tutti i</w:t>
      </w:r>
      <w:r w:rsidR="005049A1" w:rsidRPr="009F5FC7">
        <w:rPr>
          <w:rFonts w:ascii="Calibri" w:hAnsi="Calibri" w:cs="Arial"/>
        </w:rPr>
        <w:t xml:space="preserve"> soggetti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>
        <w:rPr>
          <w:rFonts w:ascii="Calibri" w:hAnsi="Calibri" w:cs="Arial"/>
        </w:rPr>
        <w:t xml:space="preserve">si sono (o non si sono) manifestati </w:t>
      </w:r>
      <w:r w:rsidR="003E54E7">
        <w:t>2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3E54E7">
        <w:rPr>
          <w:rFonts w:ascii="Calibri" w:hAnsi="Calibri" w:cs="Arial"/>
        </w:rPr>
        <w:t>3</w:t>
      </w:r>
      <w:r>
        <w:rPr>
          <w:rFonts w:ascii="Calibri" w:hAnsi="Calibri" w:cs="Arial"/>
        </w:rPr>
        <w:t xml:space="preserve">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>
        <w:rPr>
          <w:rFonts w:ascii="Calibri" w:hAnsi="Calibri" w:cs="Arial"/>
        </w:rPr>
        <w:t xml:space="preserve"> è</w:t>
      </w:r>
      <w:r w:rsidRPr="009F5FC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stata </w:t>
      </w:r>
      <w:r w:rsidRPr="009F5FC7">
        <w:rPr>
          <w:rFonts w:ascii="Calibri" w:hAnsi="Calibri" w:cs="Arial"/>
        </w:rPr>
        <w:t>riscontrat</w:t>
      </w:r>
      <w:r>
        <w:rPr>
          <w:rFonts w:ascii="Calibri" w:hAnsi="Calibri" w:cs="Arial"/>
        </w:rPr>
        <w:t>a</w:t>
      </w:r>
      <w:r w:rsidRPr="009F5FC7">
        <w:rPr>
          <w:rFonts w:ascii="Calibri" w:hAnsi="Calibri" w:cs="Arial"/>
        </w:rPr>
        <w:t xml:space="preserve"> </w:t>
      </w:r>
      <w:r w:rsidR="003E54E7">
        <w:t>nausea e mal di testa.</w:t>
      </w:r>
      <w:r>
        <w:t xml:space="preserve"> </w:t>
      </w:r>
      <w:r w:rsidRPr="009F5FC7">
        <w:rPr>
          <w:rFonts w:ascii="Calibri" w:hAnsi="Calibri" w:cs="Arial"/>
        </w:rPr>
        <w:t>Non sono stati rilevati eventi avversi gravi.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493458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333936" w:rsidRDefault="003E54E7" w:rsidP="007D3FB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Dabigatran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libero</w:t>
            </w:r>
          </w:p>
        </w:tc>
      </w:tr>
      <w:tr w:rsidR="005049A1" w:rsidRPr="00493458" w:rsidTr="005049A1">
        <w:trPr>
          <w:jc w:val="center"/>
        </w:trPr>
        <w:tc>
          <w:tcPr>
            <w:tcW w:w="1556" w:type="dxa"/>
            <w:vAlign w:val="bottom"/>
          </w:tcPr>
          <w:p w:rsidR="005049A1" w:rsidRPr="00333936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333936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333936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33936">
              <w:rPr>
                <w:b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574" w:type="dxa"/>
            <w:vAlign w:val="bottom"/>
          </w:tcPr>
          <w:p w:rsidR="005049A1" w:rsidRPr="00333936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333936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716" w:type="dxa"/>
            <w:vAlign w:val="bottom"/>
          </w:tcPr>
          <w:p w:rsidR="005049A1" w:rsidRPr="00333936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90% C.I.</w:t>
            </w:r>
          </w:p>
        </w:tc>
      </w:tr>
      <w:tr w:rsidR="003E54E7" w:rsidRPr="00493458" w:rsidTr="005049A1">
        <w:trPr>
          <w:jc w:val="center"/>
        </w:trPr>
        <w:tc>
          <w:tcPr>
            <w:tcW w:w="1556" w:type="dxa"/>
            <w:vAlign w:val="bottom"/>
          </w:tcPr>
          <w:p w:rsidR="003E54E7" w:rsidRPr="00333936" w:rsidRDefault="003E54E7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lastRenderedPageBreak/>
              <w:t>AUC0-t</w:t>
            </w:r>
          </w:p>
        </w:tc>
        <w:tc>
          <w:tcPr>
            <w:tcW w:w="165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1564.7047</w:t>
            </w:r>
          </w:p>
        </w:tc>
        <w:tc>
          <w:tcPr>
            <w:tcW w:w="163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1626.0858</w:t>
            </w:r>
          </w:p>
        </w:tc>
        <w:tc>
          <w:tcPr>
            <w:tcW w:w="1574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96.23</w:t>
            </w:r>
          </w:p>
        </w:tc>
        <w:tc>
          <w:tcPr>
            <w:tcW w:w="1716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87.64 – 105.65</w:t>
            </w:r>
          </w:p>
        </w:tc>
      </w:tr>
      <w:tr w:rsidR="003E54E7" w:rsidRPr="00493458" w:rsidTr="005049A1">
        <w:trPr>
          <w:jc w:val="center"/>
        </w:trPr>
        <w:tc>
          <w:tcPr>
            <w:tcW w:w="1556" w:type="dxa"/>
            <w:vAlign w:val="bottom"/>
          </w:tcPr>
          <w:p w:rsidR="003E54E7" w:rsidRPr="00333936" w:rsidRDefault="003E54E7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AUC0-∞</w:t>
            </w:r>
          </w:p>
        </w:tc>
        <w:tc>
          <w:tcPr>
            <w:tcW w:w="165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1605.4409</w:t>
            </w:r>
          </w:p>
        </w:tc>
        <w:tc>
          <w:tcPr>
            <w:tcW w:w="163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1668.4352</w:t>
            </w:r>
          </w:p>
        </w:tc>
        <w:tc>
          <w:tcPr>
            <w:tcW w:w="1574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96.22</w:t>
            </w:r>
          </w:p>
        </w:tc>
        <w:tc>
          <w:tcPr>
            <w:tcW w:w="1716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88.07 – 105.14</w:t>
            </w:r>
          </w:p>
        </w:tc>
      </w:tr>
      <w:tr w:rsidR="003E54E7" w:rsidRPr="00493458" w:rsidTr="005049A1">
        <w:trPr>
          <w:jc w:val="center"/>
        </w:trPr>
        <w:tc>
          <w:tcPr>
            <w:tcW w:w="1556" w:type="dxa"/>
            <w:vAlign w:val="bottom"/>
          </w:tcPr>
          <w:p w:rsidR="003E54E7" w:rsidRPr="00333936" w:rsidRDefault="003E54E7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333936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5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188.7614</w:t>
            </w:r>
          </w:p>
        </w:tc>
        <w:tc>
          <w:tcPr>
            <w:tcW w:w="163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194.5486</w:t>
            </w:r>
          </w:p>
        </w:tc>
        <w:tc>
          <w:tcPr>
            <w:tcW w:w="1574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97.03</w:t>
            </w:r>
          </w:p>
        </w:tc>
        <w:tc>
          <w:tcPr>
            <w:tcW w:w="1716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88.33 – 106.58</w:t>
            </w:r>
          </w:p>
        </w:tc>
      </w:tr>
    </w:tbl>
    <w:p w:rsidR="005049A1" w:rsidRDefault="005049A1" w:rsidP="005049A1">
      <w:pPr>
        <w:spacing w:after="0" w:line="240" w:lineRule="auto"/>
        <w:rPr>
          <w:rFonts w:cs="Arial"/>
          <w:i/>
        </w:rPr>
      </w:pPr>
    </w:p>
    <w:tbl>
      <w:tblPr>
        <w:tblW w:w="4030" w:type="pct"/>
        <w:jc w:val="center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3E54E7" w:rsidRPr="00493458" w:rsidTr="00E17743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3E54E7" w:rsidRPr="00333936" w:rsidRDefault="003E54E7" w:rsidP="003E54E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Dabigatran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Totale</w:t>
            </w:r>
          </w:p>
        </w:tc>
      </w:tr>
      <w:tr w:rsidR="003E54E7" w:rsidRPr="00493458" w:rsidTr="00E17743">
        <w:trPr>
          <w:jc w:val="center"/>
        </w:trPr>
        <w:tc>
          <w:tcPr>
            <w:tcW w:w="1556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33936">
              <w:rPr>
                <w:b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574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333936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716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90% C.I.</w:t>
            </w:r>
          </w:p>
        </w:tc>
      </w:tr>
      <w:tr w:rsidR="003E54E7" w:rsidRPr="00493458" w:rsidTr="00E17743">
        <w:trPr>
          <w:jc w:val="center"/>
        </w:trPr>
        <w:tc>
          <w:tcPr>
            <w:tcW w:w="1556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5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1786.9518</w:t>
            </w:r>
          </w:p>
        </w:tc>
        <w:tc>
          <w:tcPr>
            <w:tcW w:w="163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1870.7995</w:t>
            </w:r>
          </w:p>
        </w:tc>
        <w:tc>
          <w:tcPr>
            <w:tcW w:w="1574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95.52</w:t>
            </w:r>
          </w:p>
        </w:tc>
        <w:tc>
          <w:tcPr>
            <w:tcW w:w="1716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87.23 – 104.59</w:t>
            </w:r>
          </w:p>
        </w:tc>
      </w:tr>
      <w:tr w:rsidR="003E54E7" w:rsidRPr="00493458" w:rsidTr="00E17743">
        <w:trPr>
          <w:jc w:val="center"/>
        </w:trPr>
        <w:tc>
          <w:tcPr>
            <w:tcW w:w="1556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AUC0-∞</w:t>
            </w:r>
          </w:p>
        </w:tc>
        <w:tc>
          <w:tcPr>
            <w:tcW w:w="165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1828.2181</w:t>
            </w:r>
          </w:p>
        </w:tc>
        <w:tc>
          <w:tcPr>
            <w:tcW w:w="163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1909.3453</w:t>
            </w:r>
          </w:p>
        </w:tc>
        <w:tc>
          <w:tcPr>
            <w:tcW w:w="1574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95.75</w:t>
            </w:r>
          </w:p>
        </w:tc>
        <w:tc>
          <w:tcPr>
            <w:tcW w:w="1716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87.69 – 104.55</w:t>
            </w:r>
          </w:p>
        </w:tc>
      </w:tr>
      <w:tr w:rsidR="003E54E7" w:rsidRPr="00493458" w:rsidTr="00E17743">
        <w:trPr>
          <w:jc w:val="center"/>
        </w:trPr>
        <w:tc>
          <w:tcPr>
            <w:tcW w:w="1556" w:type="dxa"/>
            <w:vAlign w:val="bottom"/>
          </w:tcPr>
          <w:p w:rsidR="003E54E7" w:rsidRPr="00333936" w:rsidRDefault="003E54E7" w:rsidP="00E17743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333936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5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212.8224</w:t>
            </w:r>
          </w:p>
        </w:tc>
        <w:tc>
          <w:tcPr>
            <w:tcW w:w="1635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222.5592</w:t>
            </w:r>
          </w:p>
        </w:tc>
        <w:tc>
          <w:tcPr>
            <w:tcW w:w="1574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>95.63</w:t>
            </w:r>
          </w:p>
        </w:tc>
        <w:tc>
          <w:tcPr>
            <w:tcW w:w="1716" w:type="dxa"/>
            <w:vAlign w:val="bottom"/>
          </w:tcPr>
          <w:p w:rsidR="003E54E7" w:rsidRPr="00404143" w:rsidRDefault="003E54E7" w:rsidP="00E17743">
            <w:pPr>
              <w:rPr>
                <w:rFonts w:ascii="Calibri" w:hAnsi="Calibri"/>
                <w:sz w:val="20"/>
                <w:szCs w:val="20"/>
              </w:rPr>
            </w:pPr>
            <w:r w:rsidRPr="00404143">
              <w:rPr>
                <w:rFonts w:ascii="Calibri" w:hAnsi="Calibri"/>
                <w:sz w:val="20"/>
                <w:szCs w:val="20"/>
              </w:rPr>
              <w:t xml:space="preserve">87.06 – 105.03 </w:t>
            </w:r>
          </w:p>
        </w:tc>
      </w:tr>
    </w:tbl>
    <w:p w:rsidR="005049A1" w:rsidRDefault="005049A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3E54E7">
        <w:t xml:space="preserve"> </w:t>
      </w:r>
      <w:r w:rsidRPr="009F5FC7">
        <w:rPr>
          <w:rFonts w:cs="Arial"/>
        </w:rPr>
        <w:t>è ben conosciuto.</w:t>
      </w:r>
      <w:r>
        <w:rPr>
          <w:rFonts w:cs="Arial"/>
        </w:rPr>
        <w:t xml:space="preserve"> </w:t>
      </w:r>
    </w:p>
    <w:p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</w:t>
      </w:r>
      <w:proofErr w:type="spellStart"/>
      <w:r w:rsidRPr="00EF6711">
        <w:rPr>
          <w:b/>
          <w:i/>
        </w:rPr>
        <w:t>Plan</w:t>
      </w:r>
      <w:proofErr w:type="spellEnd"/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3E54E7">
        <w:rPr>
          <w:rFonts w:eastAsia="Calibri" w:cs="Calibri"/>
          <w:color w:val="000000"/>
          <w:lang w:eastAsia="it-IT"/>
        </w:rPr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D0623E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D0623E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265B61" w:rsidRPr="00D0623E" w:rsidRDefault="00D0623E" w:rsidP="00BE7CDB">
            <w:pPr>
              <w:spacing w:after="0" w:line="240" w:lineRule="auto"/>
              <w:rPr>
                <w:sz w:val="20"/>
              </w:rPr>
            </w:pPr>
            <w:r w:rsidRPr="00D0623E">
              <w:rPr>
                <w:sz w:val="20"/>
              </w:rPr>
              <w:t>- Emorragia</w:t>
            </w:r>
          </w:p>
          <w:p w:rsidR="00D0623E" w:rsidRPr="00D0623E" w:rsidRDefault="00D0623E" w:rsidP="00BE7CDB">
            <w:pPr>
              <w:spacing w:after="0" w:line="240" w:lineRule="auto"/>
              <w:rPr>
                <w:sz w:val="20"/>
              </w:rPr>
            </w:pPr>
            <w:r w:rsidRPr="00D0623E">
              <w:rPr>
                <w:sz w:val="20"/>
              </w:rPr>
              <w:t>- Disturbi gastrointestinali</w:t>
            </w:r>
          </w:p>
          <w:p w:rsidR="00D0623E" w:rsidRPr="00D0623E" w:rsidRDefault="00D0623E" w:rsidP="00BE7CDB">
            <w:pPr>
              <w:spacing w:after="0" w:line="240" w:lineRule="auto"/>
              <w:rPr>
                <w:sz w:val="20"/>
              </w:rPr>
            </w:pPr>
            <w:r w:rsidRPr="00D0623E">
              <w:rPr>
                <w:sz w:val="20"/>
              </w:rPr>
              <w:t>- Ipersensibilità</w:t>
            </w:r>
          </w:p>
          <w:p w:rsidR="00D0623E" w:rsidRPr="00D0623E" w:rsidRDefault="00D0623E" w:rsidP="00BE7CDB">
            <w:pPr>
              <w:spacing w:after="0" w:line="240" w:lineRule="auto"/>
              <w:rPr>
                <w:sz w:val="20"/>
              </w:rPr>
            </w:pPr>
            <w:r w:rsidRPr="00D0623E">
              <w:rPr>
                <w:sz w:val="20"/>
              </w:rPr>
              <w:t xml:space="preserve">- Uso </w:t>
            </w:r>
            <w:proofErr w:type="spellStart"/>
            <w:r w:rsidRPr="00D0623E">
              <w:rPr>
                <w:sz w:val="20"/>
              </w:rPr>
              <w:t>off-label</w:t>
            </w:r>
            <w:proofErr w:type="spellEnd"/>
            <w:r w:rsidRPr="00D0623E">
              <w:rPr>
                <w:sz w:val="20"/>
              </w:rPr>
              <w:t xml:space="preserve"> in pazienti con protesi valvolare cardiaca</w:t>
            </w:r>
          </w:p>
          <w:p w:rsidR="00D0623E" w:rsidRPr="00D0623E" w:rsidRDefault="00D0623E" w:rsidP="00BE7CDB">
            <w:pPr>
              <w:spacing w:after="0" w:line="240" w:lineRule="auto"/>
              <w:rPr>
                <w:sz w:val="20"/>
              </w:rPr>
            </w:pPr>
            <w:r w:rsidRPr="00D0623E">
              <w:rPr>
                <w:sz w:val="20"/>
              </w:rPr>
              <w:t xml:space="preserve">- Uso </w:t>
            </w:r>
            <w:proofErr w:type="spellStart"/>
            <w:r w:rsidRPr="00D0623E">
              <w:rPr>
                <w:sz w:val="20"/>
              </w:rPr>
              <w:t>off-label</w:t>
            </w:r>
            <w:proofErr w:type="spellEnd"/>
            <w:r w:rsidRPr="00D0623E">
              <w:rPr>
                <w:sz w:val="20"/>
              </w:rPr>
              <w:t xml:space="preserve"> in pazienti con grave danno renale</w:t>
            </w:r>
          </w:p>
        </w:tc>
      </w:tr>
      <w:tr w:rsidR="00265B61" w:rsidRPr="00D0623E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D0623E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65B61" w:rsidRPr="00D0623E" w:rsidRDefault="00D0623E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623E">
              <w:rPr>
                <w:sz w:val="20"/>
                <w:szCs w:val="20"/>
                <w:lang w:eastAsia="en-GB"/>
              </w:rPr>
              <w:t>- Epatotossicità</w:t>
            </w:r>
          </w:p>
          <w:p w:rsidR="00D0623E" w:rsidRPr="00D0623E" w:rsidRDefault="00D0623E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623E">
              <w:rPr>
                <w:sz w:val="20"/>
                <w:szCs w:val="20"/>
                <w:lang w:eastAsia="en-GB"/>
              </w:rPr>
              <w:t>- Infarto del miocardio</w:t>
            </w:r>
          </w:p>
          <w:p w:rsidR="00D0623E" w:rsidRPr="00D0623E" w:rsidRDefault="00D0623E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623E">
              <w:rPr>
                <w:sz w:val="20"/>
                <w:szCs w:val="20"/>
                <w:lang w:eastAsia="en-GB"/>
              </w:rPr>
              <w:t>- Embolia polmonare</w:t>
            </w:r>
          </w:p>
        </w:tc>
      </w:tr>
      <w:tr w:rsidR="00265B61" w:rsidRPr="00D0623E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D0623E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D0623E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61" w:rsidRPr="00D0623E" w:rsidRDefault="00D0623E" w:rsidP="00BE7CDB">
            <w:pPr>
              <w:spacing w:after="0" w:line="240" w:lineRule="auto"/>
              <w:rPr>
                <w:sz w:val="20"/>
              </w:rPr>
            </w:pPr>
            <w:r w:rsidRPr="00D0623E">
              <w:rPr>
                <w:sz w:val="20"/>
              </w:rPr>
              <w:t>- Uso in pazienti con compromissione epatica (livelli di enzimi epatici di oltre due volte superiori al normale)</w:t>
            </w:r>
          </w:p>
          <w:p w:rsidR="00D0623E" w:rsidRPr="00D0623E" w:rsidRDefault="00D0623E" w:rsidP="00BE7CDB">
            <w:pPr>
              <w:spacing w:after="0" w:line="240" w:lineRule="auto"/>
              <w:rPr>
                <w:sz w:val="20"/>
              </w:rPr>
            </w:pPr>
            <w:r w:rsidRPr="00D0623E">
              <w:rPr>
                <w:sz w:val="20"/>
              </w:rPr>
              <w:t>- Uso in gravidanza o durante l’allattamento</w:t>
            </w:r>
          </w:p>
        </w:tc>
      </w:tr>
    </w:tbl>
    <w:p w:rsidR="00265B61" w:rsidRPr="00D0623E" w:rsidRDefault="00265B61" w:rsidP="00265B6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Azioni </w:t>
      </w:r>
      <w:proofErr w:type="spellStart"/>
      <w:r w:rsidRPr="00EF6711">
        <w:t>routinarie</w:t>
      </w:r>
      <w:proofErr w:type="spellEnd"/>
      <w:r w:rsidRPr="00EF6711">
        <w:t xml:space="preserve">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3E54E7"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3E54E7"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3E54E7">
        <w:t xml:space="preserve"> </w:t>
      </w:r>
      <w:r w:rsidRPr="00EF6711">
        <w:t>è accettabile e non sono state rilevate criticità da un punto di vista non clinico e clinico.</w:t>
      </w:r>
    </w:p>
    <w:p w:rsidR="00BE7CDB" w:rsidRDefault="00BE7CDB" w:rsidP="00BE7CDB">
      <w:pPr>
        <w:spacing w:after="0" w:line="240" w:lineRule="auto"/>
        <w:jc w:val="both"/>
      </w:pPr>
      <w:r>
        <w:t xml:space="preserve">Lo studio di </w:t>
      </w:r>
      <w:proofErr w:type="spellStart"/>
      <w:r>
        <w:t>bioequivalenza</w:t>
      </w:r>
      <w:proofErr w:type="spellEnd"/>
      <w:r>
        <w:t xml:space="preserve"> e le sue conclusioni confermano che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Dabigatran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etexilato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VI.REL</w:t>
      </w:r>
      <w:proofErr w:type="spellEnd"/>
      <w:r w:rsidR="003E54E7" w:rsidRPr="00DF190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4E7" w:rsidRPr="00DF190A">
        <w:rPr>
          <w:rFonts w:eastAsia="Calibri" w:cs="Calibri"/>
          <w:color w:val="000000"/>
          <w:lang w:eastAsia="it-IT"/>
        </w:rPr>
        <w:t>Pharma</w:t>
      </w:r>
      <w:proofErr w:type="spellEnd"/>
      <w:r w:rsidR="003E54E7">
        <w:t xml:space="preserve"> </w:t>
      </w:r>
      <w:r>
        <w:t xml:space="preserve">e il medicinale di riferimento </w:t>
      </w:r>
      <w:proofErr w:type="spellStart"/>
      <w:r w:rsidR="003E54E7">
        <w:t>Pradaxa</w:t>
      </w:r>
      <w:proofErr w:type="spellEnd"/>
      <w:r w:rsidR="003E54E7">
        <w:t xml:space="preserve"> sono </w:t>
      </w:r>
      <w:proofErr w:type="spellStart"/>
      <w:r w:rsidR="003E54E7">
        <w:t>bioequivalenti</w:t>
      </w:r>
      <w:proofErr w:type="spellEnd"/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d1041514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1E0ED9"/>
    <w:multiLevelType w:val="hybridMultilevel"/>
    <w:tmpl w:val="75B2CDEC"/>
    <w:lvl w:ilvl="0" w:tplc="FA344190">
      <w:numFmt w:val="bullet"/>
      <w:lvlText w:val="•"/>
      <w:lvlJc w:val="left"/>
      <w:pPr>
        <w:ind w:left="93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22511"/>
    <w:rsid w:val="00023CEA"/>
    <w:rsid w:val="00033FFC"/>
    <w:rsid w:val="00062636"/>
    <w:rsid w:val="000808A3"/>
    <w:rsid w:val="000A4BA1"/>
    <w:rsid w:val="000B7AC8"/>
    <w:rsid w:val="000D3D3B"/>
    <w:rsid w:val="000E1F86"/>
    <w:rsid w:val="000E4494"/>
    <w:rsid w:val="000F658F"/>
    <w:rsid w:val="00111E9E"/>
    <w:rsid w:val="001460CA"/>
    <w:rsid w:val="001B19C0"/>
    <w:rsid w:val="001C15DF"/>
    <w:rsid w:val="00265B61"/>
    <w:rsid w:val="00277A0E"/>
    <w:rsid w:val="002F2543"/>
    <w:rsid w:val="002F4000"/>
    <w:rsid w:val="002F78CB"/>
    <w:rsid w:val="00300BEA"/>
    <w:rsid w:val="003061E0"/>
    <w:rsid w:val="00336805"/>
    <w:rsid w:val="00367CE0"/>
    <w:rsid w:val="003E54E7"/>
    <w:rsid w:val="004121BF"/>
    <w:rsid w:val="0042214D"/>
    <w:rsid w:val="00423A97"/>
    <w:rsid w:val="004241AC"/>
    <w:rsid w:val="004609F8"/>
    <w:rsid w:val="00485F57"/>
    <w:rsid w:val="004B20A8"/>
    <w:rsid w:val="004E5A39"/>
    <w:rsid w:val="00500ACA"/>
    <w:rsid w:val="00504251"/>
    <w:rsid w:val="005049A1"/>
    <w:rsid w:val="00504FC1"/>
    <w:rsid w:val="0056372C"/>
    <w:rsid w:val="00567615"/>
    <w:rsid w:val="005950D6"/>
    <w:rsid w:val="005E36B3"/>
    <w:rsid w:val="005F3E03"/>
    <w:rsid w:val="00621AE2"/>
    <w:rsid w:val="00642D6A"/>
    <w:rsid w:val="0064646C"/>
    <w:rsid w:val="00654D9E"/>
    <w:rsid w:val="00664931"/>
    <w:rsid w:val="006727BD"/>
    <w:rsid w:val="006B311C"/>
    <w:rsid w:val="006B3E12"/>
    <w:rsid w:val="006D007D"/>
    <w:rsid w:val="006D7B8C"/>
    <w:rsid w:val="00716DF5"/>
    <w:rsid w:val="007170D7"/>
    <w:rsid w:val="007221B6"/>
    <w:rsid w:val="00766E26"/>
    <w:rsid w:val="00797416"/>
    <w:rsid w:val="00823F4C"/>
    <w:rsid w:val="008547B3"/>
    <w:rsid w:val="008819D4"/>
    <w:rsid w:val="0088216F"/>
    <w:rsid w:val="008A6FEC"/>
    <w:rsid w:val="008B60D7"/>
    <w:rsid w:val="008C3D30"/>
    <w:rsid w:val="008D1529"/>
    <w:rsid w:val="009356D3"/>
    <w:rsid w:val="00943785"/>
    <w:rsid w:val="00957832"/>
    <w:rsid w:val="009A23DE"/>
    <w:rsid w:val="009A260F"/>
    <w:rsid w:val="009B03DB"/>
    <w:rsid w:val="009D3446"/>
    <w:rsid w:val="009E0140"/>
    <w:rsid w:val="009E2BC0"/>
    <w:rsid w:val="009F3867"/>
    <w:rsid w:val="00A01AB1"/>
    <w:rsid w:val="00A40FF3"/>
    <w:rsid w:val="00A62D55"/>
    <w:rsid w:val="00A908B9"/>
    <w:rsid w:val="00A966D1"/>
    <w:rsid w:val="00B023E9"/>
    <w:rsid w:val="00B1186F"/>
    <w:rsid w:val="00B30431"/>
    <w:rsid w:val="00B54161"/>
    <w:rsid w:val="00BA0ACD"/>
    <w:rsid w:val="00BB2AF8"/>
    <w:rsid w:val="00BB7B54"/>
    <w:rsid w:val="00BC74C2"/>
    <w:rsid w:val="00BE7CDB"/>
    <w:rsid w:val="00BF55B9"/>
    <w:rsid w:val="00BF7A42"/>
    <w:rsid w:val="00C2565A"/>
    <w:rsid w:val="00C42AAC"/>
    <w:rsid w:val="00C66597"/>
    <w:rsid w:val="00C67874"/>
    <w:rsid w:val="00CC52A3"/>
    <w:rsid w:val="00CC7AFF"/>
    <w:rsid w:val="00CE62A1"/>
    <w:rsid w:val="00D0623E"/>
    <w:rsid w:val="00D20170"/>
    <w:rsid w:val="00D212AA"/>
    <w:rsid w:val="00D575B7"/>
    <w:rsid w:val="00D60600"/>
    <w:rsid w:val="00D81FEA"/>
    <w:rsid w:val="00DB359A"/>
    <w:rsid w:val="00DF190A"/>
    <w:rsid w:val="00E10D6C"/>
    <w:rsid w:val="00E43089"/>
    <w:rsid w:val="00E441E1"/>
    <w:rsid w:val="00E83F8D"/>
    <w:rsid w:val="00EC3589"/>
    <w:rsid w:val="00EE4889"/>
    <w:rsid w:val="00EF062E"/>
    <w:rsid w:val="00EF6711"/>
    <w:rsid w:val="00F66767"/>
    <w:rsid w:val="00F81216"/>
    <w:rsid w:val="00F85989"/>
    <w:rsid w:val="00F96473"/>
    <w:rsid w:val="00FA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033FFC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033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3335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Assisia</cp:lastModifiedBy>
  <cp:revision>19</cp:revision>
  <dcterms:created xsi:type="dcterms:W3CDTF">2017-05-21T12:53:00Z</dcterms:created>
  <dcterms:modified xsi:type="dcterms:W3CDTF">2019-09-26T15:00:00Z</dcterms:modified>
</cp:coreProperties>
</file>