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D575B7" w:rsidP="004241AC">
      <w:pPr>
        <w:spacing w:after="0" w:line="240" w:lineRule="auto"/>
        <w:jc w:val="center"/>
        <w:rPr>
          <w:lang w:val="en-US"/>
        </w:rPr>
      </w:pPr>
      <w:r w:rsidRPr="00D575B7">
        <w:rPr>
          <w:noProof/>
          <w:lang w:eastAsia="it-IT"/>
        </w:rPr>
        <w:drawing>
          <wp:inline distT="0" distB="0" distL="0" distR="0">
            <wp:extent cx="3485385" cy="1322324"/>
            <wp:effectExtent l="19050" t="0" r="76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3495375" cy="1326114"/>
                    </a:xfrm>
                    <a:prstGeom prst="rect">
                      <a:avLst/>
                    </a:prstGeom>
                    <a:noFill/>
                    <a:ln w="9525">
                      <a:noFill/>
                      <a:miter lim="800000"/>
                      <a:headEnd/>
                      <a:tailEnd/>
                    </a:ln>
                  </pic:spPr>
                </pic:pic>
              </a:graphicData>
            </a:graphic>
          </wp:inline>
        </w:drawing>
      </w:r>
    </w:p>
    <w:p w:rsidR="004241AC" w:rsidRDefault="004241AC" w:rsidP="004241AC">
      <w:pPr>
        <w:spacing w:after="0" w:line="240" w:lineRule="auto"/>
        <w:jc w:val="center"/>
        <w:rPr>
          <w:b/>
        </w:rPr>
      </w:pPr>
    </w:p>
    <w:p w:rsidR="00823F4C" w:rsidRDefault="00823F4C" w:rsidP="00823F4C">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823F4C" w:rsidRDefault="00823F4C" w:rsidP="004241AC">
      <w:pPr>
        <w:autoSpaceDE w:val="0"/>
        <w:autoSpaceDN w:val="0"/>
        <w:adjustRightInd w:val="0"/>
        <w:spacing w:after="0" w:line="240" w:lineRule="auto"/>
        <w:jc w:val="center"/>
        <w:rPr>
          <w:b/>
          <w:highlight w:val="yellow"/>
        </w:rPr>
      </w:pPr>
    </w:p>
    <w:p w:rsidR="004609F8" w:rsidRDefault="004609F8" w:rsidP="004241AC">
      <w:pPr>
        <w:autoSpaceDE w:val="0"/>
        <w:autoSpaceDN w:val="0"/>
        <w:adjustRightInd w:val="0"/>
        <w:spacing w:after="0" w:line="240" w:lineRule="auto"/>
        <w:jc w:val="center"/>
        <w:rPr>
          <w:b/>
          <w:highlight w:val="yellow"/>
        </w:rPr>
      </w:pPr>
    </w:p>
    <w:p w:rsidR="004609F8" w:rsidRDefault="00D575B7" w:rsidP="004241AC">
      <w:pPr>
        <w:widowControl w:val="0"/>
        <w:spacing w:after="0" w:line="240" w:lineRule="auto"/>
        <w:jc w:val="center"/>
        <w:rPr>
          <w:snapToGrid w:val="0"/>
        </w:rPr>
      </w:pPr>
      <w:r w:rsidRPr="00D575B7">
        <w:rPr>
          <w:rFonts w:ascii="Calibri" w:eastAsia="Calibri" w:hAnsi="Calibri" w:cs="Times New Roman"/>
          <w:b/>
          <w:sz w:val="32"/>
        </w:rPr>
        <w:t>DABIGATRAN ETEXILATO VI.REL PHARMA</w:t>
      </w:r>
    </w:p>
    <w:p w:rsidR="004241AC" w:rsidRPr="00A966D1" w:rsidRDefault="004241AC" w:rsidP="004241AC">
      <w:pPr>
        <w:widowControl w:val="0"/>
        <w:spacing w:after="0" w:line="240" w:lineRule="auto"/>
        <w:jc w:val="center"/>
        <w:rPr>
          <w:snapToGrid w:val="0"/>
        </w:rPr>
      </w:pPr>
      <w:r w:rsidRPr="00A966D1">
        <w:rPr>
          <w:snapToGrid w:val="0"/>
        </w:rPr>
        <w:t xml:space="preserve"> (</w:t>
      </w:r>
      <w:r w:rsidR="00D575B7">
        <w:rPr>
          <w:snapToGrid w:val="0"/>
        </w:rPr>
        <w:t>dabigatran etexilato</w:t>
      </w:r>
      <w:r w:rsidRPr="00A966D1">
        <w:rPr>
          <w:snapToGrid w:val="0"/>
        </w:rPr>
        <w:t>)</w:t>
      </w:r>
    </w:p>
    <w:p w:rsidR="004241AC" w:rsidRDefault="004241AC" w:rsidP="004241AC">
      <w:pPr>
        <w:autoSpaceDE w:val="0"/>
        <w:autoSpaceDN w:val="0"/>
        <w:adjustRightInd w:val="0"/>
        <w:spacing w:after="0" w:line="240" w:lineRule="auto"/>
        <w:jc w:val="center"/>
        <w:rPr>
          <w:b/>
        </w:rPr>
      </w:pPr>
    </w:p>
    <w:p w:rsidR="004609F8" w:rsidRPr="00A966D1" w:rsidRDefault="004609F8" w:rsidP="004241AC">
      <w:pPr>
        <w:autoSpaceDE w:val="0"/>
        <w:autoSpaceDN w:val="0"/>
        <w:adjustRightInd w:val="0"/>
        <w:spacing w:after="0" w:line="240" w:lineRule="auto"/>
        <w:jc w:val="center"/>
        <w:rPr>
          <w:b/>
        </w:rPr>
      </w:pPr>
    </w:p>
    <w:p w:rsidR="00EC3589" w:rsidRDefault="00D575B7" w:rsidP="004241AC">
      <w:pPr>
        <w:spacing w:after="0" w:line="240" w:lineRule="auto"/>
        <w:jc w:val="center"/>
        <w:rPr>
          <w:b/>
        </w:rPr>
      </w:pPr>
      <w:r w:rsidRPr="00D575B7">
        <w:rPr>
          <w:rFonts w:ascii="Calibri" w:eastAsia="Calibri" w:hAnsi="Calibri" w:cs="Times New Roman"/>
          <w:b/>
        </w:rPr>
        <w:t>Vi.Rel Pharma S.a.s. Di Carletto Lorella E C.</w:t>
      </w:r>
      <w:r w:rsidR="00BF7A42" w:rsidRPr="00BF7A42">
        <w:rPr>
          <w:b/>
        </w:rPr>
        <w:t xml:space="preserve"> </w:t>
      </w:r>
    </w:p>
    <w:p w:rsidR="004609F8" w:rsidRDefault="004609F8" w:rsidP="004241AC">
      <w:pPr>
        <w:spacing w:after="0" w:line="240" w:lineRule="auto"/>
        <w:jc w:val="center"/>
        <w:rPr>
          <w:b/>
        </w:rPr>
      </w:pPr>
    </w:p>
    <w:p w:rsidR="004241AC" w:rsidRDefault="004241AC" w:rsidP="004241AC">
      <w:pPr>
        <w:spacing w:after="0" w:line="240" w:lineRule="auto"/>
        <w:jc w:val="center"/>
        <w:rPr>
          <w:rFonts w:cs="Helvetica"/>
          <w:b/>
        </w:rPr>
      </w:pPr>
      <w:r w:rsidRPr="00062636">
        <w:rPr>
          <w:b/>
        </w:rPr>
        <w:t xml:space="preserve">Numero di AIC: </w:t>
      </w:r>
      <w:r w:rsidR="00033FFC" w:rsidRPr="00033FFC">
        <w:rPr>
          <w:rFonts w:ascii="Calibri" w:eastAsia="Calibri" w:hAnsi="Calibri" w:cs="Helvetica"/>
          <w:b/>
        </w:rPr>
        <w:t>044831</w:t>
      </w:r>
    </w:p>
    <w:p w:rsidR="00797416" w:rsidRPr="00062636" w:rsidRDefault="00797416" w:rsidP="004241AC">
      <w:pPr>
        <w:spacing w:after="0" w:line="240" w:lineRule="auto"/>
        <w:jc w:val="center"/>
        <w:rPr>
          <w:b/>
        </w:rPr>
      </w:pPr>
    </w:p>
    <w:p w:rsidR="004241AC" w:rsidRDefault="004241AC" w:rsidP="004241AC">
      <w:pPr>
        <w:spacing w:after="0" w:line="240" w:lineRule="auto"/>
        <w:jc w:val="center"/>
        <w:rPr>
          <w:b/>
        </w:rPr>
      </w:pPr>
      <w:bookmarkStart w:id="1" w:name="_GoBack"/>
      <w:bookmarkEnd w:id="0"/>
      <w:bookmarkEnd w:id="1"/>
    </w:p>
    <w:p w:rsidR="004E5A39" w:rsidRPr="00062636" w:rsidRDefault="004E5A39" w:rsidP="004241AC">
      <w:pPr>
        <w:spacing w:after="0" w:line="240" w:lineRule="auto"/>
        <w:jc w:val="center"/>
        <w:rPr>
          <w:b/>
        </w:rPr>
      </w:pPr>
    </w:p>
    <w:p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rsidR="004E5A39" w:rsidRDefault="004E5A39" w:rsidP="004241AC">
      <w:pPr>
        <w:autoSpaceDE w:val="0"/>
        <w:autoSpaceDN w:val="0"/>
        <w:adjustRightInd w:val="0"/>
        <w:spacing w:after="0" w:line="240" w:lineRule="auto"/>
        <w:jc w:val="both"/>
        <w:rPr>
          <w:rFonts w:eastAsia="Calibri" w:cs="Calibri"/>
          <w:color w:val="000000"/>
          <w:lang w:eastAsia="it-IT"/>
        </w:rPr>
      </w:pPr>
    </w:p>
    <w:p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033FFC">
        <w:rPr>
          <w:rFonts w:eastAsia="Calibri" w:cs="Calibri"/>
          <w:color w:val="000000"/>
          <w:lang w:eastAsia="it-IT"/>
        </w:rPr>
        <w:t>Dabigatran etexilato VI.REL Pharma</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033FFC">
        <w:rPr>
          <w:rFonts w:eastAsia="Calibri" w:cs="Calibri"/>
          <w:color w:val="000000"/>
          <w:lang w:eastAsia="it-IT"/>
        </w:rPr>
        <w:t>Dabigatran etexilato VI.REL Pharma</w:t>
      </w:r>
      <w:r w:rsidR="00033FFC"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w:t>
      </w:r>
      <w:r>
        <w:rPr>
          <w:rFonts w:eastAsia="Calibri" w:cs="Calibri"/>
          <w:color w:val="000000"/>
          <w:lang w:eastAsia="it-IT"/>
        </w:rPr>
        <w:t>Tecnico-Scientifica (CTS)</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033FFC">
        <w:rPr>
          <w:rFonts w:eastAsia="Calibri" w:cs="Calibri"/>
          <w:color w:val="000000"/>
          <w:lang w:eastAsia="it-IT"/>
        </w:rPr>
        <w:t>Dabigatran etexilato VI.REL Pharma</w:t>
      </w:r>
      <w:r w:rsidRPr="009F1B70">
        <w:rPr>
          <w:rFonts w:eastAsia="Calibri" w:cs="Calibri"/>
          <w:bCs/>
          <w:color w:val="000000"/>
          <w:lang w:eastAsia="it-IT"/>
        </w:rPr>
        <w:t>.</w:t>
      </w:r>
    </w:p>
    <w:p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sidR="00033FFC">
        <w:rPr>
          <w:rFonts w:eastAsia="Calibri" w:cs="Calibri"/>
          <w:color w:val="000000"/>
          <w:lang w:eastAsia="it-IT"/>
        </w:rPr>
        <w:t>Dabigatran etexilato VI.REL Pharma</w:t>
      </w:r>
      <w:r w:rsidR="00033FFC" w:rsidRPr="00BD5925">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rsidR="00300BEA" w:rsidRPr="00033FFC" w:rsidRDefault="00BB2AF8" w:rsidP="00033FFC">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033FFC" w:rsidRPr="00033FFC">
        <w:rPr>
          <w:rFonts w:eastAsia="Calibri" w:cs="Calibri"/>
          <w:b/>
          <w:color w:val="000000"/>
          <w:lang w:eastAsia="it-IT"/>
        </w:rPr>
        <w:t>Dabigatran etexilato VI.REL Pharma</w:t>
      </w:r>
      <w:r w:rsidR="00033FFC" w:rsidRPr="00033FFC">
        <w:rPr>
          <w:rFonts w:eastAsia="Calibri" w:cs="Calibri"/>
          <w:b/>
          <w:bCs/>
          <w:color w:val="000000"/>
          <w:lang w:eastAsia="it-IT"/>
        </w:rPr>
        <w:t xml:space="preserve"> </w:t>
      </w:r>
      <w:r w:rsidRPr="00797416">
        <w:rPr>
          <w:rFonts w:eastAsia="Calibri" w:cs="Calibri"/>
          <w:b/>
          <w:bCs/>
          <w:color w:val="000000"/>
          <w:lang w:eastAsia="it-IT"/>
        </w:rPr>
        <w:t xml:space="preserve">E A COSA SERVE? </w:t>
      </w:r>
    </w:p>
    <w:p w:rsidR="00BB2AF8" w:rsidRDefault="00033FFC" w:rsidP="00BB2AF8">
      <w:pPr>
        <w:widowControl w:val="0"/>
        <w:spacing w:after="0" w:line="240" w:lineRule="auto"/>
        <w:jc w:val="both"/>
        <w:rPr>
          <w:rFonts w:eastAsia="Calibri" w:cs="Calibri"/>
          <w:color w:val="000000"/>
          <w:lang w:eastAsia="it-IT"/>
        </w:rPr>
      </w:pPr>
      <w:r>
        <w:rPr>
          <w:rFonts w:eastAsia="Calibri" w:cs="Calibri"/>
          <w:color w:val="000000"/>
          <w:lang w:eastAsia="it-IT"/>
        </w:rPr>
        <w:t>Dabigatran etexilato VI.REL Pharma</w:t>
      </w:r>
      <w:r w:rsidRPr="000E0632">
        <w:rPr>
          <w:rFonts w:eastAsia="Calibri" w:cs="Calibri"/>
          <w:color w:val="000000"/>
          <w:lang w:eastAsia="it-IT"/>
        </w:rPr>
        <w:t xml:space="preserve"> </w:t>
      </w:r>
      <w:r w:rsidR="00300BEA" w:rsidRPr="00E83F8D">
        <w:rPr>
          <w:rFonts w:eastAsia="Calibri" w:cs="Calibri"/>
          <w:color w:val="000000"/>
          <w:lang w:eastAsia="it-IT"/>
        </w:rPr>
        <w:t xml:space="preserve">è un “medicinale generico”, cioè è analogo ad un “medicinale di riferimento”, </w:t>
      </w:r>
      <w:r>
        <w:rPr>
          <w:rFonts w:eastAsia="Calibri" w:cs="Calibri"/>
          <w:color w:val="000000"/>
          <w:lang w:eastAsia="it-IT"/>
        </w:rPr>
        <w:t>Pradaxa</w:t>
      </w:r>
      <w:r w:rsidR="00300BEA">
        <w:rPr>
          <w:rFonts w:eastAsia="Calibri" w:cs="Calibri"/>
          <w:color w:val="000000"/>
          <w:lang w:eastAsia="it-IT"/>
        </w:rPr>
        <w:t xml:space="preserve">, già autorizzato in Italia con una procedura </w:t>
      </w:r>
      <w:r w:rsidR="00BB2AF8">
        <w:rPr>
          <w:rFonts w:eastAsia="Calibri" w:cs="Calibri"/>
          <w:color w:val="000000"/>
          <w:lang w:eastAsia="it-IT"/>
        </w:rPr>
        <w:t>centralizzata</w:t>
      </w:r>
      <w:r w:rsidR="00BB2AF8" w:rsidRPr="00E83F8D">
        <w:rPr>
          <w:rFonts w:eastAsia="Calibri" w:cs="Calibri"/>
          <w:color w:val="000000"/>
          <w:lang w:eastAsia="it-IT"/>
        </w:rPr>
        <w:t>.</w:t>
      </w:r>
      <w:r w:rsidR="00BB2AF8">
        <w:rPr>
          <w:rFonts w:eastAsia="Calibri" w:cs="Calibri"/>
          <w:color w:val="000000"/>
          <w:lang w:eastAsia="it-IT"/>
        </w:rPr>
        <w:t xml:space="preserve"> L’</w:t>
      </w:r>
      <w:r w:rsidR="00BB2AF8" w:rsidRPr="00DD581F">
        <w:rPr>
          <w:rFonts w:eastAsia="Calibri" w:cs="Calibri"/>
          <w:i/>
          <w:color w:val="000000"/>
          <w:lang w:eastAsia="it-IT"/>
        </w:rPr>
        <w:t>European</w:t>
      </w:r>
      <w:r w:rsidR="00BB2AF8">
        <w:rPr>
          <w:rFonts w:eastAsia="Calibri" w:cs="Calibri"/>
          <w:color w:val="000000"/>
          <w:lang w:eastAsia="it-IT"/>
        </w:rPr>
        <w:t xml:space="preserve"> </w:t>
      </w:r>
      <w:r w:rsidR="00BB2AF8" w:rsidRPr="009B03DB">
        <w:rPr>
          <w:rFonts w:eastAsia="Calibri" w:cs="Calibri"/>
          <w:i/>
          <w:color w:val="000000"/>
          <w:lang w:eastAsia="it-IT"/>
        </w:rPr>
        <w:t>Public Assessment Report</w:t>
      </w:r>
      <w:r w:rsidR="00BB2AF8" w:rsidRPr="009F1B70">
        <w:rPr>
          <w:rFonts w:eastAsia="Calibri" w:cs="Calibri"/>
          <w:color w:val="000000"/>
          <w:lang w:eastAsia="it-IT"/>
        </w:rPr>
        <w:t xml:space="preserve"> (</w:t>
      </w:r>
      <w:r w:rsidR="00BB2AF8">
        <w:rPr>
          <w:rFonts w:eastAsia="Calibri" w:cs="Calibri"/>
          <w:color w:val="000000"/>
          <w:lang w:eastAsia="it-IT"/>
        </w:rPr>
        <w:t>E</w:t>
      </w:r>
      <w:r w:rsidR="00BB2AF8" w:rsidRPr="009F1B70">
        <w:rPr>
          <w:rFonts w:eastAsia="Calibri" w:cs="Calibri"/>
          <w:color w:val="000000"/>
          <w:lang w:eastAsia="it-IT"/>
        </w:rPr>
        <w:t>PAR)</w:t>
      </w:r>
      <w:r w:rsidR="00BB2AF8">
        <w:rPr>
          <w:rFonts w:eastAsia="Calibri" w:cs="Calibri"/>
          <w:color w:val="000000"/>
          <w:lang w:eastAsia="it-IT"/>
        </w:rPr>
        <w:t xml:space="preserve"> di </w:t>
      </w:r>
      <w:r>
        <w:rPr>
          <w:rFonts w:eastAsia="Calibri" w:cs="Calibri"/>
          <w:color w:val="000000"/>
          <w:lang w:eastAsia="it-IT"/>
        </w:rPr>
        <w:t xml:space="preserve">Pradaxa </w:t>
      </w:r>
      <w:r w:rsidR="00BB2AF8">
        <w:rPr>
          <w:rFonts w:eastAsia="Calibri" w:cs="Calibri"/>
          <w:color w:val="000000"/>
          <w:lang w:eastAsia="it-IT"/>
        </w:rPr>
        <w:t>può essere consultato sul sito dell’Agenzia Europea dei medicinali (</w:t>
      </w:r>
      <w:r w:rsidR="00BB2AF8" w:rsidRPr="00DD581F">
        <w:rPr>
          <w:rFonts w:eastAsia="Calibri" w:cs="Calibri"/>
          <w:i/>
          <w:color w:val="000000"/>
          <w:lang w:eastAsia="it-IT"/>
        </w:rPr>
        <w:t>European Medicinal Agency</w:t>
      </w:r>
      <w:r w:rsidR="00BB2AF8">
        <w:rPr>
          <w:rFonts w:eastAsia="Calibri" w:cs="Calibri"/>
          <w:color w:val="000000"/>
          <w:lang w:eastAsia="it-IT"/>
        </w:rPr>
        <w:t xml:space="preserve"> – EMA) </w:t>
      </w:r>
    </w:p>
    <w:p w:rsidR="00BB2AF8" w:rsidRPr="000E0632" w:rsidRDefault="00BB2AF8" w:rsidP="00BB2AF8">
      <w:pPr>
        <w:widowControl w:val="0"/>
        <w:spacing w:after="0" w:line="240" w:lineRule="auto"/>
        <w:jc w:val="both"/>
        <w:rPr>
          <w:rFonts w:eastAsia="Calibri" w:cs="Calibri"/>
          <w:color w:val="000000"/>
          <w:lang w:eastAsia="it-IT"/>
        </w:rPr>
      </w:pPr>
      <w:r>
        <w:rPr>
          <w:rFonts w:eastAsia="Calibri" w:cs="Calibri"/>
          <w:color w:val="000000"/>
          <w:lang w:eastAsia="it-IT"/>
        </w:rPr>
        <w:t>(</w:t>
      </w:r>
      <w:hyperlink r:id="rId6" w:history="1">
        <w:r w:rsidRPr="00DD581F">
          <w:rPr>
            <w:rStyle w:val="Collegamentoipertestuale"/>
            <w:rFonts w:eastAsia="Calibri" w:cs="Calibri"/>
            <w:bCs/>
            <w:lang w:eastAsia="it-IT"/>
          </w:rPr>
          <w:t>http://www.ema.europa.eu/ema/index.jsp?curl=pages/medicines/landing/epar_search.jsp&amp;mid</w:t>
        </w:r>
      </w:hyperlink>
      <w:r>
        <w:rPr>
          <w:rFonts w:eastAsia="Calibri" w:cs="Calibri"/>
          <w:bCs/>
          <w:color w:val="000000"/>
          <w:lang w:eastAsia="it-IT"/>
        </w:rPr>
        <w:t>).</w:t>
      </w:r>
    </w:p>
    <w:p w:rsidR="00BB2AF8" w:rsidRDefault="00033FFC"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Dabigatran etexilato VI.REL Pharma</w:t>
      </w:r>
      <w:r w:rsidRPr="000E0632">
        <w:rPr>
          <w:rFonts w:eastAsia="Calibri" w:cs="Calibri"/>
          <w:color w:val="000000"/>
          <w:lang w:eastAsia="it-IT"/>
        </w:rPr>
        <w:t xml:space="preserve"> </w:t>
      </w:r>
      <w:r w:rsidR="00BB2AF8" w:rsidRPr="00051F8C">
        <w:rPr>
          <w:rFonts w:eastAsia="Calibri" w:cs="Calibri"/>
          <w:lang w:eastAsia="it-IT"/>
        </w:rPr>
        <w:t>si usa</w:t>
      </w:r>
      <w:r w:rsidR="00BB2AF8">
        <w:rPr>
          <w:rFonts w:eastAsia="Calibri" w:cs="Calibri"/>
          <w:lang w:eastAsia="it-IT"/>
        </w:rPr>
        <w:t>:</w:t>
      </w:r>
    </w:p>
    <w:p w:rsidR="00033FFC" w:rsidRPr="00033FFC" w:rsidRDefault="00033FFC" w:rsidP="00033FFC">
      <w:pPr>
        <w:autoSpaceDE w:val="0"/>
        <w:autoSpaceDN w:val="0"/>
        <w:adjustRightInd w:val="0"/>
        <w:spacing w:after="0" w:line="240" w:lineRule="auto"/>
        <w:rPr>
          <w:rFonts w:eastAsia="Calibri" w:cs="Calibri"/>
          <w:color w:val="000000"/>
          <w:lang w:eastAsia="it-IT"/>
        </w:rPr>
      </w:pPr>
      <w:r w:rsidRPr="00033FFC">
        <w:rPr>
          <w:rFonts w:eastAsia="Calibri" w:cs="Calibri"/>
          <w:color w:val="000000"/>
          <w:lang w:eastAsia="it-IT"/>
        </w:rPr>
        <w:t>- per la prevenzione della formazione di coaguli del sangue nelle vene a seguito di interventi di chirurgia per sostituzione del ginocchio o dell’anca negli adulti</w:t>
      </w:r>
      <w:r w:rsidR="005F3E03">
        <w:rPr>
          <w:rFonts w:eastAsia="Calibri" w:cs="Calibri"/>
          <w:color w:val="000000"/>
          <w:lang w:eastAsia="it-IT"/>
        </w:rPr>
        <w:t xml:space="preserve"> (dosaggio da 75 mg e 110 mg)</w:t>
      </w:r>
      <w:r w:rsidRPr="00033FFC">
        <w:rPr>
          <w:rFonts w:eastAsia="Calibri" w:cs="Calibri"/>
          <w:color w:val="000000"/>
          <w:lang w:eastAsia="it-IT"/>
        </w:rPr>
        <w:t>.</w:t>
      </w:r>
    </w:p>
    <w:p w:rsidR="00033FFC" w:rsidRPr="00033FFC" w:rsidRDefault="00033FFC" w:rsidP="00033FFC">
      <w:pPr>
        <w:autoSpaceDE w:val="0"/>
        <w:autoSpaceDN w:val="0"/>
        <w:adjustRightInd w:val="0"/>
        <w:spacing w:after="0" w:line="240" w:lineRule="auto"/>
        <w:jc w:val="both"/>
        <w:rPr>
          <w:rFonts w:ascii="Calibri" w:eastAsia="Calibri" w:hAnsi="Calibri" w:cs="Calibri"/>
          <w:color w:val="000000"/>
          <w:lang w:eastAsia="it-IT"/>
        </w:rPr>
      </w:pPr>
      <w:r>
        <w:rPr>
          <w:rFonts w:ascii="Calibri" w:eastAsia="Calibri" w:hAnsi="Calibri" w:cs="Calibri"/>
          <w:color w:val="000000"/>
          <w:lang w:eastAsia="it-IT"/>
        </w:rPr>
        <w:t xml:space="preserve">- </w:t>
      </w:r>
      <w:r w:rsidRPr="00033FFC">
        <w:rPr>
          <w:rFonts w:ascii="Calibri" w:eastAsia="Calibri" w:hAnsi="Calibri" w:cs="Calibri"/>
          <w:color w:val="000000"/>
          <w:lang w:eastAsia="it-IT"/>
        </w:rPr>
        <w:t>prevenire coaguli di sangue nel cervello (ictus) e in altri vasi sanguigni del corpo se presenta un tipo di alterazione del ritmo cardiaco chiamata fibrillazione atriale non-valvolare e almeno un ulteriore fattore di rischio</w:t>
      </w:r>
      <w:r w:rsidR="005F3E03">
        <w:rPr>
          <w:rFonts w:ascii="Calibri" w:eastAsia="Calibri" w:hAnsi="Calibri" w:cs="Calibri"/>
          <w:color w:val="000000"/>
          <w:lang w:eastAsia="it-IT"/>
        </w:rPr>
        <w:t xml:space="preserve"> (dosaggio da 110mg e 150 mg)</w:t>
      </w:r>
      <w:r w:rsidRPr="00033FFC">
        <w:rPr>
          <w:rFonts w:ascii="Calibri" w:eastAsia="Calibri" w:hAnsi="Calibri" w:cs="Calibri"/>
          <w:color w:val="000000"/>
          <w:lang w:eastAsia="it-IT"/>
        </w:rPr>
        <w:t xml:space="preserve">. </w:t>
      </w:r>
    </w:p>
    <w:p w:rsidR="00033FFC" w:rsidRPr="00033FFC" w:rsidRDefault="005F3E03" w:rsidP="005F3E03">
      <w:pPr>
        <w:autoSpaceDE w:val="0"/>
        <w:autoSpaceDN w:val="0"/>
        <w:adjustRightInd w:val="0"/>
        <w:spacing w:after="0" w:line="240" w:lineRule="auto"/>
        <w:jc w:val="both"/>
        <w:rPr>
          <w:rFonts w:ascii="Calibri" w:eastAsia="Calibri" w:hAnsi="Calibri" w:cs="Calibri"/>
          <w:color w:val="000000"/>
          <w:lang w:eastAsia="it-IT"/>
        </w:rPr>
      </w:pPr>
      <w:r>
        <w:rPr>
          <w:rFonts w:ascii="Calibri" w:eastAsia="Calibri" w:hAnsi="Calibri" w:cs="Calibri"/>
          <w:color w:val="000000"/>
          <w:lang w:eastAsia="it-IT"/>
        </w:rPr>
        <w:t xml:space="preserve">- </w:t>
      </w:r>
      <w:r w:rsidR="00033FFC" w:rsidRPr="00033FFC">
        <w:rPr>
          <w:rFonts w:ascii="Calibri" w:eastAsia="Calibri" w:hAnsi="Calibri" w:cs="Calibri"/>
          <w:color w:val="000000"/>
          <w:lang w:eastAsia="it-IT"/>
        </w:rPr>
        <w:t>trattare i coaguli di sangue nelle vene delle gambe e dei polmoni e per prevenire che i coaguli di sangue si riformino nelle vene delle gambe e dei polmoni</w:t>
      </w:r>
      <w:r>
        <w:rPr>
          <w:rFonts w:ascii="Calibri" w:eastAsia="Calibri" w:hAnsi="Calibri" w:cs="Calibri"/>
          <w:color w:val="000000"/>
          <w:lang w:eastAsia="it-IT"/>
        </w:rPr>
        <w:t xml:space="preserve"> (dosaggio da 110mg e 150 mg)</w:t>
      </w:r>
      <w:r w:rsidR="00033FFC" w:rsidRPr="00033FFC">
        <w:rPr>
          <w:rFonts w:ascii="Calibri" w:eastAsia="Calibri" w:hAnsi="Calibri" w:cs="Calibri"/>
          <w:color w:val="000000"/>
          <w:lang w:eastAsia="it-IT"/>
        </w:rPr>
        <w:t>.</w:t>
      </w:r>
    </w:p>
    <w:p w:rsidR="00BB2AF8" w:rsidRPr="00300BEA" w:rsidRDefault="00BB2AF8" w:rsidP="00300BEA">
      <w:pPr>
        <w:autoSpaceDE w:val="0"/>
        <w:autoSpaceDN w:val="0"/>
        <w:adjustRightInd w:val="0"/>
        <w:spacing w:after="0" w:line="240" w:lineRule="auto"/>
        <w:jc w:val="both"/>
        <w:rPr>
          <w:rFonts w:eastAsia="Calibri" w:cs="Calibri"/>
          <w:b/>
          <w:bCs/>
          <w:i/>
          <w:color w:val="000000"/>
          <w:sz w:val="20"/>
          <w:szCs w:val="24"/>
          <w:lang w:eastAsia="it-IT"/>
        </w:rPr>
      </w:pPr>
    </w:p>
    <w:p w:rsidR="00BB2AF8" w:rsidRDefault="00BB2AF8" w:rsidP="00BB2AF8">
      <w:pPr>
        <w:autoSpaceDE w:val="0"/>
        <w:autoSpaceDN w:val="0"/>
        <w:adjustRightInd w:val="0"/>
        <w:spacing w:after="0" w:line="240" w:lineRule="auto"/>
        <w:jc w:val="both"/>
        <w:rPr>
          <w:rFonts w:eastAsia="Calibri" w:cs="Calibri"/>
          <w:b/>
          <w:bCs/>
          <w:color w:val="000000"/>
          <w:szCs w:val="24"/>
          <w:lang w:eastAsia="it-IT"/>
        </w:rPr>
      </w:pPr>
    </w:p>
    <w:p w:rsidR="00BB2AF8" w:rsidRPr="003F739B" w:rsidRDefault="00BB2AF8" w:rsidP="00BB2AF8">
      <w:pPr>
        <w:autoSpaceDE w:val="0"/>
        <w:autoSpaceDN w:val="0"/>
        <w:adjustRightInd w:val="0"/>
        <w:spacing w:after="0" w:line="240" w:lineRule="auto"/>
        <w:jc w:val="both"/>
        <w:rPr>
          <w:rFonts w:eastAsia="Calibri" w:cs="Calibri"/>
          <w:b/>
          <w:bCs/>
          <w:color w:val="000000"/>
          <w:lang w:eastAsia="it-IT"/>
        </w:rPr>
      </w:pPr>
    </w:p>
    <w:p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E’ PRESCRITTO/USATO </w:t>
      </w:r>
      <w:r w:rsidR="005F3E03" w:rsidRPr="00033FFC">
        <w:rPr>
          <w:rFonts w:eastAsia="Calibri" w:cs="Calibri"/>
          <w:b/>
          <w:color w:val="000000"/>
          <w:lang w:eastAsia="it-IT"/>
        </w:rPr>
        <w:t>Dabigatran etexilato VI.REL Pharma</w:t>
      </w:r>
      <w:r w:rsidRPr="003F739B">
        <w:rPr>
          <w:rFonts w:eastAsia="Calibri" w:cs="Calibri"/>
          <w:b/>
          <w:bCs/>
          <w:color w:val="000000"/>
          <w:lang w:eastAsia="it-IT"/>
        </w:rPr>
        <w:t>?</w:t>
      </w:r>
    </w:p>
    <w:p w:rsidR="005F3E03" w:rsidRDefault="005F3E03" w:rsidP="001C15DF">
      <w:pPr>
        <w:pStyle w:val="PreformattatoHTML"/>
        <w:jc w:val="both"/>
        <w:rPr>
          <w:rFonts w:asciiTheme="minorHAnsi" w:eastAsia="Calibri" w:hAnsiTheme="minorHAnsi" w:cs="Calibri"/>
          <w:color w:val="000000"/>
          <w:sz w:val="22"/>
          <w:szCs w:val="22"/>
        </w:rPr>
      </w:pPr>
      <w:r w:rsidRPr="005F3E03">
        <w:rPr>
          <w:rFonts w:asciiTheme="minorHAnsi" w:eastAsia="Calibri" w:hAnsiTheme="minorHAnsi" w:cs="Calibri"/>
          <w:color w:val="000000"/>
          <w:sz w:val="22"/>
          <w:szCs w:val="22"/>
        </w:rPr>
        <w:lastRenderedPageBreak/>
        <w:t>Dabigatran etexilato VI.REL Pharma</w:t>
      </w:r>
      <w:r w:rsidRPr="005F3E03">
        <w:rPr>
          <w:rFonts w:asciiTheme="minorHAnsi" w:eastAsia="Calibri" w:hAnsiTheme="minorHAnsi" w:cs="Calibri"/>
          <w:b/>
          <w:bCs/>
          <w:color w:val="000000"/>
          <w:sz w:val="22"/>
          <w:szCs w:val="22"/>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solo su prescrizione da parte di centri ospedalieri o di specialisti</w:t>
      </w:r>
      <w:r>
        <w:rPr>
          <w:rFonts w:asciiTheme="minorHAnsi" w:eastAsia="Calibri" w:hAnsiTheme="minorHAnsi" w:cs="Calibri"/>
          <w:color w:val="000000"/>
          <w:sz w:val="22"/>
          <w:szCs w:val="22"/>
        </w:rPr>
        <w:t>:</w:t>
      </w:r>
      <w:r w:rsidR="00300BEA" w:rsidRPr="001C15DF">
        <w:rPr>
          <w:rFonts w:asciiTheme="minorHAnsi" w:eastAsia="Calibri" w:hAnsiTheme="minorHAnsi" w:cs="Calibri"/>
          <w:color w:val="000000"/>
          <w:sz w:val="22"/>
          <w:szCs w:val="22"/>
        </w:rPr>
        <w:t xml:space="preserve"> </w:t>
      </w:r>
      <w:r w:rsidRPr="005F3E03">
        <w:rPr>
          <w:rFonts w:ascii="Calibri" w:eastAsia="Calibri" w:hAnsi="Calibri" w:cs="Calibri"/>
          <w:color w:val="000000"/>
          <w:sz w:val="22"/>
          <w:szCs w:val="22"/>
        </w:rPr>
        <w:t>ortopedic</w:t>
      </w:r>
      <w:r w:rsidR="00DF190A">
        <w:rPr>
          <w:rFonts w:ascii="Calibri" w:eastAsia="Calibri" w:hAnsi="Calibri" w:cs="Calibri"/>
          <w:color w:val="000000"/>
          <w:sz w:val="22"/>
          <w:szCs w:val="22"/>
        </w:rPr>
        <w:t>o, fisiatra, internista, ematologi</w:t>
      </w:r>
      <w:r w:rsidRPr="005F3E03">
        <w:rPr>
          <w:rFonts w:ascii="Calibri" w:eastAsia="Calibri" w:hAnsi="Calibri" w:cs="Calibri"/>
          <w:color w:val="000000"/>
          <w:sz w:val="22"/>
          <w:szCs w:val="22"/>
        </w:rPr>
        <w:t xml:space="preserve"> </w:t>
      </w:r>
      <w:r w:rsidR="00DF190A" w:rsidRPr="00DF190A">
        <w:rPr>
          <w:rFonts w:ascii="Calibri" w:eastAsia="Calibri" w:hAnsi="Calibri" w:cs="Calibri"/>
          <w:color w:val="000000"/>
          <w:sz w:val="22"/>
          <w:szCs w:val="22"/>
        </w:rPr>
        <w:t>che lavorano nei Centri di trombosi ed emos</w:t>
      </w:r>
      <w:r w:rsidR="00DF190A">
        <w:rPr>
          <w:rFonts w:ascii="Calibri" w:eastAsia="Calibri" w:hAnsi="Calibri" w:cs="Calibri"/>
          <w:color w:val="000000"/>
          <w:sz w:val="22"/>
          <w:szCs w:val="22"/>
        </w:rPr>
        <w:t>tasi, neurologo, geriatra, pneu</w:t>
      </w:r>
      <w:r w:rsidR="00DF190A" w:rsidRPr="00DF190A">
        <w:rPr>
          <w:rFonts w:ascii="Calibri" w:eastAsia="Calibri" w:hAnsi="Calibri" w:cs="Calibri"/>
          <w:color w:val="000000"/>
          <w:sz w:val="22"/>
          <w:szCs w:val="22"/>
        </w:rPr>
        <w:t>mologo e cardiologo</w:t>
      </w:r>
      <w:r w:rsidRPr="005F3E03">
        <w:rPr>
          <w:rFonts w:asciiTheme="minorHAnsi" w:eastAsia="Calibri" w:hAnsiTheme="minorHAnsi" w:cs="Calibri"/>
          <w:color w:val="000000"/>
          <w:sz w:val="22"/>
          <w:szCs w:val="22"/>
        </w:rPr>
        <w:t xml:space="preserve"> </w:t>
      </w:r>
      <w:r w:rsidR="00300BEA" w:rsidRPr="001C15DF">
        <w:rPr>
          <w:rFonts w:asciiTheme="minorHAnsi" w:eastAsia="Calibri" w:hAnsiTheme="minorHAnsi" w:cs="Calibri"/>
          <w:color w:val="000000"/>
          <w:sz w:val="22"/>
          <w:szCs w:val="22"/>
        </w:rPr>
        <w:t>con ricetta limitativa ripetibile</w:t>
      </w:r>
      <w:r>
        <w:rPr>
          <w:rFonts w:asciiTheme="minorHAnsi" w:eastAsia="Calibri" w:hAnsiTheme="minorHAnsi" w:cs="Calibri"/>
          <w:color w:val="000000"/>
          <w:sz w:val="22"/>
          <w:szCs w:val="22"/>
        </w:rPr>
        <w:t>.</w:t>
      </w:r>
    </w:p>
    <w:p w:rsidR="00DF190A" w:rsidRDefault="00DF190A" w:rsidP="00BB2AF8">
      <w:pPr>
        <w:tabs>
          <w:tab w:val="left" w:pos="0"/>
        </w:tabs>
        <w:spacing w:after="0" w:line="240" w:lineRule="auto"/>
        <w:jc w:val="both"/>
        <w:rPr>
          <w:rFonts w:ascii="Fd1041514-Identity-H" w:hAnsi="Fd1041514-Identity-H" w:cs="Fd1041514-Identity-H"/>
          <w:color w:val="101010"/>
          <w:sz w:val="19"/>
          <w:szCs w:val="19"/>
        </w:rPr>
      </w:pPr>
    </w:p>
    <w:p w:rsidR="008A6FEC" w:rsidRDefault="008A6FEC" w:rsidP="00BB2AF8">
      <w:pPr>
        <w:tabs>
          <w:tab w:val="left" w:pos="0"/>
        </w:tabs>
        <w:spacing w:after="0" w:line="240" w:lineRule="auto"/>
        <w:jc w:val="both"/>
      </w:pPr>
      <w:r>
        <w:t>La quantità di medicinale da utilizzare è stabilita dal medico in</w:t>
      </w:r>
      <w:r w:rsidR="005F3E03">
        <w:t xml:space="preserve"> relazione al tipo di indicazioni per cui si prescrive il medicinale </w:t>
      </w:r>
      <w:r>
        <w:t xml:space="preserve">e allo stato del paziente. </w:t>
      </w:r>
    </w:p>
    <w:p w:rsidR="005F3E03" w:rsidRDefault="005F3E03" w:rsidP="00BB2AF8">
      <w:pPr>
        <w:tabs>
          <w:tab w:val="left" w:pos="0"/>
        </w:tabs>
        <w:spacing w:after="0" w:line="240" w:lineRule="auto"/>
        <w:jc w:val="both"/>
        <w:rPr>
          <w:b/>
          <w:i/>
          <w:sz w:val="20"/>
          <w:highlight w:val="green"/>
        </w:rPr>
      </w:pPr>
    </w:p>
    <w:p w:rsidR="00BB2AF8" w:rsidRDefault="00BB2AF8" w:rsidP="00BB2AF8">
      <w:pPr>
        <w:tabs>
          <w:tab w:val="left" w:pos="0"/>
        </w:tabs>
        <w:spacing w:after="0" w:line="240" w:lineRule="auto"/>
        <w:jc w:val="both"/>
      </w:pPr>
      <w:r w:rsidRPr="00B7597D">
        <w:t xml:space="preserve">Nei pazienti </w:t>
      </w:r>
      <w:r w:rsidR="001C15DF">
        <w:t>anziani</w:t>
      </w:r>
      <w:r w:rsidR="005F3E03">
        <w:t xml:space="preserve"> e nei pazienti </w:t>
      </w:r>
      <w:r w:rsidRPr="00B7597D">
        <w:t>con problemi al rene</w:t>
      </w:r>
      <w:r w:rsidR="001C15DF">
        <w:t xml:space="preserve"> </w:t>
      </w:r>
      <w:r w:rsidRPr="00B7597D">
        <w:t>il dosaggio può essere più basso.</w:t>
      </w:r>
    </w:p>
    <w:p w:rsidR="005F3E03" w:rsidRDefault="005F3E03" w:rsidP="00BB2AF8">
      <w:pPr>
        <w:tabs>
          <w:tab w:val="left" w:pos="0"/>
        </w:tabs>
        <w:spacing w:after="0" w:line="240" w:lineRule="auto"/>
        <w:jc w:val="both"/>
      </w:pPr>
    </w:p>
    <w:p w:rsidR="001C15DF" w:rsidRDefault="001C15DF" w:rsidP="00BB2AF8">
      <w:pPr>
        <w:autoSpaceDE w:val="0"/>
        <w:autoSpaceDN w:val="0"/>
        <w:adjustRightInd w:val="0"/>
        <w:spacing w:after="0" w:line="240" w:lineRule="auto"/>
        <w:jc w:val="both"/>
      </w:pPr>
    </w:p>
    <w:p w:rsidR="008A6FEC" w:rsidRDefault="008A6FEC" w:rsidP="00BB2AF8">
      <w:pPr>
        <w:autoSpaceDE w:val="0"/>
        <w:autoSpaceDN w:val="0"/>
        <w:adjustRightInd w:val="0"/>
        <w:spacing w:after="0" w:line="240" w:lineRule="auto"/>
        <w:jc w:val="both"/>
        <w:rPr>
          <w:iCs/>
        </w:rPr>
      </w:pPr>
      <w:r>
        <w:rPr>
          <w:rFonts w:ascii="Calibri" w:eastAsia="Calibri" w:hAnsi="Calibri" w:cs="Times New Roman"/>
          <w:iCs/>
        </w:rPr>
        <w:t>Questo medicinale non è raccomandato nella popolazione pediatrica in quanto non sono disponibili dati sull’uso in questa fascia di età.</w:t>
      </w:r>
    </w:p>
    <w:p w:rsidR="005F3E03" w:rsidRDefault="005F3E03" w:rsidP="008A6FEC">
      <w:pPr>
        <w:tabs>
          <w:tab w:val="left" w:pos="284"/>
        </w:tabs>
        <w:spacing w:after="0" w:line="240" w:lineRule="auto"/>
        <w:jc w:val="both"/>
        <w:rPr>
          <w:b/>
          <w:i/>
          <w:sz w:val="20"/>
          <w:szCs w:val="20"/>
        </w:rPr>
      </w:pPr>
    </w:p>
    <w:p w:rsidR="00BB2AF8" w:rsidRPr="004B4170" w:rsidRDefault="001C15DF" w:rsidP="008A6FEC">
      <w:pPr>
        <w:tabs>
          <w:tab w:val="left" w:pos="284"/>
        </w:tabs>
        <w:spacing w:after="0" w:line="240" w:lineRule="auto"/>
        <w:jc w:val="both"/>
        <w:rPr>
          <w:rFonts w:eastAsia="Calibri" w:cs="Verdana"/>
          <w:color w:val="000000"/>
          <w:lang w:eastAsia="it-IT"/>
        </w:rPr>
      </w:pPr>
      <w:r>
        <w:t>L</w:t>
      </w:r>
      <w:r w:rsidRPr="00D95D44">
        <w:t>e c</w:t>
      </w:r>
      <w:r w:rsidR="005F3E03">
        <w:t>apsule</w:t>
      </w:r>
      <w:r w:rsidRPr="00D95D44">
        <w:t xml:space="preserve"> </w:t>
      </w:r>
      <w:r w:rsidR="005F3E03">
        <w:t xml:space="preserve">devono essere assunte  </w:t>
      </w:r>
      <w:r>
        <w:t>inte</w:t>
      </w:r>
      <w:r w:rsidR="005F3E03">
        <w:t xml:space="preserve">re (non frantumate o masticate) </w:t>
      </w:r>
      <w:r>
        <w:t xml:space="preserve"> con un </w:t>
      </w:r>
      <w:r w:rsidR="005F3E03">
        <w:t>bicchiere di acqua</w:t>
      </w:r>
      <w:r>
        <w:t xml:space="preserve">, </w:t>
      </w:r>
      <w:r w:rsidR="005F3E03">
        <w:t>cono o senza cibo.</w:t>
      </w:r>
    </w:p>
    <w:p w:rsidR="00F96473" w:rsidRPr="004B4170" w:rsidRDefault="00F96473" w:rsidP="00BB2AF8">
      <w:pPr>
        <w:autoSpaceDE w:val="0"/>
        <w:autoSpaceDN w:val="0"/>
        <w:adjustRightInd w:val="0"/>
        <w:spacing w:after="0" w:line="240" w:lineRule="auto"/>
        <w:jc w:val="both"/>
        <w:rPr>
          <w:rFonts w:eastAsia="Calibri" w:cs="Verdana"/>
          <w:color w:val="000000"/>
          <w:lang w:eastAsia="it-IT"/>
        </w:rPr>
      </w:pPr>
    </w:p>
    <w:p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DF190A" w:rsidRPr="00033FFC">
        <w:rPr>
          <w:rFonts w:eastAsia="Calibri" w:cs="Calibri"/>
          <w:b/>
          <w:color w:val="000000"/>
          <w:lang w:eastAsia="it-IT"/>
        </w:rPr>
        <w:t>Dabigatran etexilato VI.REL Pharma</w:t>
      </w:r>
      <w:r w:rsidRPr="004B4170">
        <w:rPr>
          <w:rFonts w:eastAsia="Calibri" w:cs="Calibri"/>
          <w:b/>
          <w:bCs/>
          <w:color w:val="000000"/>
          <w:lang w:eastAsia="it-IT"/>
        </w:rPr>
        <w:t xml:space="preserve">? </w:t>
      </w:r>
    </w:p>
    <w:p w:rsidR="00BB2AF8" w:rsidRPr="004B4170" w:rsidRDefault="00DF190A" w:rsidP="00BB2AF8">
      <w:pPr>
        <w:autoSpaceDE w:val="0"/>
        <w:autoSpaceDN w:val="0"/>
        <w:adjustRightInd w:val="0"/>
        <w:spacing w:after="0" w:line="240" w:lineRule="auto"/>
        <w:jc w:val="both"/>
        <w:rPr>
          <w:iCs/>
        </w:rPr>
      </w:pPr>
      <w:r w:rsidRPr="00DF190A">
        <w:rPr>
          <w:rFonts w:eastAsia="Calibri" w:cs="Calibri"/>
          <w:color w:val="000000"/>
          <w:lang w:eastAsia="it-IT"/>
        </w:rPr>
        <w:t>Dabigatran etexilato VI.REL Pharma</w:t>
      </w:r>
      <w:r w:rsidRPr="00DF190A">
        <w:rPr>
          <w:rFonts w:eastAsia="Calibri" w:cs="Calibri"/>
          <w:bCs/>
          <w:color w:val="000000"/>
          <w:lang w:eastAsia="it-IT"/>
        </w:rPr>
        <w:t xml:space="preserve"> </w:t>
      </w:r>
      <w:r w:rsidR="00BB2AF8" w:rsidRPr="00EF6711">
        <w:rPr>
          <w:rFonts w:eastAsia="Calibri" w:cs="Calibri"/>
          <w:bCs/>
          <w:color w:val="000000"/>
          <w:lang w:eastAsia="it-IT"/>
        </w:rPr>
        <w:t xml:space="preserve">il cui codice ATC è </w:t>
      </w:r>
      <w:r w:rsidRPr="00DF190A">
        <w:t>B01AE07</w:t>
      </w:r>
      <w:r>
        <w:t xml:space="preserve"> </w:t>
      </w:r>
      <w:r w:rsidR="00BB2AF8" w:rsidRPr="00EF6711">
        <w:rPr>
          <w:rFonts w:eastAsia="Calibri" w:cs="Calibri"/>
          <w:color w:val="000000"/>
          <w:lang w:eastAsia="it-IT"/>
        </w:rPr>
        <w:t xml:space="preserve">contiene il principio attivo </w:t>
      </w:r>
      <w:r w:rsidRPr="00DF190A">
        <w:rPr>
          <w:rFonts w:eastAsia="Calibri" w:cs="Calibri"/>
          <w:color w:val="000000"/>
          <w:lang w:eastAsia="it-IT"/>
        </w:rPr>
        <w:t xml:space="preserve">Dabigatran etexilato </w:t>
      </w:r>
      <w:r w:rsidR="00BB2AF8" w:rsidRPr="00EF6711">
        <w:rPr>
          <w:rFonts w:eastAsia="DejaVuSans" w:cs="DejaVuSans"/>
        </w:rPr>
        <w:t xml:space="preserve">che </w:t>
      </w:r>
      <w:r w:rsidR="00BB2AF8" w:rsidRPr="00EF6711">
        <w:t xml:space="preserve">appartiene alla classe dei </w:t>
      </w:r>
      <w:r>
        <w:t>anticoagulanti</w:t>
      </w:r>
      <w:r w:rsidR="00BB2AF8" w:rsidRPr="00EF6711">
        <w:t xml:space="preserve"> e agisce </w:t>
      </w:r>
      <w:r w:rsidRPr="00DF190A">
        <w:t>blocca</w:t>
      </w:r>
      <w:r>
        <w:t>ndo</w:t>
      </w:r>
      <w:r w:rsidRPr="00DF190A">
        <w:t xml:space="preserve"> l’azione di una sostanza presente nell’organismo coinvolta nella formazione dei coaguli del sangue.</w:t>
      </w:r>
      <w:r w:rsidR="00BB2AF8" w:rsidRPr="004B4170">
        <w:rPr>
          <w:rFonts w:cs="Arial"/>
          <w:color w:val="000000"/>
          <w:shd w:val="clear" w:color="auto" w:fill="FFFFFF"/>
        </w:rPr>
        <w:br/>
      </w:r>
    </w:p>
    <w:p w:rsidR="00BB2AF8" w:rsidRPr="004B4170" w:rsidRDefault="00BB2AF8" w:rsidP="00BB2AF8">
      <w:pPr>
        <w:autoSpaceDE w:val="0"/>
        <w:autoSpaceDN w:val="0"/>
        <w:adjustRightInd w:val="0"/>
        <w:spacing w:after="0" w:line="240" w:lineRule="auto"/>
        <w:jc w:val="both"/>
        <w:rPr>
          <w:rFonts w:eastAsia="Calibri" w:cs="Calibri"/>
          <w:lang w:eastAsia="it-IT"/>
        </w:rPr>
      </w:pPr>
      <w:r w:rsidRPr="004B4170">
        <w:rPr>
          <w:rFonts w:eastAsia="Calibri" w:cs="Calibri"/>
          <w:b/>
          <w:bCs/>
          <w:lang w:eastAsia="it-IT"/>
        </w:rPr>
        <w:t xml:space="preserve">4) COME È STATO STUDIATO </w:t>
      </w:r>
      <w:r w:rsidR="00DF190A" w:rsidRPr="00033FFC">
        <w:rPr>
          <w:rFonts w:eastAsia="Calibri" w:cs="Calibri"/>
          <w:b/>
          <w:color w:val="000000"/>
          <w:lang w:eastAsia="it-IT"/>
        </w:rPr>
        <w:t>Dabigatran etexilato VI.REL Pharma</w:t>
      </w:r>
      <w:r w:rsidRPr="004B4170">
        <w:rPr>
          <w:rFonts w:eastAsia="Calibri" w:cs="Calibri"/>
          <w:b/>
          <w:bCs/>
          <w:lang w:eastAsia="it-IT"/>
        </w:rPr>
        <w:t xml:space="preserve">? </w:t>
      </w:r>
    </w:p>
    <w:p w:rsidR="00F96473" w:rsidRDefault="00F96473" w:rsidP="00F96473">
      <w:pPr>
        <w:spacing w:after="0" w:line="240" w:lineRule="auto"/>
        <w:jc w:val="both"/>
        <w:rPr>
          <w:rFonts w:ascii="Calibri" w:hAnsi="Calibri" w:cs="Arial"/>
        </w:rPr>
      </w:pPr>
      <w:r w:rsidRPr="00D85E7D">
        <w:rPr>
          <w:rFonts w:cs="Arial"/>
        </w:rPr>
        <w:t xml:space="preserve">Poiché </w:t>
      </w:r>
      <w:r w:rsidR="00DF190A" w:rsidRPr="00DF190A">
        <w:rPr>
          <w:rFonts w:eastAsia="Calibri" w:cs="Calibri"/>
          <w:color w:val="000000"/>
          <w:lang w:eastAsia="it-IT"/>
        </w:rPr>
        <w:t>Dabigatran etexilato VI.REL Pharma</w:t>
      </w:r>
      <w:r w:rsidR="00DF190A" w:rsidRPr="00DF190A">
        <w:rPr>
          <w:rFonts w:eastAsia="Calibri" w:cs="Calibri"/>
          <w:bCs/>
          <w:color w:val="000000"/>
          <w:lang w:eastAsia="it-IT"/>
        </w:rPr>
        <w:t xml:space="preserve"> </w:t>
      </w:r>
      <w:r w:rsidRPr="00D85E7D">
        <w:rPr>
          <w:rFonts w:cs="Arial"/>
        </w:rPr>
        <w:t>è un medicinale generico, è stato sufficiente effettuare prove cliniche per determinare</w:t>
      </w:r>
      <w:r w:rsidRPr="00D85E7D">
        <w:rPr>
          <w:rFonts w:cs="Arial"/>
          <w:b/>
        </w:rPr>
        <w:t xml:space="preserve"> </w:t>
      </w:r>
      <w:r w:rsidRPr="00D85E7D">
        <w:rPr>
          <w:rFonts w:cs="Arial"/>
        </w:rPr>
        <w:t>la bioequivalenza rispetto al medicinale di riferimento</w:t>
      </w:r>
      <w:r w:rsidR="00DF190A">
        <w:rPr>
          <w:rFonts w:cs="Arial"/>
        </w:rPr>
        <w:t xml:space="preserve"> Pradaxa.</w:t>
      </w:r>
      <w:r w:rsidRPr="00D85E7D">
        <w:rPr>
          <w:rFonts w:cs="Arial"/>
        </w:rPr>
        <w:t xml:space="preserve"> Due medicinali sono</w:t>
      </w:r>
      <w:r>
        <w:rPr>
          <w:rFonts w:ascii="Calibri" w:hAnsi="Calibri" w:cs="Arial"/>
        </w:rPr>
        <w:t xml:space="preserve"> bioequivalenti quando producono gli stessi livelli di principio attivo nell’organismo</w:t>
      </w:r>
      <w:r w:rsidRPr="004E389D">
        <w:rPr>
          <w:rFonts w:ascii="Calibri" w:hAnsi="Calibri" w:cs="Arial"/>
        </w:rPr>
        <w:t xml:space="preserve">. </w:t>
      </w:r>
    </w:p>
    <w:p w:rsidR="00943785" w:rsidRPr="00E233B1" w:rsidRDefault="00943785" w:rsidP="00943785">
      <w:pPr>
        <w:spacing w:after="0" w:line="240" w:lineRule="auto"/>
        <w:jc w:val="both"/>
      </w:pPr>
      <w:r w:rsidRPr="00E233B1">
        <w:t xml:space="preserve"> </w:t>
      </w:r>
    </w:p>
    <w:p w:rsidR="006B311C" w:rsidRPr="00666CCE" w:rsidRDefault="006B311C" w:rsidP="00BB2AF8">
      <w:pPr>
        <w:autoSpaceDE w:val="0"/>
        <w:autoSpaceDN w:val="0"/>
        <w:adjustRightInd w:val="0"/>
        <w:spacing w:after="0" w:line="240" w:lineRule="auto"/>
        <w:jc w:val="both"/>
        <w:rPr>
          <w:rFonts w:eastAsia="Calibri" w:cs="Calibri"/>
          <w:lang w:eastAsia="it-IT"/>
        </w:rPr>
      </w:pPr>
    </w:p>
    <w:p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DF190A" w:rsidRPr="00033FFC">
        <w:rPr>
          <w:rFonts w:eastAsia="Calibri" w:cs="Calibri"/>
          <w:b/>
          <w:color w:val="000000"/>
          <w:lang w:eastAsia="it-IT"/>
        </w:rPr>
        <w:t>Dabigatran etexilato VI.REL Pharma</w:t>
      </w:r>
      <w:r w:rsidRPr="009B03DB">
        <w:rPr>
          <w:rFonts w:eastAsia="Calibri" w:cs="Calibri"/>
          <w:b/>
          <w:lang w:eastAsia="it-IT"/>
        </w:rPr>
        <w:t>?</w:t>
      </w:r>
      <w:r w:rsidRPr="002A3F14">
        <w:rPr>
          <w:rFonts w:eastAsia="Calibri" w:cs="Calibri"/>
          <w:lang w:eastAsia="it-IT"/>
        </w:rPr>
        <w:t xml:space="preserve"> </w:t>
      </w:r>
    </w:p>
    <w:p w:rsidR="00BB2AF8" w:rsidRPr="002A3F14" w:rsidRDefault="00DF190A" w:rsidP="00BB2AF8">
      <w:pPr>
        <w:autoSpaceDE w:val="0"/>
        <w:autoSpaceDN w:val="0"/>
        <w:adjustRightInd w:val="0"/>
        <w:spacing w:after="0" w:line="240" w:lineRule="auto"/>
        <w:jc w:val="both"/>
        <w:rPr>
          <w:rFonts w:eastAsia="Calibri" w:cs="Calibri"/>
          <w:lang w:eastAsia="it-IT"/>
        </w:rPr>
      </w:pPr>
      <w:r w:rsidRPr="00DF190A">
        <w:rPr>
          <w:rFonts w:eastAsia="Calibri" w:cs="Calibri"/>
          <w:color w:val="000000"/>
          <w:lang w:eastAsia="it-IT"/>
        </w:rPr>
        <w:t>Dabigatran etexilato VI.REL Pharma</w:t>
      </w:r>
      <w:r w:rsidR="007170D7">
        <w:rPr>
          <w:rFonts w:ascii="Calibri" w:hAnsi="Calibri" w:cs="Arial"/>
        </w:rPr>
        <w:t xml:space="preserve"> </w:t>
      </w:r>
      <w:r w:rsidR="00BB2AF8" w:rsidRPr="004241AC">
        <w:rPr>
          <w:rFonts w:eastAsia="Calibri" w:cs="Calibri"/>
          <w:lang w:eastAsia="it-IT"/>
        </w:rPr>
        <w:t xml:space="preserve">è un medicinale </w:t>
      </w:r>
      <w:r w:rsidR="00BB2AF8">
        <w:rPr>
          <w:rFonts w:eastAsia="Calibri" w:cs="Calibri"/>
          <w:lang w:eastAsia="it-IT"/>
        </w:rPr>
        <w:t>generico ed è bioequivalente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rsidR="00BB2AF8" w:rsidRPr="00666CCE" w:rsidRDefault="00BB2AF8" w:rsidP="00BB2AF8">
      <w:pPr>
        <w:autoSpaceDE w:val="0"/>
        <w:autoSpaceDN w:val="0"/>
        <w:adjustRightInd w:val="0"/>
        <w:spacing w:after="0" w:line="240" w:lineRule="auto"/>
        <w:jc w:val="both"/>
        <w:rPr>
          <w:rFonts w:eastAsia="Calibri" w:cs="Calibri"/>
          <w:lang w:eastAsia="it-IT"/>
        </w:rPr>
      </w:pPr>
    </w:p>
    <w:p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DF190A" w:rsidRPr="00033FFC">
        <w:rPr>
          <w:rFonts w:eastAsia="Calibri" w:cs="Calibri"/>
          <w:b/>
          <w:color w:val="000000"/>
          <w:lang w:eastAsia="it-IT"/>
        </w:rPr>
        <w:t>Dabigatran etexilato VI.REL Pharma</w:t>
      </w:r>
      <w:r w:rsidR="00DF190A" w:rsidRPr="00666CCE">
        <w:rPr>
          <w:rFonts w:eastAsia="Calibri" w:cs="Calibri"/>
          <w:b/>
          <w:bCs/>
          <w:lang w:eastAsia="it-IT"/>
        </w:rPr>
        <w:t xml:space="preserve"> </w:t>
      </w:r>
      <w:r w:rsidRPr="00666CCE">
        <w:rPr>
          <w:rFonts w:eastAsia="Calibri" w:cs="Calibri"/>
          <w:b/>
          <w:bCs/>
          <w:lang w:eastAsia="it-IT"/>
        </w:rPr>
        <w:t xml:space="preserve">E’ STATO APPROVATO? </w:t>
      </w:r>
    </w:p>
    <w:p w:rsidR="00BB2AF8" w:rsidRPr="00CB3303"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lang w:eastAsia="it-IT"/>
        </w:rPr>
        <w:t xml:space="preserve">La </w:t>
      </w:r>
      <w:r w:rsidRPr="009F1B70">
        <w:rPr>
          <w:rFonts w:eastAsia="Calibri" w:cs="Calibri"/>
          <w:color w:val="000000"/>
          <w:lang w:eastAsia="it-IT"/>
        </w:rPr>
        <w:t xml:space="preserve">Commissione </w:t>
      </w:r>
      <w:r>
        <w:rPr>
          <w:rFonts w:eastAsia="Calibri" w:cs="Calibri"/>
          <w:color w:val="000000"/>
          <w:lang w:eastAsia="it-IT"/>
        </w:rPr>
        <w:t>Tecnico-Scientifica (CTS)</w:t>
      </w:r>
      <w:r w:rsidRPr="00666CCE">
        <w:rPr>
          <w:rFonts w:eastAsia="Calibri" w:cs="Calibri"/>
          <w:lang w:eastAsia="it-IT"/>
        </w:rPr>
        <w:t>,</w:t>
      </w:r>
      <w:r>
        <w:rPr>
          <w:rFonts w:eastAsia="Calibri" w:cs="Calibri"/>
          <w:lang w:eastAsia="it-IT"/>
        </w:rPr>
        <w:t xml:space="preserve"> nella riunione del </w:t>
      </w:r>
      <w:r w:rsidR="00DF190A">
        <w:rPr>
          <w:rFonts w:eastAsia="Calibri" w:cs="Calibri"/>
          <w:bCs/>
          <w:iCs/>
          <w:lang w:eastAsia="it-IT"/>
        </w:rPr>
        <w:t>9, 10 e 11 Maggio 2018</w:t>
      </w:r>
      <w:r>
        <w:rPr>
          <w:rFonts w:eastAsia="Calibri" w:cs="Calibri"/>
          <w:lang w:eastAsia="it-IT"/>
        </w:rPr>
        <w:t>,</w:t>
      </w:r>
      <w:r w:rsidRPr="00666CCE">
        <w:rPr>
          <w:rFonts w:eastAsia="Calibri" w:cs="Calibri"/>
          <w:lang w:eastAsia="it-IT"/>
        </w:rPr>
        <w:t xml:space="preserve"> ha concluso che, conformemente ai requisiti della normativa vigente, </w:t>
      </w:r>
      <w:r>
        <w:rPr>
          <w:rFonts w:eastAsia="Calibri" w:cs="Calibri"/>
          <w:lang w:eastAsia="it-IT"/>
        </w:rPr>
        <w:t xml:space="preserve">come nel caso del medicinale di riferimento </w:t>
      </w:r>
      <w:r w:rsidR="00DF190A">
        <w:rPr>
          <w:rFonts w:eastAsia="Calibri" w:cs="Calibri"/>
          <w:lang w:eastAsia="it-IT"/>
        </w:rPr>
        <w:t>Pradaxa</w:t>
      </w:r>
      <w:r>
        <w:rPr>
          <w:rFonts w:eastAsia="Calibri" w:cs="Calibri"/>
          <w:lang w:eastAsia="it-IT"/>
        </w:rPr>
        <w:t xml:space="preserve">, </w:t>
      </w:r>
      <w:r w:rsidRPr="00666CCE">
        <w:rPr>
          <w:rFonts w:eastAsia="Calibri" w:cs="Calibri"/>
          <w:lang w:eastAsia="it-IT"/>
        </w:rPr>
        <w:t xml:space="preserve">i benefici di </w:t>
      </w:r>
      <w:r w:rsidR="00DF190A" w:rsidRPr="00DF190A">
        <w:rPr>
          <w:rFonts w:eastAsia="Calibri" w:cs="Calibri"/>
          <w:color w:val="000000"/>
          <w:lang w:eastAsia="it-IT"/>
        </w:rPr>
        <w:t>Dabigatran etexilato VI.REL Pharma</w:t>
      </w:r>
      <w:r w:rsidR="00DF190A">
        <w:rPr>
          <w:rFonts w:ascii="Calibri" w:hAnsi="Calibri" w:cs="Arial"/>
        </w:rPr>
        <w:t xml:space="preserve"> </w:t>
      </w:r>
      <w:r w:rsidRPr="00666CCE">
        <w:rPr>
          <w:rFonts w:eastAsia="Calibri" w:cs="Calibri"/>
          <w:lang w:eastAsia="it-IT"/>
        </w:rPr>
        <w:t xml:space="preserve">sono superiori ai rischi individuati. </w:t>
      </w:r>
      <w:r w:rsidRPr="008725A5">
        <w:rPr>
          <w:rFonts w:eastAsia="Calibri" w:cs="Calibri"/>
          <w:lang w:eastAsia="it-IT"/>
        </w:rPr>
        <w:t>La CTS ha, inoltre, definito le modalità di prescrizione di cui al punto 2) di questo Riassunto e la classe di rimborsabilità del medicinale</w:t>
      </w:r>
      <w:r w:rsidR="007170D7" w:rsidRPr="008725A5">
        <w:rPr>
          <w:rFonts w:eastAsia="Calibri" w:cs="Calibri"/>
          <w:lang w:eastAsia="it-IT"/>
        </w:rPr>
        <w:t xml:space="preserve"> </w:t>
      </w:r>
      <w:r w:rsidR="00C67874" w:rsidRPr="008725A5">
        <w:rPr>
          <w:rFonts w:eastAsia="Calibri" w:cs="Calibri"/>
          <w:lang w:eastAsia="it-IT"/>
        </w:rPr>
        <w:t>A</w:t>
      </w:r>
      <w:r w:rsidRPr="008725A5">
        <w:rPr>
          <w:rFonts w:eastAsia="Calibri" w:cs="Calibri"/>
          <w:lang w:eastAsia="it-IT"/>
        </w:rPr>
        <w:t>.</w:t>
      </w:r>
      <w:r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BB2AF8" w:rsidRPr="002A3F14" w:rsidRDefault="00BB2AF8"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C67874" w:rsidRPr="00033FFC">
        <w:rPr>
          <w:rFonts w:eastAsia="Calibri" w:cs="Calibri"/>
          <w:b/>
          <w:color w:val="000000"/>
          <w:lang w:eastAsia="it-IT"/>
        </w:rPr>
        <w:t>Dabigatran etexilato VI.REL Pharma</w:t>
      </w:r>
      <w:r w:rsidRPr="002A3F14">
        <w:rPr>
          <w:rFonts w:eastAsia="Calibri" w:cs="Calibri"/>
          <w:b/>
          <w:bCs/>
          <w:color w:val="000000"/>
          <w:lang w:eastAsia="it-IT"/>
        </w:rPr>
        <w:t>?</w:t>
      </w:r>
    </w:p>
    <w:p w:rsidR="004241AC" w:rsidRPr="002A3F14"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C67874" w:rsidRPr="00DF190A">
        <w:rPr>
          <w:rFonts w:eastAsia="Calibri" w:cs="Calibri"/>
          <w:color w:val="000000"/>
          <w:lang w:eastAsia="it-IT"/>
        </w:rPr>
        <w:t>Dabigatran etexilato VI.REL Pharma</w:t>
      </w:r>
      <w:r w:rsidR="004241AC" w:rsidRPr="007170D7">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C67874" w:rsidRPr="00033FFC">
        <w:rPr>
          <w:rFonts w:eastAsia="Calibri" w:cs="Calibri"/>
          <w:b/>
          <w:color w:val="000000"/>
          <w:lang w:eastAsia="it-IT"/>
        </w:rPr>
        <w:t>Dabigatran etexilato VI.REL Pharma</w:t>
      </w:r>
    </w:p>
    <w:p w:rsidR="004241AC" w:rsidRPr="00CA3A1E" w:rsidRDefault="00BB4C53" w:rsidP="004241AC">
      <w:pPr>
        <w:autoSpaceDE w:val="0"/>
        <w:autoSpaceDN w:val="0"/>
        <w:adjustRightInd w:val="0"/>
        <w:spacing w:after="0" w:line="240" w:lineRule="auto"/>
        <w:jc w:val="both"/>
        <w:rPr>
          <w:rFonts w:eastAsia="Calibri" w:cs="Calibri"/>
          <w:bCs/>
          <w:lang w:eastAsia="it-IT"/>
        </w:rPr>
      </w:pPr>
      <w:r>
        <w:rPr>
          <w:rFonts w:eastAsia="Calibri" w:cs="Calibri"/>
          <w:bCs/>
          <w:iCs/>
          <w:lang w:eastAsia="it-IT"/>
        </w:rPr>
        <w:t xml:space="preserve">Il 12/07/2019 </w:t>
      </w:r>
      <w:r w:rsidR="004241AC" w:rsidRPr="00BB2AF8">
        <w:rPr>
          <w:rFonts w:eastAsia="Calibri" w:cs="Calibri"/>
          <w:bCs/>
          <w:iCs/>
          <w:lang w:eastAsia="it-IT"/>
        </w:rPr>
        <w:t xml:space="preserve"> l’AIFA ha rilasciato l’autorizzazione all’immissione in commercio di </w:t>
      </w:r>
      <w:r w:rsidR="00C67874" w:rsidRPr="00DF190A">
        <w:rPr>
          <w:rFonts w:eastAsia="Calibri" w:cs="Calibri"/>
          <w:color w:val="000000"/>
          <w:lang w:eastAsia="it-IT"/>
        </w:rPr>
        <w:t>Dabigatran etexilato VI.REL Pharma</w:t>
      </w:r>
      <w:r w:rsidR="004241AC" w:rsidRPr="007170D7">
        <w:rPr>
          <w:rFonts w:eastAsia="Calibri" w:cs="Calibri"/>
          <w:bCs/>
          <w:lang w:eastAsia="it-IT"/>
        </w:rPr>
        <w:t>.</w:t>
      </w:r>
      <w:r w:rsidR="004241AC" w:rsidRPr="00CA3A1E">
        <w:rPr>
          <w:rFonts w:eastAsia="Calibri" w:cs="Calibri"/>
          <w:bCs/>
          <w:lang w:eastAsia="it-IT"/>
        </w:rPr>
        <w:t xml:space="preserve"> </w:t>
      </w:r>
    </w:p>
    <w:p w:rsidR="004E5A39" w:rsidRDefault="004E5A39" w:rsidP="004241AC">
      <w:pPr>
        <w:autoSpaceDE w:val="0"/>
        <w:autoSpaceDN w:val="0"/>
        <w:adjustRightInd w:val="0"/>
        <w:spacing w:after="0" w:line="240" w:lineRule="auto"/>
        <w:jc w:val="both"/>
        <w:rPr>
          <w:rFonts w:eastAsia="Calibri" w:cs="Calibri"/>
          <w:lang w:eastAsia="it-IT"/>
        </w:rPr>
      </w:pPr>
    </w:p>
    <w:p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lastRenderedPageBreak/>
        <w:t xml:space="preserve">Per maggiori informazioni riguardo il trattamento </w:t>
      </w:r>
      <w:r w:rsidRPr="00CA3A1E">
        <w:rPr>
          <w:rFonts w:eastAsia="Calibri" w:cs="Calibri"/>
          <w:lang w:eastAsia="it-IT"/>
        </w:rPr>
        <w:t xml:space="preserve">con </w:t>
      </w:r>
      <w:r w:rsidR="00C67874" w:rsidRPr="00DF190A">
        <w:rPr>
          <w:rFonts w:eastAsia="Calibri" w:cs="Calibri"/>
          <w:color w:val="000000"/>
          <w:lang w:eastAsia="it-IT"/>
        </w:rPr>
        <w:t>Dabigatran etexilato VI.REL Pharma</w:t>
      </w:r>
      <w:r w:rsidR="00C67874" w:rsidRPr="00CA3A1E">
        <w:rPr>
          <w:rFonts w:eastAsia="Calibri" w:cs="Calibri"/>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7"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7170D7" w:rsidRPr="004D018D" w:rsidRDefault="004241AC" w:rsidP="004D018D">
      <w:pPr>
        <w:spacing w:after="0" w:line="240" w:lineRule="auto"/>
        <w:jc w:val="both"/>
        <w:rPr>
          <w:rFonts w:ascii="Times New Roman" w:hAnsi="Times New Roman" w:cs="Times New Roman"/>
          <w:b/>
          <w:sz w:val="28"/>
        </w:rPr>
      </w:pPr>
      <w:r w:rsidRPr="002A3F14">
        <w:rPr>
          <w:rFonts w:eastAsia="Calibri" w:cs="Calibri"/>
          <w:lang w:eastAsia="it-IT"/>
        </w:rPr>
        <w:t xml:space="preserve">Questo riassunto è stato redatto in </w:t>
      </w:r>
      <w:r w:rsidR="00B1186F">
        <w:rPr>
          <w:rFonts w:eastAsia="Calibri" w:cs="Calibri"/>
          <w:lang w:eastAsia="it-IT"/>
        </w:rPr>
        <w:t xml:space="preserve">data </w:t>
      </w:r>
      <w:r w:rsidR="004D018D" w:rsidRPr="004D018D">
        <w:rPr>
          <w:rFonts w:ascii="Times New Roman" w:eastAsia="Calibri" w:hAnsi="Times New Roman" w:cs="Times New Roman"/>
          <w:lang w:eastAsia="it-IT"/>
        </w:rPr>
        <w:t>11</w:t>
      </w:r>
      <w:r w:rsidR="004D018D">
        <w:rPr>
          <w:rFonts w:ascii="Times New Roman" w:eastAsia="Calibri" w:hAnsi="Times New Roman" w:cs="Times New Roman"/>
          <w:lang w:eastAsia="it-IT"/>
        </w:rPr>
        <w:t>ottobre 2018</w:t>
      </w: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C67874" w:rsidRDefault="00C67874"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4E5A39" w:rsidRDefault="004E5A39" w:rsidP="004E5A39">
      <w:pPr>
        <w:spacing w:after="0" w:line="240" w:lineRule="auto"/>
        <w:jc w:val="center"/>
        <w:rPr>
          <w:b/>
          <w:sz w:val="28"/>
        </w:rPr>
      </w:pPr>
      <w:r>
        <w:rPr>
          <w:b/>
          <w:sz w:val="28"/>
        </w:rPr>
        <w:lastRenderedPageBreak/>
        <w:t>RELAZIONE PUBBLICA DI VALUTAZIONE</w:t>
      </w: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Pr="0033523E" w:rsidRDefault="004E5A39" w:rsidP="004E5A39">
      <w:pPr>
        <w:spacing w:after="0" w:line="240" w:lineRule="auto"/>
        <w:jc w:val="center"/>
        <w:rPr>
          <w:b/>
        </w:rPr>
      </w:pPr>
      <w:r w:rsidRPr="0033523E">
        <w:rPr>
          <w:b/>
        </w:rPr>
        <w:t>INDICE</w:t>
      </w:r>
    </w:p>
    <w:p w:rsidR="004E5A39" w:rsidRDefault="004E5A39" w:rsidP="004E5A39">
      <w:pPr>
        <w:spacing w:after="0" w:line="240" w:lineRule="auto"/>
        <w:jc w:val="both"/>
      </w:pPr>
    </w:p>
    <w:p w:rsidR="004E5A39" w:rsidRDefault="004E5A39" w:rsidP="004E5A39">
      <w:pPr>
        <w:spacing w:after="0" w:line="240" w:lineRule="auto"/>
        <w:jc w:val="both"/>
      </w:pPr>
    </w:p>
    <w:p w:rsidR="004E5A39" w:rsidRDefault="004E5A39" w:rsidP="004E5A39">
      <w:pPr>
        <w:spacing w:after="0" w:line="240" w:lineRule="auto"/>
        <w:jc w:val="both"/>
      </w:pPr>
    </w:p>
    <w:p w:rsidR="004E5A39" w:rsidRPr="008206E7" w:rsidRDefault="004E5A39" w:rsidP="004E5A39">
      <w:pPr>
        <w:pStyle w:val="Paragrafoelenco"/>
        <w:numPr>
          <w:ilvl w:val="0"/>
          <w:numId w:val="1"/>
        </w:numPr>
        <w:spacing w:after="0" w:line="240" w:lineRule="auto"/>
        <w:rPr>
          <w:b/>
        </w:rPr>
      </w:pPr>
      <w:r w:rsidRPr="008206E7">
        <w:rPr>
          <w:b/>
        </w:rPr>
        <w:t>INTRODUZIONE</w:t>
      </w:r>
    </w:p>
    <w:p w:rsidR="004E5A39" w:rsidRPr="002A3F14" w:rsidRDefault="004E5A39" w:rsidP="004E5A39">
      <w:pPr>
        <w:spacing w:after="0" w:line="240" w:lineRule="auto"/>
        <w:jc w:val="both"/>
      </w:pPr>
    </w:p>
    <w:p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rsidR="004E5A39" w:rsidRPr="0033523E" w:rsidRDefault="004E5A39" w:rsidP="004E5A39">
      <w:pPr>
        <w:pStyle w:val="Paragrafoelenco"/>
        <w:rPr>
          <w:b/>
        </w:rPr>
      </w:pPr>
    </w:p>
    <w:p w:rsidR="004E5A39" w:rsidRDefault="004E5A39" w:rsidP="004E5A39">
      <w:pPr>
        <w:pStyle w:val="Paragrafoelenco"/>
        <w:numPr>
          <w:ilvl w:val="0"/>
          <w:numId w:val="1"/>
        </w:numPr>
        <w:spacing w:after="0" w:line="240" w:lineRule="auto"/>
        <w:jc w:val="both"/>
        <w:rPr>
          <w:b/>
        </w:rPr>
      </w:pPr>
      <w:r w:rsidRPr="00DF7B22">
        <w:rPr>
          <w:b/>
        </w:rPr>
        <w:t>ASPETTI NON CLINICI</w:t>
      </w:r>
    </w:p>
    <w:p w:rsidR="004E5A39" w:rsidRPr="0033523E" w:rsidRDefault="004E5A39" w:rsidP="004E5A39">
      <w:pPr>
        <w:pStyle w:val="Paragrafoelenco"/>
        <w:rPr>
          <w:b/>
        </w:rPr>
      </w:pPr>
    </w:p>
    <w:p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rsidR="004E5A39" w:rsidRPr="0033523E" w:rsidRDefault="004E5A39" w:rsidP="004E5A39">
      <w:pPr>
        <w:pStyle w:val="Paragrafoelenco"/>
        <w:rPr>
          <w:b/>
        </w:rPr>
      </w:pPr>
    </w:p>
    <w:p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rsidR="004E5A39" w:rsidRDefault="004E5A39" w:rsidP="004E5A39">
      <w:pPr>
        <w:pStyle w:val="Paragrafoelenco"/>
        <w:spacing w:after="0" w:line="240" w:lineRule="auto"/>
        <w:ind w:left="1080"/>
        <w:jc w:val="both"/>
        <w:rPr>
          <w:b/>
        </w:rPr>
      </w:pPr>
    </w:p>
    <w:p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EF6711" w:rsidRDefault="00EF6711" w:rsidP="004E5A39"/>
    <w:p w:rsidR="00EF6711" w:rsidRDefault="00EF6711" w:rsidP="004E5A39"/>
    <w:p w:rsidR="00EF6711" w:rsidRDefault="00EF6711" w:rsidP="004E5A39"/>
    <w:p w:rsidR="00CC52A3" w:rsidRDefault="00CC52A3" w:rsidP="004E5A39"/>
    <w:p w:rsidR="00CC52A3" w:rsidRDefault="00CC52A3" w:rsidP="004E5A39"/>
    <w:p w:rsidR="00EF6711" w:rsidRDefault="00EF6711" w:rsidP="004E5A39"/>
    <w:p w:rsidR="004E5A39" w:rsidRPr="00EF6711" w:rsidRDefault="004E5A39" w:rsidP="00EF6711">
      <w:pPr>
        <w:pStyle w:val="Paragrafoelenco"/>
        <w:numPr>
          <w:ilvl w:val="0"/>
          <w:numId w:val="2"/>
        </w:numPr>
        <w:spacing w:after="0" w:line="240" w:lineRule="auto"/>
        <w:rPr>
          <w:b/>
        </w:rPr>
      </w:pPr>
      <w:r w:rsidRPr="00EF6711">
        <w:rPr>
          <w:b/>
        </w:rPr>
        <w:lastRenderedPageBreak/>
        <w:t>INTRODUZIONE</w:t>
      </w:r>
    </w:p>
    <w:p w:rsidR="004E5A39" w:rsidRPr="00C67874" w:rsidRDefault="004E5A39" w:rsidP="00EF6711">
      <w:pPr>
        <w:autoSpaceDE w:val="0"/>
        <w:autoSpaceDN w:val="0"/>
        <w:adjustRightInd w:val="0"/>
        <w:spacing w:after="0" w:line="240" w:lineRule="auto"/>
        <w:jc w:val="both"/>
        <w:rPr>
          <w:b/>
        </w:rPr>
      </w:pPr>
      <w:r w:rsidRPr="00EF6711">
        <w:t xml:space="preserve">Sulla base dei dati di qualità, sicurezza ed efficacia, l’AIFA ha rilasciato a </w:t>
      </w:r>
      <w:r w:rsidR="00C67874" w:rsidRPr="00C67874">
        <w:t>Vi.Rel Pharma S.a.s. Di Carletto Lorella E C.</w:t>
      </w:r>
      <w:r w:rsidR="00C67874" w:rsidRPr="00C67874">
        <w:rPr>
          <w:b/>
        </w:rPr>
        <w:t xml:space="preserve"> </w:t>
      </w:r>
      <w:r w:rsidRPr="00EF6711">
        <w:t xml:space="preserve">l’autorizzazione all’immissione in commercio (AIC) per il medicinale </w:t>
      </w:r>
      <w:r w:rsidR="00C67874" w:rsidRPr="00DF190A">
        <w:rPr>
          <w:rFonts w:eastAsia="Calibri" w:cs="Calibri"/>
          <w:color w:val="000000"/>
          <w:lang w:eastAsia="it-IT"/>
        </w:rPr>
        <w:t xml:space="preserve">Dabigatran etexilato </w:t>
      </w:r>
      <w:proofErr w:type="spellStart"/>
      <w:r w:rsidR="00C67874" w:rsidRPr="00DF190A">
        <w:rPr>
          <w:rFonts w:eastAsia="Calibri" w:cs="Calibri"/>
          <w:color w:val="000000"/>
          <w:lang w:eastAsia="it-IT"/>
        </w:rPr>
        <w:t>VI.REL</w:t>
      </w:r>
      <w:proofErr w:type="spellEnd"/>
      <w:r w:rsidR="00C67874" w:rsidRPr="00DF190A">
        <w:rPr>
          <w:rFonts w:eastAsia="Calibri" w:cs="Calibri"/>
          <w:color w:val="000000"/>
          <w:lang w:eastAsia="it-IT"/>
        </w:rPr>
        <w:t xml:space="preserve"> </w:t>
      </w:r>
      <w:proofErr w:type="spellStart"/>
      <w:r w:rsidR="00C67874" w:rsidRPr="00DF190A">
        <w:rPr>
          <w:rFonts w:eastAsia="Calibri" w:cs="Calibri"/>
          <w:color w:val="000000"/>
          <w:lang w:eastAsia="it-IT"/>
        </w:rPr>
        <w:t>Pharma</w:t>
      </w:r>
      <w:proofErr w:type="spellEnd"/>
      <w:r w:rsidR="00C67874" w:rsidRPr="00EF6711">
        <w:rPr>
          <w:rFonts w:eastAsia="Calibri" w:cs="Calibri"/>
          <w:bCs/>
          <w:iCs/>
          <w:lang w:eastAsia="it-IT"/>
        </w:rPr>
        <w:t xml:space="preserve"> </w:t>
      </w:r>
      <w:r w:rsidRPr="00EF6711">
        <w:rPr>
          <w:rFonts w:eastAsia="Calibri" w:cs="Calibri"/>
          <w:bCs/>
          <w:iCs/>
          <w:lang w:eastAsia="it-IT"/>
        </w:rPr>
        <w:t xml:space="preserve">il </w:t>
      </w:r>
      <w:r w:rsidR="00BB4C53">
        <w:rPr>
          <w:rFonts w:eastAsia="Calibri" w:cs="Calibri"/>
          <w:bCs/>
          <w:iCs/>
          <w:lang w:eastAsia="it-IT"/>
        </w:rPr>
        <w:t>12/07/2019.</w:t>
      </w:r>
      <w:r w:rsidRPr="00EF6711">
        <w:t xml:space="preserve">  </w:t>
      </w:r>
    </w:p>
    <w:p w:rsidR="004E5A39" w:rsidRPr="00EF6711" w:rsidRDefault="004E5A39" w:rsidP="00EF6711">
      <w:pPr>
        <w:spacing w:after="0" w:line="240" w:lineRule="auto"/>
        <w:jc w:val="both"/>
      </w:pPr>
    </w:p>
    <w:p w:rsidR="00C67874" w:rsidRPr="00C67874" w:rsidRDefault="00C67874" w:rsidP="00C67874">
      <w:pPr>
        <w:autoSpaceDE w:val="0"/>
        <w:autoSpaceDN w:val="0"/>
        <w:adjustRightInd w:val="0"/>
        <w:jc w:val="both"/>
        <w:rPr>
          <w:rFonts w:cs="Calibri"/>
          <w:color w:val="000000"/>
        </w:rPr>
      </w:pPr>
      <w:r w:rsidRPr="00DF190A">
        <w:rPr>
          <w:rFonts w:eastAsia="Calibri" w:cs="Calibri"/>
          <w:color w:val="000000"/>
          <w:lang w:eastAsia="it-IT"/>
        </w:rPr>
        <w:t>Dabigatran etexilato VI.REL Pharma</w:t>
      </w:r>
      <w:r w:rsidRPr="00B7597D">
        <w:rPr>
          <w:rFonts w:eastAsia="Calibri" w:cs="Calibri"/>
          <w:color w:val="000000"/>
          <w:lang w:eastAsia="it-IT"/>
        </w:rPr>
        <w:t xml:space="preserve"> </w:t>
      </w:r>
      <w:r w:rsidR="00EF6711" w:rsidRPr="00B7597D">
        <w:rPr>
          <w:rFonts w:eastAsia="Calibri" w:cs="Calibri"/>
          <w:color w:val="000000"/>
          <w:lang w:eastAsia="it-IT"/>
        </w:rPr>
        <w:t xml:space="preserve">può essere ottenuto solo su </w:t>
      </w:r>
      <w:r w:rsidRPr="00C67874">
        <w:rPr>
          <w:rFonts w:cs="Calibri"/>
          <w:color w:val="000000"/>
        </w:rPr>
        <w:t xml:space="preserve">solo su prescrizione da parte di centri ospedalieri o di specialisti: ortopedico, fisiatra, internista, ematologi </w:t>
      </w:r>
      <w:r w:rsidRPr="00C67874">
        <w:rPr>
          <w:rFonts w:eastAsia="Calibri" w:cs="Calibri"/>
          <w:color w:val="000000"/>
        </w:rPr>
        <w:t>che lavorano nei Centri di trombosi ed emos</w:t>
      </w:r>
      <w:r w:rsidRPr="00C67874">
        <w:rPr>
          <w:rFonts w:cs="Calibri"/>
          <w:color w:val="000000"/>
        </w:rPr>
        <w:t>tasi, neurologo, geriatra, pneu</w:t>
      </w:r>
      <w:r w:rsidRPr="00C67874">
        <w:rPr>
          <w:rFonts w:eastAsia="Calibri" w:cs="Calibri"/>
          <w:color w:val="000000"/>
        </w:rPr>
        <w:t>mologo e cardiologo</w:t>
      </w:r>
      <w:r w:rsidRPr="00C67874">
        <w:rPr>
          <w:rFonts w:cs="Calibri"/>
          <w:color w:val="000000"/>
        </w:rPr>
        <w:t xml:space="preserve"> con ricetta limitativa ripetibile.</w:t>
      </w:r>
    </w:p>
    <w:p w:rsidR="00EF6711" w:rsidRPr="00EF6711" w:rsidRDefault="00EF6711" w:rsidP="00EF6711">
      <w:pPr>
        <w:autoSpaceDE w:val="0"/>
        <w:autoSpaceDN w:val="0"/>
        <w:adjustRightInd w:val="0"/>
        <w:spacing w:after="0" w:line="240" w:lineRule="auto"/>
        <w:jc w:val="both"/>
      </w:pPr>
    </w:p>
    <w:p w:rsidR="004E5A39" w:rsidRPr="00EF6711" w:rsidRDefault="004E5A39" w:rsidP="00EF6711">
      <w:pPr>
        <w:spacing w:after="0" w:line="240" w:lineRule="auto"/>
        <w:jc w:val="both"/>
      </w:pPr>
      <w:r w:rsidRPr="00EF6711">
        <w:t xml:space="preserve">Questa procedura è stata presentata ai sensi dell’art. </w:t>
      </w:r>
      <w:r w:rsidR="00C67874">
        <w:t xml:space="preserve">10.1 </w:t>
      </w:r>
      <w:r w:rsidRPr="00EF6711">
        <w:t xml:space="preserve"> della Direttiva 2001/83/EU s.m.i.</w:t>
      </w:r>
    </w:p>
    <w:p w:rsidR="004E5A39" w:rsidRDefault="004E5A39" w:rsidP="00EF6711">
      <w:pPr>
        <w:widowControl w:val="0"/>
        <w:spacing w:after="0" w:line="240" w:lineRule="auto"/>
        <w:jc w:val="both"/>
        <w:rPr>
          <w:rFonts w:eastAsia="Calibri" w:cs="Calibri"/>
          <w:bCs/>
          <w:lang w:eastAsia="it-IT"/>
        </w:rPr>
      </w:pPr>
    </w:p>
    <w:p w:rsidR="004E5A39" w:rsidRPr="00EF6711" w:rsidRDefault="00C67874" w:rsidP="00EF6711">
      <w:pPr>
        <w:widowControl w:val="0"/>
        <w:spacing w:after="0" w:line="240" w:lineRule="auto"/>
        <w:jc w:val="both"/>
        <w:rPr>
          <w:rFonts w:eastAsia="Calibri" w:cs="Calibri"/>
          <w:lang w:eastAsia="it-IT"/>
        </w:rPr>
      </w:pPr>
      <w:r w:rsidRPr="00DF190A">
        <w:rPr>
          <w:rFonts w:eastAsia="Calibri" w:cs="Calibri"/>
          <w:color w:val="000000"/>
          <w:lang w:eastAsia="it-IT"/>
        </w:rPr>
        <w:t>Dabigatran etexilato VI.REL Pharma</w:t>
      </w:r>
      <w:r w:rsidRPr="00B7597D">
        <w:rPr>
          <w:rFonts w:eastAsia="Calibri" w:cs="Calibri"/>
          <w:color w:val="000000"/>
          <w:lang w:eastAsia="it-IT"/>
        </w:rPr>
        <w:t xml:space="preserve"> </w:t>
      </w:r>
      <w:r w:rsidR="004E5A39" w:rsidRPr="00EF6711">
        <w:rPr>
          <w:rFonts w:eastAsia="Calibri" w:cs="Calibri"/>
          <w:lang w:eastAsia="it-IT"/>
        </w:rPr>
        <w:t>è un medicinale contenente un principio attivo</w:t>
      </w:r>
      <w:r w:rsidR="00C42AAC" w:rsidRPr="00EF6711">
        <w:rPr>
          <w:rFonts w:eastAsia="Calibri" w:cs="Calibri"/>
          <w:lang w:eastAsia="it-IT"/>
        </w:rPr>
        <w:t xml:space="preserve"> </w:t>
      </w:r>
      <w:r w:rsidRPr="00DF190A">
        <w:rPr>
          <w:rFonts w:eastAsia="Calibri" w:cs="Calibri"/>
          <w:color w:val="000000"/>
          <w:lang w:eastAsia="it-IT"/>
        </w:rPr>
        <w:t xml:space="preserve">Dabigatran etexilato </w:t>
      </w:r>
      <w:r w:rsidR="004E5A39" w:rsidRPr="00EF6711">
        <w:rPr>
          <w:rFonts w:eastAsia="Calibri" w:cs="Calibri"/>
          <w:lang w:eastAsia="it-IT"/>
        </w:rPr>
        <w:t>noto</w:t>
      </w:r>
      <w:r w:rsidR="0042214D">
        <w:rPr>
          <w:rFonts w:eastAsia="Calibri" w:cs="Calibri"/>
          <w:lang w:eastAsia="it-IT"/>
        </w:rPr>
        <w:t xml:space="preserve"> </w:t>
      </w:r>
      <w:r w:rsidR="004E5A39" w:rsidRPr="00EF6711">
        <w:rPr>
          <w:rFonts w:eastAsia="Calibri" w:cs="Calibri"/>
          <w:lang w:eastAsia="it-IT"/>
        </w:rPr>
        <w:t>e present</w:t>
      </w:r>
      <w:r w:rsidR="00C42AAC" w:rsidRPr="00EF6711">
        <w:rPr>
          <w:rFonts w:eastAsia="Calibri" w:cs="Calibri"/>
          <w:lang w:eastAsia="it-IT"/>
        </w:rPr>
        <w:t>e</w:t>
      </w:r>
      <w:r w:rsidR="004E5A39" w:rsidRPr="00EF6711">
        <w:rPr>
          <w:rFonts w:eastAsia="Calibri" w:cs="Calibri"/>
          <w:lang w:eastAsia="it-IT"/>
        </w:rPr>
        <w:t xml:space="preserve"> nel medicinale di riferimento </w:t>
      </w:r>
      <w:r>
        <w:rPr>
          <w:rFonts w:eastAsia="Calibri" w:cs="Calibri"/>
          <w:lang w:eastAsia="it-IT"/>
        </w:rPr>
        <w:t>Pradaxa</w:t>
      </w:r>
      <w:r w:rsidR="0042214D">
        <w:rPr>
          <w:rFonts w:eastAsia="Calibri" w:cs="Calibri"/>
          <w:lang w:eastAsia="it-IT"/>
        </w:rPr>
        <w:t xml:space="preserve"> aut</w:t>
      </w:r>
      <w:r w:rsidR="004E5A39" w:rsidRPr="00EF6711">
        <w:rPr>
          <w:rFonts w:eastAsia="Calibri" w:cs="Calibri"/>
          <w:lang w:eastAsia="it-IT"/>
        </w:rPr>
        <w:t>orizzato in Italia da più di 10 anni.</w:t>
      </w:r>
    </w:p>
    <w:p w:rsidR="004E5A39" w:rsidRPr="00EF6711" w:rsidRDefault="004E5A39" w:rsidP="00EF6711">
      <w:pPr>
        <w:spacing w:after="0" w:line="240" w:lineRule="auto"/>
        <w:jc w:val="both"/>
        <w:rPr>
          <w:highlight w:val="yellow"/>
        </w:rPr>
      </w:pPr>
    </w:p>
    <w:p w:rsidR="00C67874" w:rsidRPr="00C67874" w:rsidRDefault="00C67874" w:rsidP="00C67874">
      <w:pPr>
        <w:tabs>
          <w:tab w:val="left" w:pos="0"/>
        </w:tabs>
        <w:overflowPunct w:val="0"/>
        <w:autoSpaceDE w:val="0"/>
        <w:autoSpaceDN w:val="0"/>
        <w:adjustRightInd w:val="0"/>
        <w:spacing w:after="0" w:line="240" w:lineRule="auto"/>
        <w:jc w:val="both"/>
        <w:textAlignment w:val="baseline"/>
        <w:rPr>
          <w:rFonts w:eastAsia="Calibri" w:cs="Calibri"/>
          <w:bCs/>
          <w:lang w:eastAsia="it-IT"/>
        </w:rPr>
      </w:pPr>
      <w:r w:rsidRPr="00DF190A">
        <w:rPr>
          <w:rFonts w:eastAsia="Calibri" w:cs="Calibri"/>
          <w:color w:val="000000"/>
          <w:lang w:eastAsia="it-IT"/>
        </w:rPr>
        <w:t>Dabigatran etexilato VI.REL Pharma</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Pr="00DF190A">
        <w:t>B01AE07</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Pr="00DF190A">
        <w:rPr>
          <w:rFonts w:eastAsia="Calibri" w:cs="Calibri"/>
          <w:color w:val="000000"/>
          <w:lang w:eastAsia="it-IT"/>
        </w:rPr>
        <w:t>Dabigatran etexilato</w:t>
      </w:r>
      <w:r w:rsidR="0042214D">
        <w:rPr>
          <w:rFonts w:eastAsia="Calibri" w:cs="Calibri"/>
          <w:lang w:eastAsia="it-IT"/>
        </w:rPr>
        <w:t xml:space="preserve"> </w:t>
      </w:r>
      <w:r w:rsidR="00B1186F" w:rsidRPr="00EF6711">
        <w:rPr>
          <w:rFonts w:eastAsia="Calibri" w:cs="Calibri"/>
          <w:bCs/>
          <w:lang w:eastAsia="it-IT"/>
        </w:rPr>
        <w:t>,</w:t>
      </w:r>
      <w:r>
        <w:rPr>
          <w:rFonts w:eastAsia="Calibri" w:cs="Calibri"/>
          <w:bCs/>
          <w:lang w:eastAsia="it-IT"/>
        </w:rPr>
        <w:t xml:space="preserve">che </w:t>
      </w:r>
      <w:r w:rsidR="00B1186F" w:rsidRPr="00EF6711">
        <w:rPr>
          <w:rFonts w:eastAsia="Calibri" w:cs="Calibri"/>
          <w:bCs/>
          <w:lang w:eastAsia="it-IT"/>
        </w:rPr>
        <w:t xml:space="preserve"> </w:t>
      </w:r>
      <w:r w:rsidRPr="00C67874">
        <w:rPr>
          <w:rFonts w:eastAsia="Calibri" w:cs="Calibri"/>
          <w:bCs/>
          <w:lang w:eastAsia="it-IT"/>
        </w:rPr>
        <w:t>è un profarmaco di piccole dimensioni molecolari che non esercita alcuna attività farmacologica. Dopo somministrazione orale, dabigatran etexilato è rapidamente assorbito e convertito in dabigatran mediante idrolisi catalizzata da esterasi nel plasma e nel fegato. Dabigatran è un potente inibitore diretto, competitivo, reversibile della trombina ed è il principio attivo principale che si ritrova nel plasma.</w:t>
      </w:r>
    </w:p>
    <w:p w:rsidR="00C67874" w:rsidRPr="00C67874" w:rsidRDefault="00C67874" w:rsidP="00C67874">
      <w:pPr>
        <w:tabs>
          <w:tab w:val="left" w:pos="0"/>
        </w:tabs>
        <w:overflowPunct w:val="0"/>
        <w:autoSpaceDE w:val="0"/>
        <w:autoSpaceDN w:val="0"/>
        <w:adjustRightInd w:val="0"/>
        <w:spacing w:after="0" w:line="240" w:lineRule="auto"/>
        <w:jc w:val="both"/>
        <w:textAlignment w:val="baseline"/>
        <w:rPr>
          <w:rFonts w:eastAsia="Calibri" w:cs="Calibri"/>
          <w:bCs/>
          <w:lang w:eastAsia="it-IT"/>
        </w:rPr>
      </w:pPr>
      <w:r w:rsidRPr="00C67874">
        <w:rPr>
          <w:rFonts w:eastAsia="Calibri" w:cs="Calibri"/>
          <w:bCs/>
          <w:lang w:eastAsia="it-IT"/>
        </w:rPr>
        <w:t>Poiché la trombina (proteasi della serina) consente la conversione del fibrinogeno in fibrina nella cascata della coagulazione, la sua inibizione previene la formazione di trombi. Dabigatran inibisce la trombina libera, la trombina legata a fibrina e l’aggregazione delle piastrine indotta dalla trombina.</w:t>
      </w:r>
    </w:p>
    <w:p w:rsidR="00EF6711" w:rsidRDefault="00EF6711" w:rsidP="00EF6711">
      <w:pPr>
        <w:tabs>
          <w:tab w:val="left" w:pos="0"/>
        </w:tabs>
        <w:overflowPunct w:val="0"/>
        <w:autoSpaceDE w:val="0"/>
        <w:autoSpaceDN w:val="0"/>
        <w:adjustRightInd w:val="0"/>
        <w:spacing w:after="0" w:line="240" w:lineRule="auto"/>
        <w:jc w:val="both"/>
        <w:textAlignment w:val="baseline"/>
      </w:pPr>
    </w:p>
    <w:p w:rsidR="00C67874" w:rsidRDefault="00C67874" w:rsidP="00EF6711">
      <w:pPr>
        <w:tabs>
          <w:tab w:val="left" w:pos="0"/>
        </w:tabs>
        <w:overflowPunct w:val="0"/>
        <w:autoSpaceDE w:val="0"/>
        <w:autoSpaceDN w:val="0"/>
        <w:adjustRightInd w:val="0"/>
        <w:spacing w:after="0" w:line="240" w:lineRule="auto"/>
        <w:jc w:val="both"/>
        <w:textAlignment w:val="baseline"/>
      </w:pPr>
      <w:r w:rsidRPr="00DF190A">
        <w:rPr>
          <w:rFonts w:eastAsia="Calibri" w:cs="Calibri"/>
          <w:color w:val="000000"/>
          <w:lang w:eastAsia="it-IT"/>
        </w:rPr>
        <w:t>Dabigatran etexilato VI.REL Pharma</w:t>
      </w:r>
      <w:r>
        <w:t xml:space="preserve"> </w:t>
      </w:r>
      <w:r w:rsidR="00265B61">
        <w:t>è utilizzato</w:t>
      </w:r>
      <w:r>
        <w:t>:</w:t>
      </w:r>
    </w:p>
    <w:p w:rsidR="00C67874" w:rsidRDefault="00C67874" w:rsidP="00C67874">
      <w:pPr>
        <w:tabs>
          <w:tab w:val="left" w:pos="0"/>
        </w:tabs>
        <w:overflowPunct w:val="0"/>
        <w:autoSpaceDE w:val="0"/>
        <w:autoSpaceDN w:val="0"/>
        <w:adjustRightInd w:val="0"/>
        <w:spacing w:after="0" w:line="240" w:lineRule="auto"/>
        <w:jc w:val="both"/>
        <w:textAlignment w:val="baseline"/>
      </w:pPr>
      <w:bookmarkStart w:id="2" w:name="_Hlk515612625"/>
      <w:r>
        <w:t xml:space="preserve">- </w:t>
      </w:r>
      <w:r w:rsidRPr="00C67874">
        <w:t>Prevenzione primaria di episodi tromboembolici in pazienti adulti sottoposti a chirurgia sostitutiva elettiva totale dell’anca o del ginocchio.</w:t>
      </w:r>
      <w:r>
        <w:t xml:space="preserve"> (dosaggio da 75 mg e 110mg)</w:t>
      </w:r>
    </w:p>
    <w:p w:rsidR="00C67874" w:rsidRPr="00C67874" w:rsidRDefault="00C67874" w:rsidP="00C67874">
      <w:pPr>
        <w:tabs>
          <w:tab w:val="left" w:pos="0"/>
        </w:tabs>
        <w:overflowPunct w:val="0"/>
        <w:autoSpaceDE w:val="0"/>
        <w:autoSpaceDN w:val="0"/>
        <w:adjustRightInd w:val="0"/>
        <w:spacing w:after="0" w:line="240" w:lineRule="auto"/>
        <w:jc w:val="both"/>
        <w:textAlignment w:val="baseline"/>
        <w:rPr>
          <w:rFonts w:ascii="Calibri" w:eastAsia="Calibri" w:hAnsi="Calibri" w:cs="Times New Roman"/>
        </w:rPr>
      </w:pPr>
      <w:r>
        <w:t xml:space="preserve">- </w:t>
      </w:r>
      <w:r w:rsidRPr="00C67874">
        <w:rPr>
          <w:rFonts w:ascii="Calibri" w:eastAsia="Calibri" w:hAnsi="Calibri" w:cs="Times New Roman"/>
        </w:rPr>
        <w:t>Prevenzione di ictus e embolia sistemica in pazienti adulti con fibrillazione atriale non-valvolare (FANV), con uno o più fattori di rischio, quali precedente ictus o attacco ischemico transitorio (TIA); età ≥ 75 anni; insufficienza cardiaca (Classe NYHA ≥ II); diabete mellito; ipertensione.</w:t>
      </w:r>
      <w:r>
        <w:t xml:space="preserve"> (dosaggio da 110mg e 150mg)</w:t>
      </w:r>
    </w:p>
    <w:p w:rsidR="00C67874" w:rsidRPr="00C67874" w:rsidRDefault="00C67874" w:rsidP="00C67874">
      <w:pPr>
        <w:tabs>
          <w:tab w:val="left" w:pos="0"/>
        </w:tabs>
        <w:overflowPunct w:val="0"/>
        <w:autoSpaceDE w:val="0"/>
        <w:autoSpaceDN w:val="0"/>
        <w:adjustRightInd w:val="0"/>
        <w:spacing w:after="0" w:line="240" w:lineRule="auto"/>
        <w:jc w:val="both"/>
        <w:textAlignment w:val="baseline"/>
        <w:rPr>
          <w:rFonts w:ascii="Calibri" w:eastAsia="Calibri" w:hAnsi="Calibri" w:cs="Times New Roman"/>
        </w:rPr>
      </w:pPr>
      <w:r>
        <w:t xml:space="preserve">- </w:t>
      </w:r>
      <w:r w:rsidRPr="00C67874">
        <w:rPr>
          <w:rFonts w:ascii="Calibri" w:eastAsia="Calibri" w:hAnsi="Calibri" w:cs="Times New Roman"/>
        </w:rPr>
        <w:t>Trattamento della trombosi venosa profonda (TVP) e dell’embolia polmonare (EP) e prevenzione delle recidive di TVP e EP negli adulti.</w:t>
      </w:r>
      <w:r>
        <w:t>(dosaggio da 110mg e 150 mg)</w:t>
      </w:r>
    </w:p>
    <w:p w:rsidR="00C67874" w:rsidRPr="00C67874" w:rsidRDefault="00C67874" w:rsidP="00C67874">
      <w:pPr>
        <w:tabs>
          <w:tab w:val="left" w:pos="0"/>
        </w:tabs>
        <w:overflowPunct w:val="0"/>
        <w:autoSpaceDE w:val="0"/>
        <w:autoSpaceDN w:val="0"/>
        <w:adjustRightInd w:val="0"/>
        <w:spacing w:after="0" w:line="240" w:lineRule="auto"/>
        <w:jc w:val="both"/>
        <w:textAlignment w:val="baseline"/>
      </w:pPr>
    </w:p>
    <w:bookmarkEnd w:id="2"/>
    <w:p w:rsidR="00265B61" w:rsidRDefault="00265B61" w:rsidP="00EF6711">
      <w:pPr>
        <w:tabs>
          <w:tab w:val="left" w:pos="0"/>
        </w:tabs>
        <w:overflowPunct w:val="0"/>
        <w:autoSpaceDE w:val="0"/>
        <w:autoSpaceDN w:val="0"/>
        <w:adjustRightInd w:val="0"/>
        <w:spacing w:after="0" w:line="240" w:lineRule="auto"/>
        <w:jc w:val="both"/>
        <w:textAlignment w:val="baseline"/>
      </w:pPr>
    </w:p>
    <w:p w:rsidR="0042214D" w:rsidRPr="00900C91" w:rsidRDefault="0042214D" w:rsidP="0042214D">
      <w:pPr>
        <w:spacing w:after="0" w:line="240" w:lineRule="auto"/>
        <w:jc w:val="both"/>
      </w:pPr>
      <w:r w:rsidRPr="007461B9">
        <w:t>La richiesta di AIC è supportata da uno studio di bioequivalenza che ha confrontato i profili farmacocinetici</w:t>
      </w:r>
      <w:r w:rsidRPr="00900C91">
        <w:t xml:space="preserve"> del medicinale test </w:t>
      </w:r>
      <w:r w:rsidR="006D007D" w:rsidRPr="00DF190A">
        <w:rPr>
          <w:rFonts w:eastAsia="Calibri" w:cs="Calibri"/>
          <w:color w:val="000000"/>
          <w:lang w:eastAsia="it-IT"/>
        </w:rPr>
        <w:t>Dabigatran etexilato VI.REL Pharma</w:t>
      </w:r>
      <w:r w:rsidR="006D007D">
        <w:t xml:space="preserve"> </w:t>
      </w:r>
      <w:r w:rsidRPr="00900C91">
        <w:t>e quelli del medicinale</w:t>
      </w:r>
      <w:r>
        <w:t xml:space="preserve"> di riferimento</w:t>
      </w:r>
      <w:r w:rsidRPr="00900C91">
        <w:t xml:space="preserve"> </w:t>
      </w:r>
      <w:r w:rsidR="006D007D">
        <w:t>Pradaxa</w:t>
      </w:r>
      <w:r>
        <w:t xml:space="preserve"> autorizzato in Italia</w:t>
      </w:r>
      <w:r w:rsidRPr="00900C91">
        <w:t>.</w:t>
      </w:r>
    </w:p>
    <w:p w:rsidR="0042214D" w:rsidRDefault="0042214D" w:rsidP="0042214D">
      <w:pPr>
        <w:spacing w:after="0" w:line="240" w:lineRule="auto"/>
        <w:jc w:val="both"/>
      </w:pPr>
      <w:r w:rsidRPr="00900C91">
        <w:t>Lo studio di bioequivalenza è stato condotto in conformità alle linee guida di Buona Pratica Clinica (</w:t>
      </w:r>
      <w:r w:rsidRPr="00900C91">
        <w:rPr>
          <w:i/>
        </w:rPr>
        <w:t>Good Clinical Practice</w:t>
      </w:r>
      <w:r w:rsidRPr="00900C91">
        <w:t xml:space="preserve"> - GCP).</w:t>
      </w:r>
    </w:p>
    <w:p w:rsidR="00CC52A3" w:rsidRPr="00900C91" w:rsidRDefault="00CC52A3" w:rsidP="0042214D">
      <w:pPr>
        <w:spacing w:after="0" w:line="240" w:lineRule="auto"/>
        <w:jc w:val="both"/>
      </w:pPr>
    </w:p>
    <w:p w:rsidR="0042214D" w:rsidRDefault="0042214D" w:rsidP="00EF6711">
      <w:pPr>
        <w:spacing w:after="0" w:line="240" w:lineRule="auto"/>
        <w:jc w:val="both"/>
      </w:pPr>
    </w:p>
    <w:p w:rsidR="004E5A39" w:rsidRPr="00EF6711" w:rsidRDefault="004E5A39" w:rsidP="00EF6711">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Le autorità regolatore competenti hanno rilasciato i certificati GMP per i siti di produzione sul territorio dell’Unione Europea.</w:t>
      </w:r>
    </w:p>
    <w:p w:rsidR="004E5A39" w:rsidRPr="00EF6711" w:rsidRDefault="004E5A39" w:rsidP="00EF6711">
      <w:pPr>
        <w:spacing w:after="0" w:line="240" w:lineRule="auto"/>
        <w:jc w:val="both"/>
        <w:rPr>
          <w:highlight w:val="yellow"/>
        </w:rPr>
      </w:pPr>
    </w:p>
    <w:p w:rsidR="004E5A39" w:rsidRPr="00EF6711" w:rsidRDefault="004E5A39" w:rsidP="00EF6711">
      <w:pPr>
        <w:spacing w:after="0" w:line="240" w:lineRule="auto"/>
        <w:jc w:val="both"/>
      </w:pPr>
      <w:r w:rsidRPr="00EF6711">
        <w:t>Il sistema di Farmacovigilanza descritto dal titolare dell’AIC è conforme ai requisiti previsti dalla normativa corrente. E’ stato presentato un Piano di gestione del rischio (</w:t>
      </w:r>
      <w:r w:rsidRPr="00EF6711">
        <w:rPr>
          <w:i/>
        </w:rPr>
        <w:t>Risk Management Plan</w:t>
      </w:r>
      <w:r w:rsidRPr="00EF6711">
        <w:t xml:space="preserve"> – RMP) accettabile.</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6D007D" w:rsidRPr="00DF190A">
        <w:rPr>
          <w:rFonts w:eastAsia="Calibri" w:cs="Calibri"/>
          <w:color w:val="000000"/>
          <w:lang w:eastAsia="it-IT"/>
        </w:rPr>
        <w:t>Dabigatran etexilato VI.REL Pharma</w:t>
      </w:r>
      <w:r w:rsidR="006D007D">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6D007D" w:rsidRDefault="004E5A39" w:rsidP="00EF6711">
      <w:pPr>
        <w:pStyle w:val="Paragrafoelenco"/>
        <w:numPr>
          <w:ilvl w:val="0"/>
          <w:numId w:val="2"/>
        </w:numPr>
        <w:spacing w:after="0" w:line="240" w:lineRule="auto"/>
        <w:jc w:val="both"/>
        <w:rPr>
          <w:b/>
          <w:highlight w:val="yellow"/>
        </w:rPr>
      </w:pPr>
      <w:r w:rsidRPr="006D007D">
        <w:rPr>
          <w:b/>
          <w:highlight w:val="yellow"/>
        </w:rPr>
        <w:t>ASPETTI DI QUALITA’</w:t>
      </w:r>
    </w:p>
    <w:p w:rsidR="00CC52A3" w:rsidRPr="006D007D" w:rsidRDefault="00CC52A3" w:rsidP="00EF6711">
      <w:pPr>
        <w:spacing w:after="0" w:line="240" w:lineRule="auto"/>
        <w:jc w:val="both"/>
        <w:rPr>
          <w:b/>
          <w:i/>
          <w:sz w:val="20"/>
          <w:highlight w:val="yellow"/>
        </w:rPr>
      </w:pPr>
      <w:r w:rsidRPr="006D007D">
        <w:rPr>
          <w:b/>
          <w:i/>
          <w:sz w:val="20"/>
          <w:highlight w:val="yellow"/>
        </w:rPr>
        <w:t>Se sono presenti più di un p.a. inserire più paragrafi II.1.a, II.1.b, ecc.</w:t>
      </w:r>
    </w:p>
    <w:p w:rsidR="004E5A39" w:rsidRPr="006D007D" w:rsidRDefault="004E5A39" w:rsidP="00EF6711">
      <w:pPr>
        <w:spacing w:after="0" w:line="240" w:lineRule="auto"/>
        <w:jc w:val="both"/>
        <w:rPr>
          <w:highlight w:val="yellow"/>
        </w:rPr>
      </w:pPr>
      <w:r w:rsidRPr="006D007D">
        <w:rPr>
          <w:b/>
          <w:highlight w:val="yellow"/>
        </w:rPr>
        <w:t xml:space="preserve">II.1 PRINCIPIO ATTIVO </w:t>
      </w:r>
      <w:r w:rsidR="00CC52A3" w:rsidRPr="006D007D">
        <w:rPr>
          <w:b/>
          <w:highlight w:val="yellow"/>
        </w:rPr>
        <w:t>……………..</w:t>
      </w:r>
    </w:p>
    <w:p w:rsidR="004E5A39" w:rsidRPr="006D007D" w:rsidRDefault="004E5A39" w:rsidP="00CC52A3">
      <w:pPr>
        <w:autoSpaceDE w:val="0"/>
        <w:autoSpaceDN w:val="0"/>
        <w:adjustRightInd w:val="0"/>
        <w:spacing w:after="0" w:line="240" w:lineRule="auto"/>
        <w:rPr>
          <w:highlight w:val="yellow"/>
        </w:rPr>
      </w:pPr>
      <w:r w:rsidRPr="006D007D">
        <w:rPr>
          <w:highlight w:val="yellow"/>
          <w:u w:val="single"/>
        </w:rPr>
        <w:t>Nome chimico</w:t>
      </w:r>
      <w:r w:rsidR="000E4494" w:rsidRPr="006D007D">
        <w:rPr>
          <w:i/>
          <w:iCs/>
          <w:highlight w:val="yellow"/>
        </w:rPr>
        <w:t xml:space="preserve"> </w:t>
      </w:r>
      <w:r w:rsidR="00CC52A3" w:rsidRPr="006D007D">
        <w:rPr>
          <w:rFonts w:cs="Calibri"/>
          <w:highlight w:val="yellow"/>
        </w:rPr>
        <w:t>……………………</w:t>
      </w:r>
      <w:r w:rsidRPr="006D007D">
        <w:rPr>
          <w:rStyle w:val="s1"/>
          <w:rFonts w:asciiTheme="minorHAnsi" w:hAnsiTheme="minorHAnsi"/>
          <w:highlight w:val="yellow"/>
        </w:rPr>
        <w:t>.</w:t>
      </w:r>
    </w:p>
    <w:p w:rsidR="004E5A39" w:rsidRPr="006D007D" w:rsidRDefault="004E5A39" w:rsidP="00EF6711">
      <w:pPr>
        <w:spacing w:after="0" w:line="240" w:lineRule="auto"/>
        <w:jc w:val="both"/>
        <w:rPr>
          <w:highlight w:val="yellow"/>
        </w:rPr>
      </w:pPr>
      <w:r w:rsidRPr="006D007D">
        <w:rPr>
          <w:highlight w:val="yellow"/>
          <w:u w:val="single"/>
        </w:rPr>
        <w:t>Struttura</w:t>
      </w:r>
      <w:r w:rsidRPr="006D007D">
        <w:rPr>
          <w:highlight w:val="yellow"/>
        </w:rPr>
        <w:t>:</w:t>
      </w:r>
    </w:p>
    <w:p w:rsidR="004E5A39" w:rsidRPr="006D007D" w:rsidRDefault="00CC52A3" w:rsidP="00265B61">
      <w:pPr>
        <w:spacing w:after="0" w:line="240" w:lineRule="auto"/>
        <w:jc w:val="center"/>
        <w:rPr>
          <w:b/>
          <w:i/>
          <w:noProof/>
          <w:sz w:val="20"/>
          <w:highlight w:val="yellow"/>
          <w:lang w:eastAsia="it-IT"/>
        </w:rPr>
      </w:pPr>
      <w:r w:rsidRPr="006D007D">
        <w:rPr>
          <w:rFonts w:cs="Arial"/>
          <w:b/>
          <w:i/>
          <w:noProof/>
          <w:sz w:val="20"/>
          <w:highlight w:val="yellow"/>
          <w:lang w:eastAsia="it-IT"/>
        </w:rPr>
        <w:t>immagine struttura</w:t>
      </w:r>
    </w:p>
    <w:p w:rsidR="004E5A39" w:rsidRPr="006D007D" w:rsidRDefault="004E5A39" w:rsidP="00EF6711">
      <w:pPr>
        <w:spacing w:after="0" w:line="240" w:lineRule="auto"/>
        <w:jc w:val="center"/>
        <w:rPr>
          <w:highlight w:val="yellow"/>
        </w:rPr>
      </w:pPr>
    </w:p>
    <w:p w:rsidR="004E5A39" w:rsidRPr="006D007D" w:rsidRDefault="004E5A39" w:rsidP="00EF6711">
      <w:pPr>
        <w:spacing w:after="0" w:line="240" w:lineRule="auto"/>
        <w:jc w:val="both"/>
        <w:rPr>
          <w:highlight w:val="yellow"/>
        </w:rPr>
      </w:pPr>
      <w:r w:rsidRPr="006D007D">
        <w:rPr>
          <w:highlight w:val="yellow"/>
          <w:u w:val="single"/>
        </w:rPr>
        <w:t>Formula molecolare</w:t>
      </w:r>
      <w:r w:rsidRPr="006D007D">
        <w:rPr>
          <w:highlight w:val="yellow"/>
        </w:rPr>
        <w:t>:</w:t>
      </w:r>
      <w:r w:rsidRPr="006D007D">
        <w:rPr>
          <w:rStyle w:val="s1"/>
          <w:rFonts w:asciiTheme="minorHAnsi" w:hAnsiTheme="minorHAnsi"/>
          <w:highlight w:val="yellow"/>
        </w:rPr>
        <w:t xml:space="preserve"> </w:t>
      </w:r>
      <w:r w:rsidR="00CC52A3" w:rsidRPr="006D007D">
        <w:rPr>
          <w:rFonts w:cs="Calibri"/>
          <w:highlight w:val="yellow"/>
        </w:rPr>
        <w:t>…………..</w:t>
      </w:r>
    </w:p>
    <w:p w:rsidR="004E5A39" w:rsidRPr="006D007D" w:rsidRDefault="004E5A39" w:rsidP="00EF6711">
      <w:pPr>
        <w:spacing w:after="0" w:line="240" w:lineRule="auto"/>
        <w:jc w:val="both"/>
        <w:rPr>
          <w:highlight w:val="yellow"/>
        </w:rPr>
      </w:pPr>
      <w:r w:rsidRPr="006D007D">
        <w:rPr>
          <w:highlight w:val="yellow"/>
          <w:u w:val="single"/>
        </w:rPr>
        <w:t>Peso molecolare</w:t>
      </w:r>
      <w:r w:rsidRPr="006D007D">
        <w:rPr>
          <w:highlight w:val="yellow"/>
        </w:rPr>
        <w:t>:</w:t>
      </w:r>
      <w:r w:rsidRPr="006D007D">
        <w:rPr>
          <w:rFonts w:cs="Arial"/>
          <w:color w:val="252525"/>
          <w:highlight w:val="yellow"/>
          <w:shd w:val="clear" w:color="auto" w:fill="F9F9F9"/>
        </w:rPr>
        <w:t xml:space="preserve"> </w:t>
      </w:r>
      <w:r w:rsidR="00CC52A3" w:rsidRPr="006D007D">
        <w:rPr>
          <w:rFonts w:cs="Calibri"/>
          <w:highlight w:val="yellow"/>
        </w:rPr>
        <w:t>………………..</w:t>
      </w:r>
      <w:r w:rsidR="009A23DE" w:rsidRPr="006D007D">
        <w:rPr>
          <w:rFonts w:cs="Calibri"/>
          <w:highlight w:val="yellow"/>
        </w:rPr>
        <w:t xml:space="preserve"> </w:t>
      </w:r>
      <w:r w:rsidRPr="006D007D">
        <w:rPr>
          <w:rStyle w:val="s1"/>
          <w:rFonts w:asciiTheme="minorHAnsi" w:hAnsiTheme="minorHAnsi"/>
          <w:highlight w:val="yellow"/>
        </w:rPr>
        <w:t>g/mol</w:t>
      </w:r>
    </w:p>
    <w:p w:rsidR="004E5A39" w:rsidRPr="006D007D" w:rsidRDefault="004E5A39" w:rsidP="00EF6711">
      <w:pPr>
        <w:spacing w:after="0" w:line="240" w:lineRule="auto"/>
        <w:jc w:val="both"/>
        <w:rPr>
          <w:highlight w:val="yellow"/>
        </w:rPr>
      </w:pPr>
      <w:r w:rsidRPr="006D007D">
        <w:rPr>
          <w:highlight w:val="yellow"/>
          <w:u w:val="single"/>
        </w:rPr>
        <w:t>CAS</w:t>
      </w:r>
      <w:r w:rsidRPr="006D007D">
        <w:rPr>
          <w:highlight w:val="yellow"/>
        </w:rPr>
        <w:t xml:space="preserve">: </w:t>
      </w:r>
      <w:r w:rsidR="00CC52A3" w:rsidRPr="006D007D">
        <w:rPr>
          <w:highlight w:val="yellow"/>
        </w:rPr>
        <w:t>[…………]</w:t>
      </w:r>
    </w:p>
    <w:p w:rsidR="004E5A39" w:rsidRPr="006D007D" w:rsidRDefault="004E5A39" w:rsidP="00EF6711">
      <w:pPr>
        <w:spacing w:after="0" w:line="240" w:lineRule="auto"/>
        <w:jc w:val="both"/>
        <w:rPr>
          <w:highlight w:val="yellow"/>
        </w:rPr>
      </w:pPr>
      <w:r w:rsidRPr="006D007D">
        <w:rPr>
          <w:highlight w:val="yellow"/>
          <w:u w:val="single"/>
        </w:rPr>
        <w:t>Aspetto</w:t>
      </w:r>
      <w:r w:rsidRPr="006D007D">
        <w:rPr>
          <w:highlight w:val="yellow"/>
        </w:rPr>
        <w:t xml:space="preserve">: </w:t>
      </w:r>
      <w:r w:rsidR="00CC52A3" w:rsidRPr="006D007D">
        <w:rPr>
          <w:highlight w:val="yellow"/>
        </w:rPr>
        <w:t xml:space="preserve">…………. </w:t>
      </w:r>
      <w:r w:rsidR="00CC52A3" w:rsidRPr="006D007D">
        <w:rPr>
          <w:b/>
          <w:i/>
          <w:sz w:val="20"/>
          <w:highlight w:val="yellow"/>
        </w:rPr>
        <w:t>Descrizione tipo … polvere cristallina ….. colore ….</w:t>
      </w:r>
      <w:r w:rsidR="009A23DE" w:rsidRPr="006D007D">
        <w:rPr>
          <w:b/>
          <w:i/>
          <w:sz w:val="20"/>
          <w:highlight w:val="yellow"/>
        </w:rPr>
        <w:t xml:space="preserve"> </w:t>
      </w:r>
      <w:r w:rsidR="00943785" w:rsidRPr="006D007D">
        <w:rPr>
          <w:b/>
          <w:i/>
          <w:sz w:val="20"/>
          <w:highlight w:val="yellow"/>
        </w:rPr>
        <w:t>a</w:t>
      </w:r>
      <w:r w:rsidR="00CC52A3" w:rsidRPr="006D007D">
        <w:rPr>
          <w:b/>
          <w:i/>
          <w:sz w:val="20"/>
          <w:highlight w:val="yellow"/>
        </w:rPr>
        <w:t>d esempio come in Ph. Eur.</w:t>
      </w:r>
    </w:p>
    <w:p w:rsidR="004E5A39" w:rsidRPr="006D007D" w:rsidRDefault="004E5A39" w:rsidP="00EF6711">
      <w:pPr>
        <w:spacing w:after="0" w:line="240" w:lineRule="auto"/>
        <w:jc w:val="both"/>
        <w:rPr>
          <w:rStyle w:val="s1"/>
          <w:rFonts w:asciiTheme="minorHAnsi" w:hAnsiTheme="minorHAnsi"/>
          <w:highlight w:val="yellow"/>
        </w:rPr>
      </w:pPr>
      <w:r w:rsidRPr="006D007D">
        <w:rPr>
          <w:highlight w:val="yellow"/>
          <w:u w:val="single"/>
        </w:rPr>
        <w:t>Solubilità</w:t>
      </w:r>
      <w:r w:rsidRPr="006D007D">
        <w:rPr>
          <w:highlight w:val="yellow"/>
        </w:rPr>
        <w:t xml:space="preserve">: </w:t>
      </w:r>
      <w:r w:rsidR="00CC52A3" w:rsidRPr="006D007D">
        <w:rPr>
          <w:highlight w:val="yellow"/>
        </w:rPr>
        <w:t>…………….</w:t>
      </w:r>
      <w:r w:rsidRPr="006D007D">
        <w:rPr>
          <w:rStyle w:val="s1"/>
          <w:rFonts w:asciiTheme="minorHAnsi" w:hAnsiTheme="minorHAnsi"/>
          <w:highlight w:val="yellow"/>
        </w:rPr>
        <w:t>.</w:t>
      </w:r>
    </w:p>
    <w:p w:rsidR="004E5A39" w:rsidRPr="006D007D" w:rsidRDefault="004E5A39" w:rsidP="00EF6711">
      <w:pPr>
        <w:spacing w:after="0" w:line="240" w:lineRule="auto"/>
        <w:jc w:val="both"/>
        <w:rPr>
          <w:highlight w:val="yellow"/>
        </w:rPr>
      </w:pPr>
    </w:p>
    <w:p w:rsidR="00CC52A3" w:rsidRPr="006D007D" w:rsidRDefault="00CC52A3" w:rsidP="00EF6711">
      <w:pPr>
        <w:spacing w:after="0" w:line="240" w:lineRule="auto"/>
        <w:jc w:val="both"/>
        <w:rPr>
          <w:b/>
          <w:i/>
          <w:sz w:val="20"/>
          <w:highlight w:val="yellow"/>
        </w:rPr>
      </w:pPr>
      <w:r w:rsidRPr="006D007D">
        <w:rPr>
          <w:b/>
          <w:i/>
          <w:sz w:val="20"/>
          <w:highlight w:val="yellow"/>
        </w:rPr>
        <w:t>Di seguito in alternativa</w:t>
      </w:r>
    </w:p>
    <w:p w:rsidR="00265B61" w:rsidRPr="006D007D" w:rsidRDefault="00CC52A3" w:rsidP="00265B61">
      <w:pPr>
        <w:spacing w:after="0" w:line="240" w:lineRule="auto"/>
        <w:jc w:val="both"/>
        <w:rPr>
          <w:highlight w:val="yellow"/>
        </w:rPr>
      </w:pPr>
      <w:r w:rsidRPr="006D007D">
        <w:rPr>
          <w:highlight w:val="yellow"/>
        </w:rPr>
        <w:t>&lt;</w:t>
      </w:r>
      <w:r w:rsidR="00265B61" w:rsidRPr="006D007D">
        <w:rPr>
          <w:highlight w:val="yellow"/>
        </w:rPr>
        <w:t xml:space="preserve">Il principio attivo </w:t>
      </w:r>
      <w:r w:rsidRPr="006D007D">
        <w:rPr>
          <w:highlight w:val="yellow"/>
        </w:rPr>
        <w:t>&lt;</w:t>
      </w:r>
      <w:r w:rsidR="00265B61" w:rsidRPr="006D007D">
        <w:rPr>
          <w:highlight w:val="yellow"/>
        </w:rPr>
        <w:t>non è</w:t>
      </w:r>
      <w:r w:rsidRPr="006D007D">
        <w:rPr>
          <w:highlight w:val="yellow"/>
        </w:rPr>
        <w:t>&gt; &lt;è&gt;</w:t>
      </w:r>
      <w:r w:rsidR="00265B61" w:rsidRPr="006D007D">
        <w:rPr>
          <w:highlight w:val="yellow"/>
        </w:rPr>
        <w:t xml:space="preserve"> presente in Farmacopea Europea; il produttore ha presentato un ASMF. </w:t>
      </w:r>
    </w:p>
    <w:p w:rsidR="00265B61" w:rsidRPr="006D007D" w:rsidRDefault="00265B61" w:rsidP="00265B61">
      <w:pPr>
        <w:spacing w:after="0" w:line="240" w:lineRule="auto"/>
        <w:jc w:val="both"/>
        <w:rPr>
          <w:highlight w:val="yellow"/>
        </w:rPr>
      </w:pPr>
      <w:r w:rsidRPr="006D007D">
        <w:rPr>
          <w:highlight w:val="yellow"/>
        </w:rPr>
        <w:t>La sintesi del principio attivo è stata adeguatamente descritta a partire da idonei materiali di partenza; sono utilizzati appropriati controlli di processo e intermedi di sintesi.</w:t>
      </w:r>
    </w:p>
    <w:p w:rsidR="00265B61" w:rsidRPr="006D007D" w:rsidRDefault="00265B61" w:rsidP="00265B61">
      <w:pPr>
        <w:spacing w:after="0" w:line="240" w:lineRule="auto"/>
        <w:jc w:val="both"/>
        <w:rPr>
          <w:highlight w:val="yellow"/>
        </w:rPr>
      </w:pPr>
      <w:r w:rsidRPr="006D007D">
        <w:rPr>
          <w:highlight w:val="yellow"/>
        </w:rPr>
        <w:t>I materiali e i reagenti utilizzati nella sintesi sono di qualità adeguata.</w:t>
      </w:r>
    </w:p>
    <w:p w:rsidR="00265B61" w:rsidRPr="006D007D" w:rsidRDefault="00265B61" w:rsidP="00265B61">
      <w:pPr>
        <w:spacing w:after="0" w:line="240" w:lineRule="auto"/>
        <w:jc w:val="both"/>
        <w:rPr>
          <w:highlight w:val="yellow"/>
        </w:rPr>
      </w:pPr>
      <w:r w:rsidRPr="006D007D">
        <w:rPr>
          <w:highlight w:val="yellow"/>
        </w:rPr>
        <w:t>I materiali, gli intermedi, i reagenti utilizzati nella sintesi non sono di origine umana, biologica o geneticamente modificata. Sono state fornite prove adeguate della struttura isolata. Tutte le potenziali impurezze note sono state identificate e caratterizzate.</w:t>
      </w:r>
    </w:p>
    <w:p w:rsidR="00265B61" w:rsidRPr="006D007D" w:rsidRDefault="00265B61" w:rsidP="00265B61">
      <w:pPr>
        <w:spacing w:after="0" w:line="240" w:lineRule="auto"/>
        <w:jc w:val="both"/>
        <w:rPr>
          <w:highlight w:val="yellow"/>
        </w:rPr>
      </w:pPr>
      <w:r w:rsidRPr="006D007D">
        <w:rPr>
          <w:highlight w:val="yellow"/>
        </w:rPr>
        <w:t>Le specifiche del principio attivo sono appropriate e controllate con metodi analitici adeguatamente convalidati. Sono stati forniti certificati analitici che confermano la qualità del principio attivo.</w:t>
      </w:r>
    </w:p>
    <w:p w:rsidR="00265B61" w:rsidRPr="006D007D" w:rsidRDefault="00265B61" w:rsidP="00265B61">
      <w:pPr>
        <w:spacing w:after="0" w:line="240" w:lineRule="auto"/>
        <w:jc w:val="both"/>
        <w:rPr>
          <w:highlight w:val="yellow"/>
        </w:rPr>
      </w:pPr>
      <w:r w:rsidRPr="006D007D">
        <w:rPr>
          <w:highlight w:val="yellow"/>
        </w:rPr>
        <w:t xml:space="preserve">Il principio attivo è confezionato in un adeguato contenitore, per il quale sono stati forniti specifiche e certificati analitici. Il confezionamento primario è costituito da </w:t>
      </w:r>
      <w:r w:rsidR="00CC52A3" w:rsidRPr="006D007D">
        <w:rPr>
          <w:highlight w:val="yellow"/>
        </w:rPr>
        <w:t>………………</w:t>
      </w:r>
      <w:r w:rsidRPr="006D007D">
        <w:rPr>
          <w:highlight w:val="yellow"/>
        </w:rPr>
        <w:t>.</w:t>
      </w:r>
    </w:p>
    <w:p w:rsidR="00265B61" w:rsidRPr="006D007D" w:rsidRDefault="00265B61" w:rsidP="00265B61">
      <w:pPr>
        <w:spacing w:after="0" w:line="240" w:lineRule="auto"/>
        <w:jc w:val="both"/>
        <w:rPr>
          <w:highlight w:val="yellow"/>
        </w:rPr>
      </w:pPr>
      <w:r w:rsidRPr="006D007D">
        <w:rPr>
          <w:highlight w:val="yellow"/>
        </w:rPr>
        <w:t xml:space="preserve">Sono stati forniti adeguati studi di stabilità per il principio attivo conservato nel confezionamento proposto per il commercio. Sulla base di questi dati, è stato approvato un periodo di retest di </w:t>
      </w:r>
      <w:r w:rsidR="00CC52A3" w:rsidRPr="006D007D">
        <w:rPr>
          <w:highlight w:val="yellow"/>
        </w:rPr>
        <w:t>………..</w:t>
      </w:r>
      <w:r w:rsidRPr="006D007D">
        <w:rPr>
          <w:highlight w:val="yellow"/>
        </w:rPr>
        <w:t xml:space="preserve"> mesi</w:t>
      </w:r>
      <w:r w:rsidR="00CC52A3" w:rsidRPr="006D007D">
        <w:rPr>
          <w:highlight w:val="yellow"/>
        </w:rPr>
        <w:t>&gt;</w:t>
      </w:r>
      <w:r w:rsidRPr="006D007D">
        <w:rPr>
          <w:highlight w:val="yellow"/>
        </w:rPr>
        <w:t>.</w:t>
      </w:r>
    </w:p>
    <w:p w:rsidR="00B30431" w:rsidRPr="006D007D" w:rsidRDefault="00B30431" w:rsidP="00EF6711">
      <w:pPr>
        <w:spacing w:after="0" w:line="240" w:lineRule="auto"/>
        <w:jc w:val="both"/>
        <w:rPr>
          <w:highlight w:val="yellow"/>
        </w:rPr>
      </w:pPr>
    </w:p>
    <w:p w:rsidR="000B7AC8" w:rsidRPr="006D007D" w:rsidRDefault="000B7AC8" w:rsidP="000B7AC8">
      <w:pPr>
        <w:spacing w:after="0" w:line="240" w:lineRule="auto"/>
        <w:jc w:val="both"/>
        <w:rPr>
          <w:highlight w:val="yellow"/>
        </w:rPr>
      </w:pPr>
      <w:r w:rsidRPr="006D007D">
        <w:rPr>
          <w:highlight w:val="yellow"/>
        </w:rPr>
        <w:t>&lt; Il principio attivo è presente in Farmacopea Europea e il Direttorato Europeo per la Qualità dei Medicinali (</w:t>
      </w:r>
      <w:r w:rsidRPr="006D007D">
        <w:rPr>
          <w:i/>
          <w:highlight w:val="yellow"/>
        </w:rPr>
        <w:t>European Directorate for Quality of Medicnals</w:t>
      </w:r>
      <w:r w:rsidRPr="006D007D">
        <w:rPr>
          <w:highlight w:val="yellow"/>
        </w:rPr>
        <w:t xml:space="preserve"> – EDQM) ha rilasciato al produttore il certificato di conformità alla Farmacopea Europea.</w:t>
      </w:r>
    </w:p>
    <w:p w:rsidR="000B7AC8" w:rsidRPr="006D007D" w:rsidRDefault="000B7AC8" w:rsidP="000B7AC8">
      <w:pPr>
        <w:spacing w:after="0" w:line="240" w:lineRule="auto"/>
        <w:jc w:val="both"/>
        <w:rPr>
          <w:highlight w:val="yellow"/>
        </w:rPr>
      </w:pPr>
      <w:r w:rsidRPr="006D007D">
        <w:rPr>
          <w:highlight w:val="yellow"/>
        </w:rPr>
        <w:t>Tutti gli aspetti di produzione e controllo sono coperti dal certificato di conformità alla Farmacopea Europea. Il periodo di retest è definito in ……. mesi, quando confezionato in …….&gt;.</w:t>
      </w:r>
    </w:p>
    <w:p w:rsidR="00CC52A3" w:rsidRPr="006D007D" w:rsidRDefault="00CC52A3" w:rsidP="00EF6711">
      <w:pPr>
        <w:spacing w:after="0" w:line="240" w:lineRule="auto"/>
        <w:jc w:val="both"/>
        <w:rPr>
          <w:highlight w:val="yellow"/>
        </w:rPr>
      </w:pPr>
    </w:p>
    <w:p w:rsidR="000B7AC8" w:rsidRPr="006D007D" w:rsidRDefault="000B7AC8" w:rsidP="000B7AC8">
      <w:pPr>
        <w:spacing w:after="0" w:line="240" w:lineRule="auto"/>
        <w:jc w:val="both"/>
        <w:rPr>
          <w:highlight w:val="yellow"/>
        </w:rPr>
      </w:pPr>
      <w:r w:rsidRPr="006D007D">
        <w:rPr>
          <w:highlight w:val="yellow"/>
        </w:rPr>
        <w:t>&lt;Il principio attivo è presente in Farmacopea Europea e il Direttorato Europeo per la Qualità dei Medicinali (European Directorate for Quality of Medicnals – EDQM) ha rilasciato al produttore il certificato di conformità alla Farmacopea Europea (CEP).</w:t>
      </w:r>
    </w:p>
    <w:p w:rsidR="000B7AC8" w:rsidRPr="006D007D" w:rsidRDefault="000B7AC8" w:rsidP="000B7AC8">
      <w:pPr>
        <w:spacing w:after="0" w:line="240" w:lineRule="auto"/>
        <w:jc w:val="both"/>
        <w:rPr>
          <w:highlight w:val="yellow"/>
        </w:rPr>
      </w:pPr>
      <w:r w:rsidRPr="006D007D">
        <w:rPr>
          <w:highlight w:val="yellow"/>
        </w:rPr>
        <w:t xml:space="preserve">Tutti gli aspetti di produzione e controllo, ad eccezione &lt;della stabilità&gt; </w:t>
      </w:r>
      <w:r w:rsidR="00943785" w:rsidRPr="006D007D">
        <w:rPr>
          <w:highlight w:val="yellow"/>
        </w:rPr>
        <w:t xml:space="preserve"> e </w:t>
      </w:r>
      <w:r w:rsidRPr="006D007D">
        <w:rPr>
          <w:highlight w:val="yellow"/>
        </w:rPr>
        <w:t xml:space="preserve">&lt;del condezionamento&gt;, sono coperti dal certificato di conformità alla Farmacopea Europea. </w:t>
      </w:r>
    </w:p>
    <w:p w:rsidR="000B7AC8" w:rsidRPr="006D007D" w:rsidRDefault="000B7AC8" w:rsidP="000B7AC8">
      <w:pPr>
        <w:spacing w:after="0" w:line="240" w:lineRule="auto"/>
        <w:jc w:val="both"/>
        <w:rPr>
          <w:highlight w:val="yellow"/>
        </w:rPr>
      </w:pPr>
      <w:r w:rsidRPr="006D007D">
        <w:rPr>
          <w:highlight w:val="yellow"/>
        </w:rPr>
        <w:t>Sono stati forniti adeguati studi di stabilità per il principio attivo conservato nel confezionamento proposto per il commercio (………………). Sulla base di questi dati, è stato approvato un periodo di retest di ………. mesi</w:t>
      </w:r>
    </w:p>
    <w:p w:rsidR="00B30431" w:rsidRPr="006D007D" w:rsidRDefault="00B30431" w:rsidP="00EF6711">
      <w:pPr>
        <w:spacing w:after="0" w:line="240" w:lineRule="auto"/>
        <w:jc w:val="both"/>
        <w:rPr>
          <w:highlight w:val="yellow"/>
        </w:rPr>
      </w:pPr>
    </w:p>
    <w:p w:rsidR="000B7AC8" w:rsidRPr="006D007D" w:rsidRDefault="000B7AC8" w:rsidP="00EF6711">
      <w:pPr>
        <w:spacing w:after="0" w:line="240" w:lineRule="auto"/>
        <w:jc w:val="both"/>
        <w:rPr>
          <w:highlight w:val="yellow"/>
        </w:rPr>
      </w:pPr>
    </w:p>
    <w:p w:rsidR="004E5A39" w:rsidRPr="006D007D" w:rsidRDefault="004E5A39" w:rsidP="00EF6711">
      <w:pPr>
        <w:spacing w:after="0" w:line="240" w:lineRule="auto"/>
        <w:jc w:val="both"/>
        <w:rPr>
          <w:b/>
          <w:highlight w:val="yellow"/>
        </w:rPr>
      </w:pPr>
      <w:r w:rsidRPr="006D007D">
        <w:rPr>
          <w:b/>
          <w:highlight w:val="yellow"/>
        </w:rPr>
        <w:t>II.2 PRODOTTO FINITO</w:t>
      </w:r>
    </w:p>
    <w:p w:rsidR="004E5A39" w:rsidRPr="006D007D" w:rsidRDefault="004E5A39" w:rsidP="00EF6711">
      <w:pPr>
        <w:spacing w:after="0" w:line="240" w:lineRule="auto"/>
        <w:jc w:val="both"/>
        <w:rPr>
          <w:b/>
          <w:highlight w:val="yellow"/>
        </w:rPr>
      </w:pPr>
      <w:r w:rsidRPr="006D007D">
        <w:rPr>
          <w:b/>
          <w:highlight w:val="yellow"/>
        </w:rPr>
        <w:t>Descrizione e composizione</w:t>
      </w:r>
    </w:p>
    <w:p w:rsidR="004E5A39" w:rsidRPr="006D007D" w:rsidRDefault="000B7AC8" w:rsidP="00EF6711">
      <w:pPr>
        <w:widowControl w:val="0"/>
        <w:spacing w:after="0" w:line="240" w:lineRule="auto"/>
        <w:jc w:val="both"/>
        <w:rPr>
          <w:highlight w:val="yellow"/>
        </w:rPr>
      </w:pPr>
      <w:r w:rsidRPr="006D007D">
        <w:rPr>
          <w:rFonts w:eastAsia="Calibri" w:cs="Calibri"/>
          <w:color w:val="000000"/>
          <w:highlight w:val="yellow"/>
          <w:lang w:eastAsia="it-IT"/>
        </w:rPr>
        <w:t xml:space="preserve">&lt;nome medicinale&gt; è disponibile in …….. </w:t>
      </w:r>
      <w:r w:rsidRPr="006D007D">
        <w:rPr>
          <w:rFonts w:eastAsia="Calibri" w:cs="Calibri"/>
          <w:b/>
          <w:i/>
          <w:color w:val="000000"/>
          <w:sz w:val="20"/>
          <w:highlight w:val="yellow"/>
          <w:lang w:eastAsia="it-IT"/>
        </w:rPr>
        <w:t>come in primo paragrafo del riassunto</w:t>
      </w:r>
      <w:r w:rsidR="00B30431" w:rsidRPr="006D007D">
        <w:rPr>
          <w:rFonts w:eastAsia="Calibri" w:cs="Calibri"/>
          <w:color w:val="000000"/>
          <w:highlight w:val="yellow"/>
          <w:lang w:eastAsia="it-IT"/>
        </w:rPr>
        <w:t>.</w:t>
      </w:r>
      <w:r w:rsidR="004E5A39" w:rsidRPr="006D007D">
        <w:rPr>
          <w:rFonts w:cs="Helvetica"/>
          <w:highlight w:val="yellow"/>
        </w:rPr>
        <w:t xml:space="preserve"> </w:t>
      </w:r>
    </w:p>
    <w:p w:rsidR="00B30431" w:rsidRPr="006D007D" w:rsidRDefault="004E5A39" w:rsidP="00EF6711">
      <w:pPr>
        <w:spacing w:after="0" w:line="240" w:lineRule="auto"/>
        <w:jc w:val="both"/>
        <w:rPr>
          <w:b/>
          <w:bCs/>
          <w:highlight w:val="yellow"/>
        </w:rPr>
      </w:pPr>
      <w:r w:rsidRPr="006D007D">
        <w:rPr>
          <w:highlight w:val="yellow"/>
        </w:rPr>
        <w:t xml:space="preserve">Gli eccipienti sono </w:t>
      </w:r>
      <w:r w:rsidR="000B7AC8" w:rsidRPr="006D007D">
        <w:rPr>
          <w:highlight w:val="yellow"/>
        </w:rPr>
        <w:t>………………..</w:t>
      </w:r>
      <w:r w:rsidR="00265B61" w:rsidRPr="006D007D">
        <w:rPr>
          <w:highlight w:val="yellow"/>
        </w:rPr>
        <w:t>.</w:t>
      </w:r>
    </w:p>
    <w:p w:rsidR="004E5A39" w:rsidRPr="006D007D" w:rsidRDefault="000B7AC8" w:rsidP="00EF6711">
      <w:pPr>
        <w:spacing w:after="0" w:line="240" w:lineRule="auto"/>
        <w:ind w:right="13"/>
        <w:jc w:val="both"/>
        <w:rPr>
          <w:highlight w:val="yellow"/>
        </w:rPr>
      </w:pPr>
      <w:r w:rsidRPr="006D007D">
        <w:rPr>
          <w:highlight w:val="yellow"/>
        </w:rPr>
        <w:t>&lt;</w:t>
      </w:r>
      <w:r w:rsidR="004E5A39" w:rsidRPr="006D007D">
        <w:rPr>
          <w:highlight w:val="yellow"/>
        </w:rPr>
        <w:t>Tutti gli eccipienti sono conformi alla relativa monografia di Farmacopea Europea</w:t>
      </w:r>
      <w:r w:rsidRPr="006D007D">
        <w:rPr>
          <w:highlight w:val="yellow"/>
        </w:rPr>
        <w:t>&gt;</w:t>
      </w:r>
      <w:r w:rsidR="004E5A39" w:rsidRPr="006D007D">
        <w:rPr>
          <w:highlight w:val="yellow"/>
        </w:rPr>
        <w:t>.</w:t>
      </w:r>
    </w:p>
    <w:p w:rsidR="000B7AC8" w:rsidRPr="006D007D" w:rsidRDefault="000B7AC8" w:rsidP="00EF6711">
      <w:pPr>
        <w:spacing w:after="0" w:line="240" w:lineRule="auto"/>
        <w:ind w:right="13"/>
        <w:jc w:val="both"/>
        <w:rPr>
          <w:highlight w:val="yellow"/>
        </w:rPr>
      </w:pPr>
      <w:r w:rsidRPr="006D007D">
        <w:rPr>
          <w:highlight w:val="yellow"/>
        </w:rPr>
        <w:t xml:space="preserve">&lt;Tutti gli eccipienti sono conformi alla relativa monografia di Farmacopea Europea, ad eccezione di ……… </w:t>
      </w:r>
      <w:r w:rsidR="000808A3" w:rsidRPr="006D007D">
        <w:rPr>
          <w:highlight w:val="yellow"/>
        </w:rPr>
        <w:t>&lt;</w:t>
      </w:r>
      <w:r w:rsidRPr="006D007D">
        <w:rPr>
          <w:highlight w:val="yellow"/>
        </w:rPr>
        <w:t>per i quali i produttore ha proposto specifiche di controllo accettabili&gt;</w:t>
      </w:r>
      <w:r w:rsidR="000808A3" w:rsidRPr="006D007D">
        <w:rPr>
          <w:highlight w:val="yellow"/>
        </w:rPr>
        <w:t xml:space="preserve"> &lt;conformi alla monografia della Farmacopea Americana – USP&gt; (</w:t>
      </w:r>
      <w:r w:rsidR="000808A3" w:rsidRPr="006D007D">
        <w:rPr>
          <w:b/>
          <w:i/>
          <w:sz w:val="20"/>
          <w:highlight w:val="yellow"/>
        </w:rPr>
        <w:t>eventualmente altri casi</w:t>
      </w:r>
      <w:r w:rsidR="000808A3" w:rsidRPr="006D007D">
        <w:rPr>
          <w:highlight w:val="yellow"/>
        </w:rPr>
        <w:t>)</w:t>
      </w:r>
    </w:p>
    <w:p w:rsidR="000808A3" w:rsidRPr="006D007D" w:rsidRDefault="000808A3" w:rsidP="00EF6711">
      <w:pPr>
        <w:spacing w:after="0" w:line="240" w:lineRule="auto"/>
        <w:ind w:right="13"/>
        <w:jc w:val="both"/>
        <w:rPr>
          <w:highlight w:val="yellow"/>
        </w:rPr>
      </w:pPr>
    </w:p>
    <w:p w:rsidR="000808A3" w:rsidRPr="006D007D" w:rsidRDefault="000808A3" w:rsidP="000808A3">
      <w:pPr>
        <w:spacing w:after="0" w:line="240" w:lineRule="auto"/>
        <w:jc w:val="both"/>
        <w:rPr>
          <w:highlight w:val="yellow"/>
        </w:rPr>
      </w:pPr>
      <w:r w:rsidRPr="006D007D">
        <w:rPr>
          <w:highlight w:val="yellow"/>
        </w:rPr>
        <w:t>&lt;Il solo eccipiente di originale animale è il lattosio; è stata fornita una dichiarazione che nella sua produzione sono utilizzati animali sani della stessa qualità utilizzata per il consumo umano&gt;.</w:t>
      </w:r>
    </w:p>
    <w:p w:rsidR="000808A3" w:rsidRPr="006D007D" w:rsidRDefault="000808A3" w:rsidP="000808A3">
      <w:pPr>
        <w:spacing w:after="0" w:line="240" w:lineRule="auto"/>
        <w:jc w:val="both"/>
        <w:rPr>
          <w:noProof/>
          <w:highlight w:val="yellow"/>
        </w:rPr>
      </w:pPr>
      <w:r w:rsidRPr="006D007D">
        <w:rPr>
          <w:highlight w:val="yellow"/>
        </w:rPr>
        <w:t>&lt;Il solo eccipiente di originale animale è la gelatina; a tutti i produttori di gelatina utilizzati il Direttorato Europeo per la Qualità dei Medicinali (</w:t>
      </w:r>
      <w:r w:rsidRPr="006D007D">
        <w:rPr>
          <w:i/>
          <w:highlight w:val="yellow"/>
        </w:rPr>
        <w:t>European Directorate for Quality of Medicnals</w:t>
      </w:r>
      <w:r w:rsidRPr="006D007D">
        <w:rPr>
          <w:highlight w:val="yellow"/>
        </w:rPr>
        <w:t xml:space="preserve"> – EDQM) ha rilasciato i certificati di conformità alla Farmacopea Europea che ne certificano la sicurezza d’uso&gt;.</w:t>
      </w:r>
      <w:r w:rsidRPr="006D007D">
        <w:rPr>
          <w:noProof/>
          <w:highlight w:val="yellow"/>
        </w:rPr>
        <w:t xml:space="preserve"> </w:t>
      </w:r>
    </w:p>
    <w:p w:rsidR="000808A3" w:rsidRPr="006D007D" w:rsidRDefault="000808A3" w:rsidP="00EF6711">
      <w:pPr>
        <w:spacing w:after="0" w:line="240" w:lineRule="auto"/>
        <w:ind w:right="13"/>
        <w:jc w:val="both"/>
        <w:rPr>
          <w:highlight w:val="yellow"/>
        </w:rPr>
      </w:pPr>
    </w:p>
    <w:p w:rsidR="004E5A39" w:rsidRPr="006D007D" w:rsidRDefault="004E5A39" w:rsidP="00EF6711">
      <w:pPr>
        <w:spacing w:after="0" w:line="240" w:lineRule="auto"/>
        <w:jc w:val="both"/>
        <w:rPr>
          <w:highlight w:val="yellow"/>
        </w:rPr>
      </w:pPr>
      <w:r w:rsidRPr="006D007D">
        <w:rPr>
          <w:highlight w:val="yellow"/>
        </w:rPr>
        <w:t>Nessun eccipiente è ottenuto da organismi geneticamente modificati; non sono presenti eccipienti mai utilizzati nell’uomo.</w:t>
      </w:r>
    </w:p>
    <w:p w:rsidR="004E5A39" w:rsidRPr="006D007D" w:rsidRDefault="004E5A39" w:rsidP="00EF6711">
      <w:pPr>
        <w:spacing w:after="0" w:line="240" w:lineRule="auto"/>
        <w:jc w:val="both"/>
        <w:rPr>
          <w:highlight w:val="yellow"/>
        </w:rPr>
      </w:pPr>
    </w:p>
    <w:p w:rsidR="004E5A39" w:rsidRPr="006D007D" w:rsidRDefault="004E5A39" w:rsidP="00EF6711">
      <w:pPr>
        <w:spacing w:after="0" w:line="240" w:lineRule="auto"/>
        <w:jc w:val="both"/>
        <w:rPr>
          <w:b/>
          <w:highlight w:val="yellow"/>
        </w:rPr>
      </w:pPr>
      <w:r w:rsidRPr="006D007D">
        <w:rPr>
          <w:b/>
          <w:highlight w:val="yellow"/>
        </w:rPr>
        <w:t>Sviluppo farmaceutico</w:t>
      </w:r>
    </w:p>
    <w:p w:rsidR="004E5A39" w:rsidRPr="006D007D" w:rsidRDefault="004E5A39" w:rsidP="00EF6711">
      <w:pPr>
        <w:spacing w:after="0" w:line="240" w:lineRule="auto"/>
        <w:jc w:val="both"/>
        <w:rPr>
          <w:highlight w:val="yellow"/>
        </w:rPr>
      </w:pPr>
      <w:r w:rsidRPr="006D007D">
        <w:rPr>
          <w:highlight w:val="yellow"/>
        </w:rPr>
        <w:t>Sono stati forniti dettagli dello sviluppo farmaceutico e questi sono stati ritenuti soddisfacenti.</w:t>
      </w:r>
    </w:p>
    <w:p w:rsidR="004E5A39" w:rsidRPr="006D007D" w:rsidRDefault="004E5A39" w:rsidP="00EF6711">
      <w:pPr>
        <w:spacing w:after="0" w:line="240" w:lineRule="auto"/>
        <w:jc w:val="both"/>
        <w:rPr>
          <w:highlight w:val="yellow"/>
        </w:rPr>
      </w:pPr>
      <w:r w:rsidRPr="006D007D">
        <w:rPr>
          <w:highlight w:val="yellow"/>
        </w:rPr>
        <w:t>Sono stati forniti dati comparativi relativi al profilo di impurezze rispetto al medicinale di riferimento</w:t>
      </w:r>
      <w:r w:rsidR="00B30431" w:rsidRPr="006D007D">
        <w:rPr>
          <w:rFonts w:eastAsia="Calibri" w:cs="Calibri"/>
          <w:highlight w:val="yellow"/>
          <w:lang w:eastAsia="it-IT"/>
        </w:rPr>
        <w:t xml:space="preserve"> </w:t>
      </w:r>
      <w:r w:rsidR="000808A3" w:rsidRPr="006D007D">
        <w:rPr>
          <w:rFonts w:eastAsia="Calibri" w:cs="Calibri"/>
          <w:highlight w:val="yellow"/>
          <w:lang w:eastAsia="it-IT"/>
        </w:rPr>
        <w:t>………….</w:t>
      </w:r>
      <w:r w:rsidRPr="006D007D">
        <w:rPr>
          <w:highlight w:val="yellow"/>
        </w:rPr>
        <w:t>. I dati sono soddisfacenti.</w:t>
      </w:r>
    </w:p>
    <w:p w:rsidR="004E5A39" w:rsidRPr="006D007D" w:rsidRDefault="004E5A39" w:rsidP="00EF6711">
      <w:pPr>
        <w:spacing w:after="0" w:line="240" w:lineRule="auto"/>
        <w:jc w:val="both"/>
        <w:rPr>
          <w:highlight w:val="yellow"/>
        </w:rPr>
      </w:pPr>
    </w:p>
    <w:p w:rsidR="004E5A39" w:rsidRPr="006D007D" w:rsidRDefault="004E5A39" w:rsidP="00EF6711">
      <w:pPr>
        <w:spacing w:after="0" w:line="240" w:lineRule="auto"/>
        <w:jc w:val="both"/>
        <w:rPr>
          <w:b/>
          <w:highlight w:val="yellow"/>
        </w:rPr>
      </w:pPr>
      <w:r w:rsidRPr="006D007D">
        <w:rPr>
          <w:b/>
          <w:highlight w:val="yellow"/>
        </w:rPr>
        <w:t xml:space="preserve">Produzione </w:t>
      </w:r>
    </w:p>
    <w:p w:rsidR="004E5A39" w:rsidRPr="006D007D" w:rsidRDefault="004E5A39" w:rsidP="00EF6711">
      <w:pPr>
        <w:spacing w:after="0" w:line="240" w:lineRule="auto"/>
        <w:jc w:val="both"/>
        <w:rPr>
          <w:highlight w:val="yellow"/>
        </w:rPr>
      </w:pPr>
      <w:r w:rsidRPr="006D007D">
        <w:rPr>
          <w:highlight w:val="yellow"/>
        </w:rPr>
        <w:t>Sono stati forniti una descrizione del metodo di produzione e la relativa flow-chart.</w:t>
      </w:r>
    </w:p>
    <w:p w:rsidR="004E5A39" w:rsidRPr="006D007D" w:rsidRDefault="004E5A39" w:rsidP="00EF6711">
      <w:pPr>
        <w:spacing w:after="0" w:line="240" w:lineRule="auto"/>
        <w:jc w:val="both"/>
        <w:rPr>
          <w:highlight w:val="yellow"/>
        </w:rPr>
      </w:pPr>
      <w:r w:rsidRPr="006D007D">
        <w:rPr>
          <w:highlight w:val="yellow"/>
        </w:rPr>
        <w:t>I controlli effettuati nel corso della produzione sono appropriati per la natura del medicinale e del metodo di produzione. Sono stati forniti, inoltre, dati soddisfacenti relativi alla convalida del metodo di produzione.</w:t>
      </w:r>
    </w:p>
    <w:p w:rsidR="004E5A39" w:rsidRPr="006D007D" w:rsidRDefault="004E5A39" w:rsidP="00EF6711">
      <w:pPr>
        <w:spacing w:after="0" w:line="240" w:lineRule="auto"/>
        <w:jc w:val="both"/>
        <w:rPr>
          <w:highlight w:val="yellow"/>
        </w:rPr>
      </w:pPr>
    </w:p>
    <w:p w:rsidR="004E5A39" w:rsidRPr="006D007D" w:rsidRDefault="004E5A39" w:rsidP="00EF6711">
      <w:pPr>
        <w:spacing w:after="0" w:line="240" w:lineRule="auto"/>
        <w:jc w:val="both"/>
        <w:rPr>
          <w:b/>
          <w:highlight w:val="yellow"/>
        </w:rPr>
      </w:pPr>
      <w:r w:rsidRPr="006D007D">
        <w:rPr>
          <w:b/>
          <w:highlight w:val="yellow"/>
        </w:rPr>
        <w:t>Specifiche del prodotto finito</w:t>
      </w:r>
    </w:p>
    <w:p w:rsidR="004E5A39" w:rsidRPr="006D007D" w:rsidRDefault="004E5A39" w:rsidP="00EF6711">
      <w:pPr>
        <w:spacing w:after="0" w:line="240" w:lineRule="auto"/>
        <w:jc w:val="both"/>
        <w:rPr>
          <w:highlight w:val="yellow"/>
        </w:rPr>
      </w:pPr>
      <w:r w:rsidRPr="006D007D">
        <w:rPr>
          <w:highlight w:val="yellow"/>
        </w:rPr>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6D007D">
        <w:rPr>
          <w:highlight w:val="yellow"/>
        </w:rPr>
        <w:t>il</w:t>
      </w:r>
      <w:r w:rsidRPr="006D007D">
        <w:rPr>
          <w:highlight w:val="yellow"/>
        </w:rPr>
        <w:t xml:space="preserve"> prodotto finito</w:t>
      </w:r>
      <w:r w:rsidR="000808A3" w:rsidRPr="006D007D">
        <w:rPr>
          <w:highlight w:val="yellow"/>
        </w:rPr>
        <w:t xml:space="preserve"> (</w:t>
      </w:r>
      <w:r w:rsidR="000808A3" w:rsidRPr="006D007D">
        <w:rPr>
          <w:b/>
          <w:i/>
          <w:sz w:val="20"/>
          <w:highlight w:val="yellow"/>
        </w:rPr>
        <w:t>in alternativa</w:t>
      </w:r>
      <w:r w:rsidR="000808A3" w:rsidRPr="006D007D">
        <w:rPr>
          <w:sz w:val="20"/>
          <w:highlight w:val="yellow"/>
        </w:rPr>
        <w:t xml:space="preserve"> </w:t>
      </w:r>
      <w:r w:rsidR="000808A3" w:rsidRPr="006D007D">
        <w:rPr>
          <w:highlight w:val="yellow"/>
        </w:rPr>
        <w:t>…. per i diversi dosaggi del prodotti finito)</w:t>
      </w:r>
      <w:r w:rsidRPr="006D007D">
        <w:rPr>
          <w:highlight w:val="yellow"/>
        </w:rPr>
        <w:t>: questi dati dimostrano che i lotti prodotti sono in accordo alle specifiche proposte. Sono stati forniti, infine, certificati analitici per gli standard di riferimento utilizzati.</w:t>
      </w:r>
    </w:p>
    <w:p w:rsidR="004E5A39" w:rsidRPr="006D007D" w:rsidRDefault="004E5A39" w:rsidP="00EF6711">
      <w:pPr>
        <w:spacing w:after="0" w:line="240" w:lineRule="auto"/>
        <w:jc w:val="both"/>
        <w:rPr>
          <w:b/>
          <w:highlight w:val="yellow"/>
        </w:rPr>
      </w:pPr>
    </w:p>
    <w:p w:rsidR="004E5A39" w:rsidRPr="006D007D" w:rsidRDefault="004E5A39" w:rsidP="00EF6711">
      <w:pPr>
        <w:spacing w:after="0" w:line="240" w:lineRule="auto"/>
        <w:jc w:val="both"/>
        <w:rPr>
          <w:b/>
          <w:highlight w:val="yellow"/>
        </w:rPr>
      </w:pPr>
      <w:r w:rsidRPr="006D007D">
        <w:rPr>
          <w:b/>
          <w:highlight w:val="yellow"/>
        </w:rPr>
        <w:t>Contenitore</w:t>
      </w:r>
    </w:p>
    <w:p w:rsidR="00BA0ACD" w:rsidRPr="006D007D" w:rsidRDefault="000808A3" w:rsidP="00EF6711">
      <w:pPr>
        <w:spacing w:after="0" w:line="240" w:lineRule="auto"/>
        <w:jc w:val="both"/>
        <w:rPr>
          <w:highlight w:val="yellow"/>
        </w:rPr>
      </w:pPr>
      <w:r w:rsidRPr="006D007D">
        <w:rPr>
          <w:rFonts w:eastAsia="Calibri" w:cs="Calibri"/>
          <w:color w:val="000000"/>
          <w:highlight w:val="yellow"/>
          <w:lang w:eastAsia="it-IT"/>
        </w:rPr>
        <w:t xml:space="preserve">&lt;nome medicinale&gt; </w:t>
      </w:r>
      <w:r w:rsidR="004E5A39" w:rsidRPr="006D007D">
        <w:rPr>
          <w:highlight w:val="yellow"/>
        </w:rPr>
        <w:t xml:space="preserve">è confezionato in </w:t>
      </w:r>
      <w:r w:rsidRPr="006D007D">
        <w:rPr>
          <w:highlight w:val="yellow"/>
        </w:rPr>
        <w:t>&lt;</w:t>
      </w:r>
      <w:r w:rsidR="00367CE0" w:rsidRPr="006D007D">
        <w:rPr>
          <w:highlight w:val="yellow"/>
        </w:rPr>
        <w:t xml:space="preserve">flaconcino di </w:t>
      </w:r>
      <w:r w:rsidRPr="006D007D">
        <w:rPr>
          <w:highlight w:val="yellow"/>
        </w:rPr>
        <w:t>…..&gt; &lt;blister di ….</w:t>
      </w:r>
      <w:r w:rsidR="000A4BA1" w:rsidRPr="006D007D">
        <w:rPr>
          <w:highlight w:val="yellow"/>
        </w:rPr>
        <w:t>.</w:t>
      </w:r>
      <w:r w:rsidRPr="006D007D">
        <w:rPr>
          <w:highlight w:val="yellow"/>
        </w:rPr>
        <w:t xml:space="preserve">&gt; ………. </w:t>
      </w:r>
      <w:r w:rsidRPr="006D007D">
        <w:rPr>
          <w:b/>
          <w:i/>
          <w:sz w:val="20"/>
          <w:highlight w:val="yellow"/>
        </w:rPr>
        <w:t>ecc ecc</w:t>
      </w:r>
    </w:p>
    <w:p w:rsidR="004E5A39" w:rsidRPr="006D007D" w:rsidRDefault="004E5A39" w:rsidP="00EF6711">
      <w:pPr>
        <w:spacing w:after="0" w:line="240" w:lineRule="auto"/>
        <w:jc w:val="both"/>
        <w:rPr>
          <w:highlight w:val="yellow"/>
        </w:rPr>
      </w:pPr>
      <w:r w:rsidRPr="006D007D">
        <w:rPr>
          <w:highlight w:val="yellow"/>
        </w:rPr>
        <w:t>Sono state fornite specifiche e certificati analitici per tutti i componenti del confezionamento primario, che è adeguato per il medicinale.</w:t>
      </w:r>
    </w:p>
    <w:p w:rsidR="00BA0ACD" w:rsidRPr="006D007D" w:rsidRDefault="00BA0ACD" w:rsidP="00EF6711">
      <w:pPr>
        <w:spacing w:after="0" w:line="240" w:lineRule="auto"/>
        <w:jc w:val="both"/>
        <w:rPr>
          <w:highlight w:val="yellow"/>
        </w:rPr>
      </w:pPr>
    </w:p>
    <w:p w:rsidR="004E5A39" w:rsidRPr="006D007D" w:rsidRDefault="004E5A39" w:rsidP="00EF6711">
      <w:pPr>
        <w:spacing w:after="0" w:line="240" w:lineRule="auto"/>
        <w:jc w:val="both"/>
        <w:rPr>
          <w:b/>
          <w:highlight w:val="yellow"/>
        </w:rPr>
      </w:pPr>
      <w:r w:rsidRPr="006D007D">
        <w:rPr>
          <w:b/>
          <w:highlight w:val="yellow"/>
        </w:rPr>
        <w:t>Stabilità</w:t>
      </w:r>
    </w:p>
    <w:p w:rsidR="004E5A39" w:rsidRPr="006D007D" w:rsidRDefault="004E5A39" w:rsidP="00EF6711">
      <w:pPr>
        <w:spacing w:after="0" w:line="240" w:lineRule="auto"/>
        <w:jc w:val="both"/>
        <w:rPr>
          <w:highlight w:val="yellow"/>
        </w:rPr>
      </w:pPr>
      <w:r w:rsidRPr="006D007D">
        <w:rPr>
          <w:highlight w:val="yellow"/>
        </w:rPr>
        <w:t xml:space="preserve">Studi di stabilità sul prodotto finito sono stati condotti in accordo alle correnti linee guida e i risultati sono entro i limiti delle specifiche autorizzate. Sulla base di questi risultati, è stato autorizzato un periodo di validità di </w:t>
      </w:r>
      <w:r w:rsidR="000808A3" w:rsidRPr="006D007D">
        <w:rPr>
          <w:highlight w:val="yellow"/>
        </w:rPr>
        <w:t>………..</w:t>
      </w:r>
      <w:r w:rsidR="00265B61" w:rsidRPr="006D007D">
        <w:rPr>
          <w:highlight w:val="yellow"/>
        </w:rPr>
        <w:t xml:space="preserve"> anni</w:t>
      </w:r>
      <w:r w:rsidRPr="006D007D">
        <w:rPr>
          <w:highlight w:val="yellow"/>
        </w:rPr>
        <w:t xml:space="preserve"> senza nessuna condizione particolare di conservazione</w:t>
      </w:r>
      <w:r w:rsidR="000808A3" w:rsidRPr="006D007D">
        <w:rPr>
          <w:highlight w:val="yellow"/>
        </w:rPr>
        <w:t xml:space="preserve"> (</w:t>
      </w:r>
      <w:r w:rsidR="000808A3" w:rsidRPr="006D007D">
        <w:rPr>
          <w:b/>
          <w:i/>
          <w:sz w:val="20"/>
          <w:highlight w:val="yellow"/>
        </w:rPr>
        <w:t>in alternativa</w:t>
      </w:r>
      <w:r w:rsidR="000808A3" w:rsidRPr="006D007D">
        <w:rPr>
          <w:sz w:val="20"/>
          <w:highlight w:val="yellow"/>
        </w:rPr>
        <w:t xml:space="preserve"> </w:t>
      </w:r>
      <w:r w:rsidR="000808A3" w:rsidRPr="006D007D">
        <w:rPr>
          <w:highlight w:val="yellow"/>
        </w:rPr>
        <w:t xml:space="preserve">con conservazione a temperatura non superiore a ….., al riparo dal calore, al riparo dalla luce , </w:t>
      </w:r>
      <w:r w:rsidR="000808A3" w:rsidRPr="006D007D">
        <w:rPr>
          <w:b/>
          <w:i/>
          <w:sz w:val="20"/>
          <w:highlight w:val="yellow"/>
        </w:rPr>
        <w:t>ecc ecc</w:t>
      </w:r>
      <w:r w:rsidR="000808A3" w:rsidRPr="006D007D">
        <w:rPr>
          <w:sz w:val="20"/>
          <w:highlight w:val="yellow"/>
        </w:rPr>
        <w:t xml:space="preserve"> </w:t>
      </w:r>
      <w:r w:rsidR="00BA0ACD" w:rsidRPr="006D007D">
        <w:rPr>
          <w:highlight w:val="yellow"/>
        </w:rPr>
        <w:t xml:space="preserve">. </w:t>
      </w:r>
    </w:p>
    <w:p w:rsidR="004E5A39" w:rsidRPr="006D007D" w:rsidRDefault="004E5A39" w:rsidP="00EF6711">
      <w:pPr>
        <w:spacing w:after="0" w:line="240" w:lineRule="auto"/>
        <w:jc w:val="both"/>
        <w:rPr>
          <w:highlight w:val="yellow"/>
        </w:rPr>
      </w:pPr>
    </w:p>
    <w:p w:rsidR="004E5A39" w:rsidRPr="006D007D" w:rsidRDefault="004E5A39" w:rsidP="00EF6711">
      <w:pPr>
        <w:spacing w:after="0" w:line="240" w:lineRule="auto"/>
        <w:jc w:val="both"/>
        <w:rPr>
          <w:b/>
          <w:highlight w:val="yellow"/>
        </w:rPr>
      </w:pPr>
      <w:r w:rsidRPr="006D007D">
        <w:rPr>
          <w:b/>
          <w:highlight w:val="yellow"/>
        </w:rPr>
        <w:t>II.3 Discussione sugli aspetti di qualità</w:t>
      </w:r>
    </w:p>
    <w:p w:rsidR="004E5A39" w:rsidRPr="00EF6711" w:rsidRDefault="004E5A39" w:rsidP="00EF6711">
      <w:pPr>
        <w:spacing w:after="0" w:line="240" w:lineRule="auto"/>
        <w:jc w:val="both"/>
      </w:pPr>
      <w:r w:rsidRPr="006D007D">
        <w:rPr>
          <w:highlight w:val="yellow"/>
        </w:rPr>
        <w:t xml:space="preserve">Tutte le criticità evidenziate nel corso della valutazione sono state risolte e la qualità di </w:t>
      </w:r>
      <w:r w:rsidR="000808A3" w:rsidRPr="006D007D">
        <w:rPr>
          <w:rFonts w:eastAsia="Calibri" w:cs="Calibri"/>
          <w:color w:val="000000"/>
          <w:highlight w:val="yellow"/>
          <w:lang w:eastAsia="it-IT"/>
        </w:rPr>
        <w:t xml:space="preserve">&lt;nome medicinale&gt; </w:t>
      </w:r>
      <w:r w:rsidRPr="006D007D">
        <w:rPr>
          <w:highlight w:val="yellow"/>
        </w:rPr>
        <w:t xml:space="preserve">è considerata adeguata. Non ci sono obiezioni per l’approvazione di </w:t>
      </w:r>
      <w:r w:rsidR="00265B61" w:rsidRPr="006D007D">
        <w:rPr>
          <w:rFonts w:eastAsia="Calibri" w:cs="Calibri"/>
          <w:color w:val="000000"/>
          <w:highlight w:val="yellow"/>
          <w:lang w:eastAsia="it-IT"/>
        </w:rPr>
        <w:t>Acido zoledronico Injenerics</w:t>
      </w:r>
      <w:r w:rsidR="00265B61" w:rsidRPr="006D007D">
        <w:rPr>
          <w:highlight w:val="yellow"/>
        </w:rPr>
        <w:t xml:space="preserve"> </w:t>
      </w:r>
      <w:r w:rsidRPr="006D007D">
        <w:rPr>
          <w:highlight w:val="yellow"/>
        </w:rPr>
        <w:t>dal punto di vista chimico-farmaceutico.</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ASPETTI NON CLINICI</w:t>
      </w:r>
    </w:p>
    <w:p w:rsidR="000808A3" w:rsidRDefault="004E5A39" w:rsidP="00EF6711">
      <w:pPr>
        <w:spacing w:after="0" w:line="240" w:lineRule="auto"/>
        <w:jc w:val="both"/>
      </w:pPr>
      <w:r w:rsidRPr="00EF6711">
        <w:t xml:space="preserve">Non sono stati condotti specifici studi non clinici, in quanto </w:t>
      </w:r>
      <w:r w:rsidR="006D007D" w:rsidRPr="00DF190A">
        <w:rPr>
          <w:rFonts w:eastAsia="Calibri" w:cs="Calibri"/>
          <w:color w:val="000000"/>
          <w:lang w:eastAsia="it-IT"/>
        </w:rPr>
        <w:t>Dabigatran etexilato VI.REL Pharma</w:t>
      </w:r>
      <w:r w:rsidR="006D007D">
        <w:t xml:space="preserve"> </w:t>
      </w:r>
      <w:r w:rsidRPr="00EF6711">
        <w:t xml:space="preserve">contiene </w:t>
      </w:r>
      <w:r w:rsidR="00BA0ACD" w:rsidRPr="00EF6711">
        <w:t>un</w:t>
      </w:r>
      <w:r w:rsidRPr="00EF6711">
        <w:t xml:space="preserve"> principi</w:t>
      </w:r>
      <w:r w:rsidR="00BA0ACD" w:rsidRPr="00EF6711">
        <w:t>o</w:t>
      </w:r>
      <w:r w:rsidRPr="00EF6711">
        <w:t xml:space="preserve"> attiv</w:t>
      </w:r>
      <w:r w:rsidR="00BA0ACD" w:rsidRPr="00EF6711">
        <w:t>o</w:t>
      </w:r>
      <w:r w:rsidRPr="00EF6711">
        <w:t xml:space="preserve"> not</w:t>
      </w:r>
      <w:r w:rsidR="00BA0ACD" w:rsidRPr="00EF6711">
        <w:t>o</w:t>
      </w:r>
      <w:r w:rsidRPr="00EF6711">
        <w:t xml:space="preserve"> </w:t>
      </w:r>
      <w:r w:rsidR="00BA0ACD" w:rsidRPr="00EF6711">
        <w:t>presente nel medicinale di riferimento</w:t>
      </w:r>
      <w:r w:rsidRPr="00EF6711">
        <w:t xml:space="preserve">: questo approccio è accettabile poiché il medicinale di riferimento </w:t>
      </w:r>
      <w:r w:rsidR="006D007D">
        <w:rPr>
          <w:rFonts w:eastAsia="Calibri" w:cs="Calibri"/>
          <w:lang w:eastAsia="it-IT"/>
        </w:rPr>
        <w:t>Pradaxa</w:t>
      </w:r>
      <w:r w:rsidR="00C42AAC" w:rsidRPr="00EF6711">
        <w:t xml:space="preserve"> </w:t>
      </w:r>
      <w:r w:rsidRPr="00EF6711">
        <w:t>è autorizzato in Italia da oltre 10 anni</w:t>
      </w:r>
      <w:r w:rsidR="000808A3">
        <w:t>.</w:t>
      </w:r>
    </w:p>
    <w:p w:rsidR="004E5A39" w:rsidRPr="00EF6711" w:rsidRDefault="000808A3" w:rsidP="00EF6711">
      <w:pPr>
        <w:spacing w:after="0" w:line="240" w:lineRule="auto"/>
        <w:jc w:val="both"/>
      </w:pPr>
      <w:r w:rsidRPr="000808A3">
        <w:t xml:space="preserve"> </w:t>
      </w:r>
    </w:p>
    <w:p w:rsidR="004E5A39" w:rsidRPr="00EF6711" w:rsidRDefault="004E5A39" w:rsidP="00EF6711">
      <w:pPr>
        <w:spacing w:after="0" w:line="240" w:lineRule="auto"/>
        <w:jc w:val="both"/>
      </w:pPr>
      <w:r w:rsidRPr="00EF6711">
        <w:t>Non ci sono obiezioni per l’approvazione dal punto di vista non clinico.</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ASPETTI CLINICI</w:t>
      </w:r>
    </w:p>
    <w:p w:rsidR="006D007D" w:rsidRDefault="006D007D" w:rsidP="00265B61">
      <w:pPr>
        <w:tabs>
          <w:tab w:val="left" w:pos="0"/>
        </w:tabs>
        <w:overflowPunct w:val="0"/>
        <w:autoSpaceDE w:val="0"/>
        <w:autoSpaceDN w:val="0"/>
        <w:adjustRightInd w:val="0"/>
        <w:spacing w:after="0" w:line="240" w:lineRule="auto"/>
        <w:jc w:val="both"/>
        <w:textAlignment w:val="baseline"/>
      </w:pPr>
      <w:r w:rsidRPr="00DF190A">
        <w:rPr>
          <w:rFonts w:eastAsia="Calibri" w:cs="Calibri"/>
          <w:color w:val="000000"/>
          <w:lang w:eastAsia="it-IT"/>
        </w:rPr>
        <w:lastRenderedPageBreak/>
        <w:t>Dabigatran etexilato VI.REL Pharma</w:t>
      </w:r>
      <w:r>
        <w:t xml:space="preserve"> è utilizzato :</w:t>
      </w:r>
    </w:p>
    <w:p w:rsidR="006D007D" w:rsidRDefault="006D007D" w:rsidP="006D007D">
      <w:pPr>
        <w:tabs>
          <w:tab w:val="left" w:pos="0"/>
        </w:tabs>
        <w:overflowPunct w:val="0"/>
        <w:autoSpaceDE w:val="0"/>
        <w:autoSpaceDN w:val="0"/>
        <w:adjustRightInd w:val="0"/>
        <w:spacing w:after="0" w:line="240" w:lineRule="auto"/>
        <w:jc w:val="both"/>
        <w:textAlignment w:val="baseline"/>
      </w:pPr>
      <w:r>
        <w:t xml:space="preserve">- </w:t>
      </w:r>
      <w:r w:rsidRPr="00C67874">
        <w:t>Prevenzione primaria di episodi tromboembolici in pazienti adulti sottoposti a chirurgia sostitutiva elettiva totale dell’anca o del ginocchio.</w:t>
      </w:r>
      <w:r>
        <w:t xml:space="preserve"> (dosaggio da 75 mg e 110mg)</w:t>
      </w:r>
    </w:p>
    <w:p w:rsidR="006D007D" w:rsidRPr="00C67874" w:rsidRDefault="006D007D" w:rsidP="006D007D">
      <w:pPr>
        <w:tabs>
          <w:tab w:val="left" w:pos="0"/>
        </w:tabs>
        <w:overflowPunct w:val="0"/>
        <w:autoSpaceDE w:val="0"/>
        <w:autoSpaceDN w:val="0"/>
        <w:adjustRightInd w:val="0"/>
        <w:spacing w:after="0" w:line="240" w:lineRule="auto"/>
        <w:jc w:val="both"/>
        <w:textAlignment w:val="baseline"/>
        <w:rPr>
          <w:rFonts w:ascii="Calibri" w:eastAsia="Calibri" w:hAnsi="Calibri" w:cs="Times New Roman"/>
        </w:rPr>
      </w:pPr>
      <w:r>
        <w:t xml:space="preserve">- </w:t>
      </w:r>
      <w:r w:rsidRPr="00C67874">
        <w:rPr>
          <w:rFonts w:ascii="Calibri" w:eastAsia="Calibri" w:hAnsi="Calibri" w:cs="Times New Roman"/>
        </w:rPr>
        <w:t>Prevenzione di ictus e embolia sistemica in pazienti adulti con fibrillazione atriale non-valvolare (FANV), con uno o più fattori di rischio, quali precedente ictus o attacco ischemico transitorio (TIA); età ≥ 75 anni; insufficienza cardiaca (Classe NYHA ≥ II); diabete mellito; ipertensione.</w:t>
      </w:r>
      <w:r>
        <w:t xml:space="preserve"> (dosaggio da 110mg e 150mg)</w:t>
      </w:r>
    </w:p>
    <w:p w:rsidR="006D007D" w:rsidRPr="00C67874" w:rsidRDefault="006D007D" w:rsidP="006D007D">
      <w:pPr>
        <w:tabs>
          <w:tab w:val="left" w:pos="0"/>
        </w:tabs>
        <w:overflowPunct w:val="0"/>
        <w:autoSpaceDE w:val="0"/>
        <w:autoSpaceDN w:val="0"/>
        <w:adjustRightInd w:val="0"/>
        <w:spacing w:after="0" w:line="240" w:lineRule="auto"/>
        <w:jc w:val="both"/>
        <w:textAlignment w:val="baseline"/>
        <w:rPr>
          <w:rFonts w:ascii="Calibri" w:eastAsia="Calibri" w:hAnsi="Calibri" w:cs="Times New Roman"/>
        </w:rPr>
      </w:pPr>
      <w:r>
        <w:t xml:space="preserve">- </w:t>
      </w:r>
      <w:r w:rsidRPr="00C67874">
        <w:rPr>
          <w:rFonts w:ascii="Calibri" w:eastAsia="Calibri" w:hAnsi="Calibri" w:cs="Times New Roman"/>
        </w:rPr>
        <w:t>Trattamento della trombosi venosa profonda (TVP) e dell’embolia polmonare (EP) e prevenzione delle recidive di TVP e EP negli adulti.</w:t>
      </w:r>
      <w:r>
        <w:t>(dosaggio da 110mg e 150 mg)</w:t>
      </w:r>
    </w:p>
    <w:p w:rsidR="004E5A39" w:rsidRPr="00EF6711" w:rsidRDefault="004E5A39" w:rsidP="00EF6711">
      <w:pPr>
        <w:spacing w:after="0" w:line="240" w:lineRule="auto"/>
        <w:ind w:right="6"/>
        <w:jc w:val="both"/>
      </w:pPr>
    </w:p>
    <w:p w:rsidR="004E5A39" w:rsidRPr="00EF6711" w:rsidRDefault="004E5A39" w:rsidP="00EF6711">
      <w:pPr>
        <w:spacing w:after="0" w:line="240" w:lineRule="auto"/>
        <w:ind w:right="6"/>
        <w:jc w:val="both"/>
        <w:rPr>
          <w:b/>
        </w:rPr>
      </w:pPr>
      <w:r w:rsidRPr="00EF6711">
        <w:rPr>
          <w:b/>
        </w:rPr>
        <w:t>Posologia e modalità di somministrazione</w:t>
      </w:r>
    </w:p>
    <w:p w:rsidR="004E5A39" w:rsidRPr="00EF6711" w:rsidRDefault="004E5A39" w:rsidP="00EF6711">
      <w:pPr>
        <w:spacing w:after="0" w:line="240" w:lineRule="auto"/>
        <w:ind w:right="6"/>
        <w:jc w:val="both"/>
        <w:rPr>
          <w:rFonts w:eastAsia="Calibri" w:cs="Calibri"/>
          <w:lang w:eastAsia="it-IT"/>
        </w:rPr>
      </w:pPr>
      <w:r w:rsidRPr="00EF6711">
        <w:t>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hyperlink r:id="rId8"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rsidR="004E5A39" w:rsidRPr="00EF6711" w:rsidRDefault="004E5A39" w:rsidP="00EF6711">
      <w:pPr>
        <w:spacing w:after="0" w:line="240" w:lineRule="auto"/>
        <w:ind w:right="6"/>
        <w:jc w:val="both"/>
        <w:rPr>
          <w:rFonts w:eastAsia="Calibri" w:cs="Calibri"/>
          <w:lang w:eastAsia="it-IT"/>
        </w:rPr>
      </w:pPr>
    </w:p>
    <w:p w:rsidR="004E5A39" w:rsidRPr="00EF6711" w:rsidRDefault="004E5A39" w:rsidP="00EF6711">
      <w:pPr>
        <w:spacing w:after="0" w:line="240" w:lineRule="auto"/>
        <w:ind w:right="6"/>
        <w:jc w:val="both"/>
        <w:rPr>
          <w:rFonts w:eastAsia="Calibri" w:cs="Calibri"/>
          <w:b/>
          <w:lang w:eastAsia="it-IT"/>
        </w:rPr>
      </w:pPr>
      <w:r w:rsidRPr="00EF6711">
        <w:rPr>
          <w:rFonts w:eastAsia="Calibri" w:cs="Calibri"/>
          <w:b/>
          <w:lang w:eastAsia="it-IT"/>
        </w:rPr>
        <w:t>Tossicologia</w:t>
      </w:r>
    </w:p>
    <w:p w:rsidR="004E5A39" w:rsidRPr="00EF6711" w:rsidRDefault="004E5A39" w:rsidP="00EF6711">
      <w:pPr>
        <w:spacing w:after="0" w:line="240" w:lineRule="auto"/>
        <w:ind w:right="6"/>
        <w:jc w:val="both"/>
        <w:rPr>
          <w:rFonts w:eastAsia="Calibri" w:cs="Calibri"/>
          <w:lang w:eastAsia="it-IT"/>
        </w:rPr>
      </w:pPr>
      <w:r w:rsidRPr="00EF6711">
        <w:rPr>
          <w:rFonts w:eastAsia="Calibri" w:cs="Calibri"/>
          <w:lang w:eastAsia="it-IT"/>
        </w:rPr>
        <w:t xml:space="preserve">La tossicologia di </w:t>
      </w:r>
      <w:r w:rsidR="006D007D" w:rsidRPr="00DF190A">
        <w:rPr>
          <w:rFonts w:eastAsia="Calibri" w:cs="Calibri"/>
          <w:color w:val="000000"/>
          <w:lang w:eastAsia="it-IT"/>
        </w:rPr>
        <w:t xml:space="preserve">Dabigatran etexilato </w:t>
      </w:r>
      <w:r w:rsidRPr="00EF6711">
        <w:rPr>
          <w:rFonts w:eastAsia="Calibri" w:cs="Calibri"/>
          <w:lang w:eastAsia="it-IT"/>
        </w:rPr>
        <w:t>è ben conosciuta; non è stato necessario presentare ulteriori dati.</w:t>
      </w:r>
    </w:p>
    <w:p w:rsidR="004E5A39" w:rsidRDefault="004E5A39" w:rsidP="00EF6711">
      <w:pPr>
        <w:spacing w:after="0" w:line="240" w:lineRule="auto"/>
        <w:ind w:right="6"/>
        <w:jc w:val="both"/>
        <w:rPr>
          <w:rFonts w:eastAsia="Calibri" w:cs="Calibri"/>
          <w:lang w:eastAsia="it-IT"/>
        </w:rPr>
      </w:pPr>
    </w:p>
    <w:p w:rsidR="004E5A39" w:rsidRPr="006727BD" w:rsidRDefault="004E5A39" w:rsidP="00EF6711">
      <w:pPr>
        <w:spacing w:after="0" w:line="240" w:lineRule="auto"/>
        <w:ind w:right="6"/>
        <w:jc w:val="both"/>
        <w:rPr>
          <w:rFonts w:eastAsia="Times New Roman" w:cs="Times New Roman"/>
          <w:b/>
        </w:rPr>
      </w:pPr>
      <w:r w:rsidRPr="006727BD">
        <w:rPr>
          <w:rFonts w:eastAsia="Times New Roman" w:cs="Times New Roman"/>
          <w:b/>
        </w:rPr>
        <w:t>Farmacologia clinica</w:t>
      </w:r>
    </w:p>
    <w:p w:rsidR="00BE7CDB" w:rsidRPr="006727BD" w:rsidRDefault="004E5A39" w:rsidP="00BE7CDB">
      <w:pPr>
        <w:spacing w:after="0" w:line="240" w:lineRule="auto"/>
        <w:jc w:val="both"/>
      </w:pPr>
      <w:r w:rsidRPr="006727BD">
        <w:rPr>
          <w:rFonts w:eastAsia="Calibri" w:cs="Calibri"/>
          <w:lang w:eastAsia="it-IT"/>
        </w:rPr>
        <w:t xml:space="preserve">La farmacologia clinica di </w:t>
      </w:r>
      <w:r w:rsidR="006D007D" w:rsidRPr="00DF190A">
        <w:rPr>
          <w:rFonts w:eastAsia="Calibri" w:cs="Calibri"/>
          <w:color w:val="000000"/>
          <w:lang w:eastAsia="it-IT"/>
        </w:rPr>
        <w:t xml:space="preserve">Dabigatran etexilato </w:t>
      </w:r>
      <w:r w:rsidRPr="006727BD">
        <w:rPr>
          <w:rFonts w:eastAsia="Calibri" w:cs="Calibri"/>
          <w:lang w:eastAsia="it-IT"/>
        </w:rPr>
        <w:t>è ben conosciuta.</w:t>
      </w:r>
      <w:r w:rsidRPr="006727BD">
        <w:t xml:space="preserve"> </w:t>
      </w:r>
      <w:r w:rsidR="006D007D" w:rsidRPr="00DF190A">
        <w:rPr>
          <w:rFonts w:eastAsia="Calibri" w:cs="Calibri"/>
          <w:color w:val="000000"/>
          <w:lang w:eastAsia="it-IT"/>
        </w:rPr>
        <w:t>Dabigatran etexilato VI.REL Pharma</w:t>
      </w:r>
      <w:r w:rsidR="006D007D">
        <w:t xml:space="preserve"> </w:t>
      </w:r>
      <w:r w:rsidRPr="006727BD">
        <w:t xml:space="preserve">contiene </w:t>
      </w:r>
      <w:r w:rsidR="00BA0ACD" w:rsidRPr="006727BD">
        <w:t>un</w:t>
      </w:r>
      <w:r w:rsidRPr="006727BD">
        <w:t xml:space="preserve"> principi</w:t>
      </w:r>
      <w:r w:rsidR="00BA0ACD" w:rsidRPr="006727BD">
        <w:t>o</w:t>
      </w:r>
      <w:r w:rsidRPr="006727BD">
        <w:t xml:space="preserve"> attiv</w:t>
      </w:r>
      <w:r w:rsidR="00BA0ACD" w:rsidRPr="006727BD">
        <w:t>o</w:t>
      </w:r>
      <w:r w:rsidRPr="006727BD">
        <w:t xml:space="preserve"> not</w:t>
      </w:r>
      <w:r w:rsidR="00BA0ACD" w:rsidRPr="006727BD">
        <w:t>o</w:t>
      </w:r>
      <w:r w:rsidRPr="006727BD">
        <w:t xml:space="preserve"> present</w:t>
      </w:r>
      <w:r w:rsidR="00BA0ACD" w:rsidRPr="006727BD">
        <w:t>e</w:t>
      </w:r>
      <w:r w:rsidRPr="006727BD">
        <w:t xml:space="preserve"> nel medicinale </w:t>
      </w:r>
      <w:r w:rsidR="00BA0ACD" w:rsidRPr="006727BD">
        <w:t xml:space="preserve">di riferimento </w:t>
      </w:r>
      <w:r w:rsidR="006D007D">
        <w:t>Pradaxa</w:t>
      </w:r>
      <w:r w:rsidRPr="006727BD">
        <w:t xml:space="preserve"> autorizzato in Italia da più di 10 anni.</w:t>
      </w:r>
      <w:r w:rsidR="006727BD" w:rsidRPr="006727BD">
        <w:t xml:space="preserve"> </w:t>
      </w:r>
      <w:r w:rsidR="00BE7CDB" w:rsidRPr="006727BD">
        <w:t xml:space="preserve">Con l’eccezione dello studio di bioequivalenza, non sono stati condotti nuovi studi clinici di farmacodinamica e farmacocinetica, in quanto </w:t>
      </w:r>
      <w:r w:rsidR="006D007D" w:rsidRPr="00DF190A">
        <w:rPr>
          <w:rFonts w:eastAsia="Calibri" w:cs="Calibri"/>
          <w:color w:val="000000"/>
          <w:lang w:eastAsia="it-IT"/>
        </w:rPr>
        <w:t>Dabigatran etexilato VI.REL Pharma</w:t>
      </w:r>
      <w:r w:rsidR="006D007D">
        <w:t xml:space="preserve"> </w:t>
      </w:r>
      <w:r w:rsidR="00BE7CDB" w:rsidRPr="006727BD">
        <w:t xml:space="preserve">contiene un principio attivo noto e presente nel medicinale </w:t>
      </w:r>
      <w:r w:rsidR="006727BD">
        <w:t xml:space="preserve">di riferimento </w:t>
      </w:r>
      <w:r w:rsidR="006D007D">
        <w:t>Pradaxa</w:t>
      </w:r>
      <w:r w:rsidR="00BE7CDB" w:rsidRPr="006727BD">
        <w:t xml:space="preserve"> autorizzato in Italia da più di 10 anni.</w:t>
      </w:r>
    </w:p>
    <w:p w:rsidR="004E5A39" w:rsidRDefault="004E5A39" w:rsidP="00EF6711">
      <w:pPr>
        <w:spacing w:after="0" w:line="240" w:lineRule="auto"/>
        <w:jc w:val="both"/>
        <w:rPr>
          <w:highlight w:val="cyan"/>
        </w:rPr>
      </w:pPr>
    </w:p>
    <w:p w:rsidR="006727BD" w:rsidRPr="009F16FA" w:rsidRDefault="006727BD" w:rsidP="006727BD">
      <w:pPr>
        <w:spacing w:after="0" w:line="240" w:lineRule="auto"/>
        <w:jc w:val="both"/>
        <w:rPr>
          <w:b/>
        </w:rPr>
      </w:pPr>
      <w:r w:rsidRPr="006727BD">
        <w:rPr>
          <w:b/>
        </w:rPr>
        <w:t>Studio di bioequivalenza</w:t>
      </w:r>
    </w:p>
    <w:p w:rsidR="005049A1" w:rsidRPr="009F5FC7" w:rsidRDefault="005049A1" w:rsidP="005049A1">
      <w:pPr>
        <w:spacing w:after="0" w:line="240" w:lineRule="auto"/>
        <w:jc w:val="both"/>
      </w:pPr>
      <w:r w:rsidRPr="009F5FC7">
        <w:t xml:space="preserve">La richiesta di AIC è supportata da uno studio di bioequivalenza che ha confrontato i profili farmacocinetici di </w:t>
      </w:r>
      <w:r w:rsidR="006D007D" w:rsidRPr="00DF190A">
        <w:rPr>
          <w:rFonts w:eastAsia="Calibri" w:cs="Calibri"/>
          <w:color w:val="000000"/>
          <w:lang w:eastAsia="it-IT"/>
        </w:rPr>
        <w:t>Dabigatran etexilato VI.REL Pharma</w:t>
      </w:r>
      <w:r w:rsidR="006D007D">
        <w:t xml:space="preserve"> </w:t>
      </w:r>
      <w:r w:rsidRPr="009F5FC7">
        <w:t xml:space="preserve">e quelli del medicinale </w:t>
      </w:r>
      <w:r>
        <w:t xml:space="preserve">di riferimento </w:t>
      </w:r>
      <w:r w:rsidR="006D007D">
        <w:t>Pradaxa</w:t>
      </w:r>
    </w:p>
    <w:p w:rsidR="005049A1" w:rsidRPr="009F5FC7" w:rsidRDefault="005049A1" w:rsidP="005049A1">
      <w:pPr>
        <w:pStyle w:val="Paragrafoelenco"/>
        <w:spacing w:after="0" w:line="240" w:lineRule="auto"/>
        <w:ind w:left="0"/>
        <w:jc w:val="both"/>
      </w:pPr>
      <w:r w:rsidRPr="009F5FC7">
        <w:t>Lo studio era caratterizzato da un appropriato disegno ed è stato condotto in accordo ai principi GCP.</w:t>
      </w:r>
    </w:p>
    <w:p w:rsidR="005049A1" w:rsidRPr="009F5FC7" w:rsidRDefault="005049A1" w:rsidP="005049A1">
      <w:pPr>
        <w:pStyle w:val="Paragrafoelenco"/>
        <w:spacing w:after="0" w:line="240" w:lineRule="auto"/>
        <w:ind w:left="0"/>
        <w:jc w:val="both"/>
      </w:pPr>
      <w:r w:rsidRPr="009F5FC7">
        <w:t>Sono stati forniti certificati analitici per medicinale test e medicinale di riferimento.</w:t>
      </w:r>
    </w:p>
    <w:p w:rsidR="005049A1" w:rsidRDefault="005049A1" w:rsidP="005049A1">
      <w:pPr>
        <w:spacing w:after="0" w:line="240" w:lineRule="auto"/>
        <w:jc w:val="both"/>
      </w:pPr>
      <w:r w:rsidRPr="00333936">
        <w:rPr>
          <w:rFonts w:ascii="Calibri" w:hAnsi="Calibri"/>
        </w:rPr>
        <w:t xml:space="preserve">L’utilizzo del solo dosaggio </w:t>
      </w:r>
      <w:r w:rsidR="006D007D">
        <w:t>maggiore 15</w:t>
      </w:r>
      <w:r w:rsidRPr="00333936">
        <w:t>0 mg per lo studio di bioequivalenza è st</w:t>
      </w:r>
      <w:r w:rsidR="006D007D">
        <w:t>ato opportunamente giustificato</w:t>
      </w:r>
      <w:r>
        <w:t>.</w:t>
      </w:r>
    </w:p>
    <w:p w:rsidR="005049A1" w:rsidRPr="005D5D07" w:rsidRDefault="005049A1" w:rsidP="005049A1">
      <w:pPr>
        <w:spacing w:after="0" w:line="240" w:lineRule="auto"/>
        <w:jc w:val="both"/>
        <w:rPr>
          <w:rFonts w:ascii="Calibri" w:hAnsi="Calibri" w:cs="Arial"/>
        </w:rPr>
      </w:pPr>
      <w:r w:rsidRPr="007469AE">
        <w:rPr>
          <w:rFonts w:ascii="Calibri" w:hAnsi="Calibri"/>
        </w:rPr>
        <w:t xml:space="preserve">Lo studio di bioequivalenza è </w:t>
      </w:r>
      <w:r>
        <w:rPr>
          <w:rFonts w:ascii="Calibri" w:hAnsi="Calibri"/>
        </w:rPr>
        <w:t xml:space="preserve"> uno studio </w:t>
      </w:r>
      <w:r w:rsidRPr="005D5D07">
        <w:rPr>
          <w:rFonts w:ascii="Calibri" w:hAnsi="Calibri"/>
        </w:rPr>
        <w:t xml:space="preserve">comparativo, randomizzato, </w:t>
      </w:r>
      <w:r w:rsidR="006D007D">
        <w:rPr>
          <w:rFonts w:ascii="Calibri" w:hAnsi="Calibri"/>
        </w:rPr>
        <w:t xml:space="preserve">in replicato, </w:t>
      </w:r>
      <w:r w:rsidRPr="005D5D07">
        <w:rPr>
          <w:rFonts w:ascii="Calibri" w:hAnsi="Calibri"/>
        </w:rPr>
        <w:t xml:space="preserve">a dose singola, </w:t>
      </w:r>
      <w:r w:rsidRPr="00F36FEA">
        <w:rPr>
          <w:rFonts w:ascii="Calibri" w:hAnsi="Calibri"/>
        </w:rPr>
        <w:t xml:space="preserve">crossover condotto in </w:t>
      </w:r>
      <w:r w:rsidR="006D007D">
        <w:rPr>
          <w:rFonts w:ascii="Calibri" w:hAnsi="Calibri"/>
        </w:rPr>
        <w:t>44</w:t>
      </w:r>
      <w:r w:rsidRPr="00F36FEA">
        <w:rPr>
          <w:rFonts w:ascii="Calibri" w:hAnsi="Calibri"/>
        </w:rPr>
        <w:t xml:space="preserve"> volontari sani con somministrazione a digiuno. </w:t>
      </w:r>
      <w:r w:rsidRPr="00F36FEA">
        <w:rPr>
          <w:rFonts w:ascii="Calibri" w:hAnsi="Calibri" w:cs="Arial"/>
        </w:rPr>
        <w:t xml:space="preserve">Dopo una notte di digiuno, il medicinale è stato somministrato con acqua. </w:t>
      </w:r>
      <w:r w:rsidRPr="00F36FEA">
        <w:rPr>
          <w:rFonts w:ascii="Calibri" w:hAnsi="Calibri"/>
        </w:rPr>
        <w:t xml:space="preserve">Un soddisfacente periodo di wash-out di </w:t>
      </w:r>
      <w:r w:rsidR="006D007D">
        <w:rPr>
          <w:rFonts w:ascii="Calibri" w:hAnsi="Calibri" w:cs="Arial"/>
        </w:rPr>
        <w:t>7</w:t>
      </w:r>
      <w:r w:rsidRPr="00F36FEA">
        <w:rPr>
          <w:rFonts w:ascii="Calibri" w:hAnsi="Calibri" w:cs="Arial"/>
        </w:rPr>
        <w:t xml:space="preserve"> giorni è stato previsto tra le somministrazioni in ogni gruppo.</w:t>
      </w:r>
    </w:p>
    <w:p w:rsidR="005049A1" w:rsidRPr="009F5FC7" w:rsidRDefault="005049A1" w:rsidP="005049A1">
      <w:pPr>
        <w:spacing w:after="0" w:line="240" w:lineRule="auto"/>
        <w:jc w:val="both"/>
        <w:rPr>
          <w:rFonts w:ascii="Calibri" w:hAnsi="Calibri" w:cs="Arial"/>
        </w:rPr>
      </w:pPr>
      <w:r w:rsidRPr="009F5FC7">
        <w:rPr>
          <w:rFonts w:ascii="Calibri" w:hAnsi="Calibri" w:cs="Arial"/>
        </w:rPr>
        <w:t xml:space="preserve">Campioni di sangue sono stati prelevati al tempo zero (pre-dose) e a specificati tempi fino a </w:t>
      </w:r>
      <w:r w:rsidR="006D007D">
        <w:rPr>
          <w:rFonts w:ascii="Calibri" w:hAnsi="Calibri" w:cs="Arial"/>
        </w:rPr>
        <w:t>48</w:t>
      </w:r>
      <w:r w:rsidRPr="009F5FC7">
        <w:rPr>
          <w:rFonts w:ascii="Calibri" w:hAnsi="Calibri" w:cs="Arial"/>
        </w:rPr>
        <w:t xml:space="preserve"> ore dopo la somministrazione. I livelli plasmatici di </w:t>
      </w:r>
      <w:r w:rsidR="006D007D" w:rsidRPr="00DF190A">
        <w:rPr>
          <w:rFonts w:eastAsia="Calibri" w:cs="Calibri"/>
          <w:color w:val="000000"/>
          <w:lang w:eastAsia="it-IT"/>
        </w:rPr>
        <w:t xml:space="preserve">Dabigatran etexilato </w:t>
      </w:r>
      <w:r w:rsidRPr="009F5FC7">
        <w:rPr>
          <w:rFonts w:ascii="Calibri" w:hAnsi="Calibri" w:cs="Arial"/>
        </w:rPr>
        <w:t xml:space="preserve">sono stati determinati mediante un metodo analitico </w:t>
      </w:r>
      <w:r w:rsidR="006D007D" w:rsidRPr="009457D0">
        <w:rPr>
          <w:rFonts w:cs="Arial"/>
        </w:rPr>
        <w:t>HPLC-MS-MS</w:t>
      </w:r>
      <w:r w:rsidRPr="009F5FC7">
        <w:rPr>
          <w:rFonts w:ascii="Calibri" w:hAnsi="Calibri" w:cs="Arial"/>
        </w:rPr>
        <w:t xml:space="preserve"> opportunamente convalidato.</w:t>
      </w:r>
    </w:p>
    <w:p w:rsidR="005049A1" w:rsidRPr="009F5FC7" w:rsidRDefault="005049A1" w:rsidP="005049A1">
      <w:pPr>
        <w:pStyle w:val="Paragrafoelenco"/>
        <w:spacing w:after="0" w:line="240" w:lineRule="auto"/>
        <w:ind w:left="0"/>
        <w:jc w:val="both"/>
        <w:rPr>
          <w:rFonts w:ascii="Calibri" w:hAnsi="Calibri" w:cs="Arial"/>
        </w:rPr>
      </w:pPr>
      <w:r>
        <w:rPr>
          <w:rFonts w:ascii="Calibri" w:hAnsi="Calibri" w:cs="Arial"/>
        </w:rPr>
        <w:t xml:space="preserve">Per </w:t>
      </w:r>
      <w:r w:rsidR="006D007D">
        <w:rPr>
          <w:rFonts w:eastAsia="Calibri" w:cs="Calibri"/>
          <w:color w:val="000000"/>
          <w:lang w:eastAsia="it-IT"/>
        </w:rPr>
        <w:t>d</w:t>
      </w:r>
      <w:r w:rsidR="006D007D" w:rsidRPr="00DF190A">
        <w:rPr>
          <w:rFonts w:eastAsia="Calibri" w:cs="Calibri"/>
          <w:color w:val="000000"/>
          <w:lang w:eastAsia="it-IT"/>
        </w:rPr>
        <w:t>abigatran etexilato</w:t>
      </w:r>
      <w:r w:rsidR="006D007D">
        <w:rPr>
          <w:rFonts w:eastAsia="Calibri" w:cs="Calibri"/>
          <w:color w:val="000000"/>
          <w:lang w:eastAsia="it-IT"/>
        </w:rPr>
        <w:t xml:space="preserve"> libero e totale</w:t>
      </w:r>
      <w:r w:rsidR="006D007D" w:rsidRPr="00DF190A">
        <w:rPr>
          <w:rFonts w:eastAsia="Calibri" w:cs="Calibri"/>
          <w:color w:val="000000"/>
          <w:lang w:eastAsia="it-IT"/>
        </w:rPr>
        <w:t xml:space="preserve"> </w:t>
      </w:r>
      <w:r>
        <w:rPr>
          <w:rFonts w:ascii="Calibri" w:hAnsi="Calibri" w:cs="Arial"/>
        </w:rPr>
        <w:t xml:space="preserve">sono state definite le seguenti </w:t>
      </w:r>
      <w:r w:rsidRPr="009F5FC7">
        <w:rPr>
          <w:rFonts w:ascii="Calibri" w:hAnsi="Calibri" w:cs="Arial"/>
        </w:rPr>
        <w:t>variabili farmacocinetiche: C</w:t>
      </w:r>
      <w:r w:rsidRPr="009F5FC7">
        <w:rPr>
          <w:rFonts w:ascii="Calibri" w:hAnsi="Calibri" w:cs="Arial"/>
          <w:vertAlign w:val="subscript"/>
        </w:rPr>
        <w:t>max</w:t>
      </w:r>
      <w:r w:rsidRPr="009F5FC7">
        <w:rPr>
          <w:rFonts w:ascii="Calibri" w:hAnsi="Calibri" w:cs="Arial"/>
        </w:rPr>
        <w:t>, AUC</w:t>
      </w:r>
      <w:r w:rsidRPr="009F5FC7">
        <w:rPr>
          <w:rFonts w:ascii="Calibri" w:hAnsi="Calibri" w:cs="Arial"/>
          <w:vertAlign w:val="subscript"/>
        </w:rPr>
        <w:t>0-t</w:t>
      </w:r>
      <w:r w:rsidRPr="009F5FC7">
        <w:rPr>
          <w:rFonts w:ascii="Calibri" w:hAnsi="Calibri" w:cs="Arial"/>
        </w:rPr>
        <w:t>,, AUC</w:t>
      </w:r>
      <w:r w:rsidRPr="009F5FC7">
        <w:rPr>
          <w:rFonts w:ascii="Calibri" w:hAnsi="Calibri" w:cs="Arial"/>
          <w:vertAlign w:val="subscript"/>
        </w:rPr>
        <w:t>0-</w:t>
      </w:r>
      <w:r w:rsidRPr="009F5FC7">
        <w:rPr>
          <w:rFonts w:ascii="Calibri" w:hAnsi="Calibri" w:cs="Arial"/>
          <w:vertAlign w:val="subscript"/>
          <w:lang w:val="en-GB"/>
        </w:rPr>
        <w:sym w:font="Symbol" w:char="00A5"/>
      </w:r>
      <w:r w:rsidRPr="009F5FC7">
        <w:rPr>
          <w:rFonts w:ascii="Calibri" w:hAnsi="Calibri" w:cs="Arial"/>
        </w:rPr>
        <w:t>, t</w:t>
      </w:r>
      <w:r w:rsidRPr="009F5FC7">
        <w:rPr>
          <w:rFonts w:ascii="Calibri" w:hAnsi="Calibri" w:cs="Arial"/>
          <w:vertAlign w:val="subscript"/>
        </w:rPr>
        <w:t>max</w:t>
      </w:r>
      <w:r w:rsidRPr="009F5FC7">
        <w:rPr>
          <w:rFonts w:ascii="Calibri" w:hAnsi="Calibri" w:cs="Arial"/>
        </w:rPr>
        <w:t>, t½ e AUC estrapolata. La bioequivalenza tra medicinale test e medicinale di riferimento è dimostrata se gli intervalli di confidenza al 90% per la trasformata logaritmica di C</w:t>
      </w:r>
      <w:r w:rsidRPr="009F5FC7">
        <w:rPr>
          <w:rFonts w:ascii="Calibri" w:hAnsi="Calibri" w:cs="Arial"/>
          <w:vertAlign w:val="subscript"/>
        </w:rPr>
        <w:t>max</w:t>
      </w:r>
      <w:r w:rsidRPr="009F5FC7">
        <w:rPr>
          <w:rFonts w:ascii="Calibri" w:hAnsi="Calibri" w:cs="Arial"/>
        </w:rPr>
        <w:t xml:space="preserve"> e AUC</w:t>
      </w:r>
      <w:r w:rsidRPr="009F5FC7">
        <w:rPr>
          <w:rFonts w:ascii="Calibri" w:hAnsi="Calibri" w:cs="Arial"/>
          <w:vertAlign w:val="subscript"/>
        </w:rPr>
        <w:t>0-t</w:t>
      </w:r>
      <w:r w:rsidRPr="009F5FC7">
        <w:rPr>
          <w:rFonts w:ascii="Calibri" w:hAnsi="Calibri" w:cs="Arial"/>
        </w:rPr>
        <w:t>,,  cadono nel range di accettabilità di 0.80-1.25 (80%-125%).</w:t>
      </w:r>
    </w:p>
    <w:p w:rsidR="005049A1" w:rsidRPr="009F5FC7" w:rsidRDefault="005049A1" w:rsidP="005049A1">
      <w:pPr>
        <w:pStyle w:val="Paragrafoelenco"/>
        <w:spacing w:after="0" w:line="240" w:lineRule="auto"/>
        <w:ind w:left="0"/>
        <w:jc w:val="both"/>
      </w:pPr>
    </w:p>
    <w:p w:rsidR="005049A1" w:rsidRPr="009F5FC7" w:rsidRDefault="005049A1" w:rsidP="005049A1">
      <w:pPr>
        <w:pStyle w:val="Paragrafoelenco"/>
        <w:spacing w:after="0" w:line="240" w:lineRule="auto"/>
        <w:ind w:left="0"/>
        <w:jc w:val="both"/>
        <w:rPr>
          <w:u w:val="single"/>
        </w:rPr>
      </w:pPr>
      <w:r w:rsidRPr="009F5FC7">
        <w:rPr>
          <w:u w:val="single"/>
        </w:rPr>
        <w:t>Risultati</w:t>
      </w:r>
    </w:p>
    <w:p w:rsidR="005049A1" w:rsidRPr="009F5FC7" w:rsidRDefault="006D007D" w:rsidP="005049A1">
      <w:pPr>
        <w:pStyle w:val="Paragrafoelenco"/>
        <w:spacing w:after="0" w:line="240" w:lineRule="auto"/>
        <w:ind w:left="0"/>
        <w:jc w:val="both"/>
        <w:rPr>
          <w:rFonts w:ascii="Calibri" w:hAnsi="Calibri" w:cs="Arial"/>
        </w:rPr>
      </w:pPr>
      <w:r>
        <w:rPr>
          <w:rFonts w:ascii="Calibri" w:hAnsi="Calibri" w:cs="Arial"/>
        </w:rPr>
        <w:t xml:space="preserve">44 </w:t>
      </w:r>
      <w:r w:rsidR="005049A1" w:rsidRPr="009F5FC7">
        <w:rPr>
          <w:rFonts w:ascii="Calibri" w:hAnsi="Calibri" w:cs="Arial"/>
        </w:rPr>
        <w:t xml:space="preserve">volontari sani sono stati arruolati nello studio. </w:t>
      </w:r>
      <w:r>
        <w:rPr>
          <w:rFonts w:ascii="Calibri" w:hAnsi="Calibri" w:cs="Arial"/>
        </w:rPr>
        <w:t xml:space="preserve"> Tutti i</w:t>
      </w:r>
      <w:r w:rsidR="005049A1" w:rsidRPr="009F5FC7">
        <w:rPr>
          <w:rFonts w:ascii="Calibri" w:hAnsi="Calibri" w:cs="Arial"/>
        </w:rPr>
        <w:t xml:space="preserve"> soggetti </w:t>
      </w:r>
      <w:r w:rsidR="005049A1" w:rsidRPr="009F5FC7">
        <w:t xml:space="preserve">hanno completato la fase clinica e </w:t>
      </w:r>
      <w:r w:rsidR="005049A1" w:rsidRPr="009F5FC7">
        <w:rPr>
          <w:rFonts w:ascii="Calibri" w:hAnsi="Calibri" w:cs="Arial"/>
        </w:rPr>
        <w:t>sono stati inclusi nell’analisi farmacocinetica.</w:t>
      </w:r>
    </w:p>
    <w:p w:rsidR="005049A1" w:rsidRPr="009F5FC7" w:rsidRDefault="005049A1" w:rsidP="005049A1">
      <w:pPr>
        <w:pStyle w:val="Didascalia"/>
        <w:keepNext/>
        <w:spacing w:before="0" w:after="0"/>
        <w:jc w:val="both"/>
        <w:outlineLvl w:val="0"/>
        <w:rPr>
          <w:rFonts w:ascii="Calibri" w:hAnsi="Calibri" w:cs="Arial"/>
          <w:b w:val="0"/>
          <w:i/>
          <w:sz w:val="22"/>
          <w:szCs w:val="22"/>
          <w:lang w:val="it-IT"/>
        </w:rPr>
      </w:pPr>
    </w:p>
    <w:p w:rsidR="005049A1" w:rsidRPr="009F5FC7" w:rsidRDefault="005049A1" w:rsidP="005049A1">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Sicurezza</w:t>
      </w:r>
    </w:p>
    <w:p w:rsidR="005049A1" w:rsidRPr="009F5FC7" w:rsidRDefault="005049A1" w:rsidP="005049A1">
      <w:pPr>
        <w:autoSpaceDE w:val="0"/>
        <w:autoSpaceDN w:val="0"/>
        <w:adjustRightInd w:val="0"/>
        <w:spacing w:after="0" w:line="240" w:lineRule="auto"/>
        <w:jc w:val="both"/>
        <w:rPr>
          <w:rFonts w:ascii="Calibri" w:hAnsi="Calibri" w:cs="Arial"/>
          <w:b/>
        </w:rPr>
      </w:pPr>
      <w:r w:rsidRPr="009F5FC7">
        <w:rPr>
          <w:rFonts w:ascii="Calibri" w:hAnsi="Calibri" w:cs="Arial"/>
        </w:rPr>
        <w:t xml:space="preserve">Nel corso dello studio, </w:t>
      </w:r>
      <w:r>
        <w:rPr>
          <w:rFonts w:ascii="Calibri" w:hAnsi="Calibri" w:cs="Arial"/>
        </w:rPr>
        <w:t xml:space="preserve">si sono (o non si sono) manifestati </w:t>
      </w:r>
      <w:r w:rsidR="003E54E7">
        <w:t>2</w:t>
      </w:r>
      <w:r>
        <w:t xml:space="preserve"> eventi</w:t>
      </w:r>
      <w:r w:rsidRPr="009F5FC7">
        <w:t xml:space="preserve"> avvers</w:t>
      </w:r>
      <w:r>
        <w:t>i</w:t>
      </w:r>
      <w:r w:rsidRPr="009F5FC7">
        <w:t xml:space="preserve"> </w:t>
      </w:r>
      <w:r>
        <w:rPr>
          <w:rFonts w:ascii="Calibri" w:hAnsi="Calibri" w:cs="Arial"/>
        </w:rPr>
        <w:t>correlati</w:t>
      </w:r>
      <w:r w:rsidRPr="009F5FC7">
        <w:rPr>
          <w:rFonts w:ascii="Calibri" w:hAnsi="Calibri" w:cs="Arial"/>
        </w:rPr>
        <w:t xml:space="preserve"> al trattamento</w:t>
      </w:r>
      <w:r>
        <w:rPr>
          <w:rFonts w:ascii="Calibri" w:hAnsi="Calibri" w:cs="Arial"/>
        </w:rPr>
        <w:t xml:space="preserve"> in </w:t>
      </w:r>
      <w:r w:rsidR="003E54E7">
        <w:rPr>
          <w:rFonts w:ascii="Calibri" w:hAnsi="Calibri" w:cs="Arial"/>
        </w:rPr>
        <w:t>3</w:t>
      </w:r>
      <w:r>
        <w:rPr>
          <w:rFonts w:ascii="Calibri" w:hAnsi="Calibri" w:cs="Arial"/>
        </w:rPr>
        <w:t xml:space="preserve"> soggetti</w:t>
      </w:r>
      <w:r w:rsidRPr="009F5FC7">
        <w:t xml:space="preserve">. </w:t>
      </w:r>
      <w:r w:rsidRPr="009F5FC7">
        <w:rPr>
          <w:rFonts w:ascii="Calibri" w:hAnsi="Calibri" w:cs="Arial"/>
        </w:rPr>
        <w:t>In particolare,</w:t>
      </w:r>
      <w:r>
        <w:rPr>
          <w:rFonts w:ascii="Calibri" w:hAnsi="Calibri" w:cs="Arial"/>
        </w:rPr>
        <w:t xml:space="preserve"> è</w:t>
      </w:r>
      <w:r w:rsidRPr="009F5FC7">
        <w:rPr>
          <w:rFonts w:ascii="Calibri" w:hAnsi="Calibri" w:cs="Arial"/>
        </w:rPr>
        <w:t xml:space="preserve"> </w:t>
      </w:r>
      <w:r>
        <w:rPr>
          <w:rFonts w:ascii="Calibri" w:hAnsi="Calibri" w:cs="Arial"/>
        </w:rPr>
        <w:t xml:space="preserve">stata </w:t>
      </w:r>
      <w:r w:rsidRPr="009F5FC7">
        <w:rPr>
          <w:rFonts w:ascii="Calibri" w:hAnsi="Calibri" w:cs="Arial"/>
        </w:rPr>
        <w:t>riscontrat</w:t>
      </w:r>
      <w:r>
        <w:rPr>
          <w:rFonts w:ascii="Calibri" w:hAnsi="Calibri" w:cs="Arial"/>
        </w:rPr>
        <w:t>a</w:t>
      </w:r>
      <w:r w:rsidRPr="009F5FC7">
        <w:rPr>
          <w:rFonts w:ascii="Calibri" w:hAnsi="Calibri" w:cs="Arial"/>
        </w:rPr>
        <w:t xml:space="preserve"> </w:t>
      </w:r>
      <w:r w:rsidR="003E54E7">
        <w:t>nausea e mal di testa.</w:t>
      </w:r>
      <w:r>
        <w:t xml:space="preserve"> </w:t>
      </w:r>
      <w:r w:rsidRPr="009F5FC7">
        <w:rPr>
          <w:rFonts w:ascii="Calibri" w:hAnsi="Calibri" w:cs="Arial"/>
        </w:rPr>
        <w:t>Non sono stati rilevati eventi avversi gravi.</w:t>
      </w:r>
    </w:p>
    <w:p w:rsidR="005049A1" w:rsidRPr="009F5FC7" w:rsidRDefault="005049A1" w:rsidP="005049A1">
      <w:pPr>
        <w:spacing w:after="0" w:line="240" w:lineRule="auto"/>
      </w:pPr>
    </w:p>
    <w:p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lastRenderedPageBreak/>
        <w:t>Parametri farmacocinetici</w:t>
      </w:r>
      <w:r w:rsidRPr="009F5FC7">
        <w:rPr>
          <w:rFonts w:asciiTheme="minorHAnsi" w:hAnsiTheme="minorHAnsi" w:cs="Arial"/>
          <w:b w:val="0"/>
          <w:sz w:val="22"/>
          <w:szCs w:val="22"/>
          <w:lang w:val="it-IT"/>
        </w:rPr>
        <w:t xml:space="preserve">. </w:t>
      </w:r>
    </w:p>
    <w:p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sz w:val="22"/>
          <w:szCs w:val="22"/>
          <w:lang w:val="it-IT"/>
        </w:rPr>
        <w:t>La sintesi dei risultati dello studio di bioequivalenza è riportata nella tabella che segue.</w:t>
      </w:r>
    </w:p>
    <w:p w:rsidR="005049A1" w:rsidRDefault="005049A1" w:rsidP="005049A1">
      <w:pPr>
        <w:pStyle w:val="Paragrafoelenco"/>
        <w:spacing w:after="0" w:line="240" w:lineRule="auto"/>
        <w:ind w:left="0"/>
        <w:jc w:val="both"/>
      </w:pPr>
    </w:p>
    <w:tbl>
      <w:tblPr>
        <w:tblW w:w="4030" w:type="pct"/>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556"/>
        <w:gridCol w:w="1655"/>
        <w:gridCol w:w="1635"/>
        <w:gridCol w:w="1574"/>
        <w:gridCol w:w="1716"/>
      </w:tblGrid>
      <w:tr w:rsidR="005049A1" w:rsidRPr="00493458" w:rsidTr="005049A1">
        <w:trPr>
          <w:jc w:val="center"/>
        </w:trPr>
        <w:tc>
          <w:tcPr>
            <w:tcW w:w="8136" w:type="dxa"/>
            <w:gridSpan w:val="5"/>
            <w:shd w:val="clear" w:color="auto" w:fill="auto"/>
            <w:vAlign w:val="bottom"/>
          </w:tcPr>
          <w:p w:rsidR="005049A1" w:rsidRPr="00333936" w:rsidRDefault="003E54E7" w:rsidP="007D3FBD">
            <w:pPr>
              <w:spacing w:after="0" w:line="240" w:lineRule="auto"/>
              <w:jc w:val="center"/>
              <w:rPr>
                <w:b/>
                <w:bCs/>
                <w:sz w:val="20"/>
                <w:szCs w:val="20"/>
              </w:rPr>
            </w:pPr>
            <w:r>
              <w:rPr>
                <w:b/>
                <w:bCs/>
                <w:sz w:val="20"/>
                <w:szCs w:val="20"/>
              </w:rPr>
              <w:t>Dabigatran libero</w:t>
            </w:r>
          </w:p>
        </w:tc>
      </w:tr>
      <w:tr w:rsidR="005049A1" w:rsidRPr="00493458" w:rsidTr="005049A1">
        <w:trPr>
          <w:jc w:val="center"/>
        </w:trPr>
        <w:tc>
          <w:tcPr>
            <w:tcW w:w="1556" w:type="dxa"/>
            <w:vAlign w:val="bottom"/>
          </w:tcPr>
          <w:p w:rsidR="005049A1" w:rsidRPr="00333936" w:rsidRDefault="005049A1" w:rsidP="007D3FBD">
            <w:pPr>
              <w:spacing w:after="0" w:line="240" w:lineRule="auto"/>
              <w:jc w:val="center"/>
              <w:rPr>
                <w:b/>
                <w:sz w:val="20"/>
                <w:szCs w:val="20"/>
              </w:rPr>
            </w:pPr>
            <w:r w:rsidRPr="00333936">
              <w:rPr>
                <w:b/>
                <w:sz w:val="20"/>
                <w:szCs w:val="20"/>
              </w:rPr>
              <w:t>Parametro</w:t>
            </w:r>
          </w:p>
        </w:tc>
        <w:tc>
          <w:tcPr>
            <w:tcW w:w="1655" w:type="dxa"/>
            <w:vAlign w:val="bottom"/>
          </w:tcPr>
          <w:p w:rsidR="005049A1" w:rsidRPr="00333936" w:rsidRDefault="005049A1" w:rsidP="007D3FBD">
            <w:pPr>
              <w:spacing w:after="0" w:line="240" w:lineRule="auto"/>
              <w:jc w:val="center"/>
              <w:rPr>
                <w:b/>
                <w:sz w:val="20"/>
                <w:szCs w:val="20"/>
              </w:rPr>
            </w:pPr>
            <w:r w:rsidRPr="00333936">
              <w:rPr>
                <w:b/>
                <w:sz w:val="20"/>
                <w:szCs w:val="20"/>
              </w:rPr>
              <w:t>Test</w:t>
            </w:r>
          </w:p>
        </w:tc>
        <w:tc>
          <w:tcPr>
            <w:tcW w:w="1635" w:type="dxa"/>
            <w:vAlign w:val="bottom"/>
          </w:tcPr>
          <w:p w:rsidR="005049A1" w:rsidRPr="00333936" w:rsidRDefault="005049A1" w:rsidP="007D3FBD">
            <w:pPr>
              <w:spacing w:after="0" w:line="240" w:lineRule="auto"/>
              <w:jc w:val="center"/>
              <w:rPr>
                <w:b/>
                <w:sz w:val="20"/>
                <w:szCs w:val="20"/>
              </w:rPr>
            </w:pPr>
            <w:r w:rsidRPr="00333936">
              <w:rPr>
                <w:b/>
                <w:sz w:val="20"/>
                <w:szCs w:val="20"/>
              </w:rPr>
              <w:t>Reference</w:t>
            </w:r>
          </w:p>
        </w:tc>
        <w:tc>
          <w:tcPr>
            <w:tcW w:w="1574" w:type="dxa"/>
            <w:vAlign w:val="bottom"/>
          </w:tcPr>
          <w:p w:rsidR="005049A1" w:rsidRPr="00333936" w:rsidRDefault="005049A1" w:rsidP="007D3FBD">
            <w:pPr>
              <w:spacing w:after="0" w:line="240" w:lineRule="auto"/>
              <w:jc w:val="center"/>
              <w:rPr>
                <w:b/>
                <w:sz w:val="20"/>
                <w:szCs w:val="20"/>
              </w:rPr>
            </w:pPr>
            <w:r w:rsidRPr="00333936">
              <w:rPr>
                <w:b/>
                <w:sz w:val="20"/>
                <w:szCs w:val="20"/>
              </w:rPr>
              <w:t>T/R Ratio</w:t>
            </w:r>
          </w:p>
        </w:tc>
        <w:tc>
          <w:tcPr>
            <w:tcW w:w="1716" w:type="dxa"/>
            <w:vAlign w:val="bottom"/>
          </w:tcPr>
          <w:p w:rsidR="005049A1" w:rsidRPr="00333936" w:rsidRDefault="005049A1" w:rsidP="007D3FBD">
            <w:pPr>
              <w:spacing w:after="0" w:line="240" w:lineRule="auto"/>
              <w:jc w:val="center"/>
              <w:rPr>
                <w:b/>
                <w:sz w:val="20"/>
                <w:szCs w:val="20"/>
              </w:rPr>
            </w:pPr>
            <w:r w:rsidRPr="00333936">
              <w:rPr>
                <w:b/>
                <w:sz w:val="20"/>
                <w:szCs w:val="20"/>
              </w:rPr>
              <w:t>90% C.I.</w:t>
            </w:r>
          </w:p>
        </w:tc>
      </w:tr>
      <w:tr w:rsidR="003E54E7" w:rsidRPr="00493458" w:rsidTr="005049A1">
        <w:trPr>
          <w:jc w:val="center"/>
        </w:trPr>
        <w:tc>
          <w:tcPr>
            <w:tcW w:w="1556" w:type="dxa"/>
            <w:vAlign w:val="bottom"/>
          </w:tcPr>
          <w:p w:rsidR="003E54E7" w:rsidRPr="00333936" w:rsidRDefault="003E54E7" w:rsidP="007D3FBD">
            <w:pPr>
              <w:spacing w:after="0" w:line="240" w:lineRule="auto"/>
              <w:rPr>
                <w:b/>
                <w:sz w:val="20"/>
                <w:szCs w:val="20"/>
              </w:rPr>
            </w:pPr>
            <w:r w:rsidRPr="00333936">
              <w:rPr>
                <w:b/>
                <w:sz w:val="20"/>
                <w:szCs w:val="20"/>
              </w:rPr>
              <w:t>AUC0-t</w:t>
            </w:r>
          </w:p>
        </w:tc>
        <w:tc>
          <w:tcPr>
            <w:tcW w:w="165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1564.7047</w:t>
            </w:r>
          </w:p>
        </w:tc>
        <w:tc>
          <w:tcPr>
            <w:tcW w:w="163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1626.0858</w:t>
            </w:r>
          </w:p>
        </w:tc>
        <w:tc>
          <w:tcPr>
            <w:tcW w:w="1574" w:type="dxa"/>
            <w:vAlign w:val="bottom"/>
          </w:tcPr>
          <w:p w:rsidR="003E54E7" w:rsidRPr="00404143" w:rsidRDefault="003E54E7" w:rsidP="00E17743">
            <w:pPr>
              <w:rPr>
                <w:rFonts w:ascii="Calibri" w:hAnsi="Calibri"/>
                <w:sz w:val="20"/>
                <w:szCs w:val="20"/>
              </w:rPr>
            </w:pPr>
            <w:r w:rsidRPr="00404143">
              <w:rPr>
                <w:rFonts w:ascii="Calibri" w:hAnsi="Calibri"/>
                <w:sz w:val="20"/>
                <w:szCs w:val="20"/>
              </w:rPr>
              <w:t>96.23</w:t>
            </w:r>
          </w:p>
        </w:tc>
        <w:tc>
          <w:tcPr>
            <w:tcW w:w="1716" w:type="dxa"/>
            <w:vAlign w:val="bottom"/>
          </w:tcPr>
          <w:p w:rsidR="003E54E7" w:rsidRPr="00404143" w:rsidRDefault="003E54E7" w:rsidP="00E17743">
            <w:pPr>
              <w:rPr>
                <w:rFonts w:ascii="Calibri" w:hAnsi="Calibri"/>
                <w:sz w:val="20"/>
                <w:szCs w:val="20"/>
              </w:rPr>
            </w:pPr>
            <w:r w:rsidRPr="00404143">
              <w:rPr>
                <w:rFonts w:ascii="Calibri" w:hAnsi="Calibri"/>
                <w:sz w:val="20"/>
                <w:szCs w:val="20"/>
              </w:rPr>
              <w:t>87.64 – 105.65</w:t>
            </w:r>
          </w:p>
        </w:tc>
      </w:tr>
      <w:tr w:rsidR="003E54E7" w:rsidRPr="00493458" w:rsidTr="005049A1">
        <w:trPr>
          <w:jc w:val="center"/>
        </w:trPr>
        <w:tc>
          <w:tcPr>
            <w:tcW w:w="1556" w:type="dxa"/>
            <w:vAlign w:val="bottom"/>
          </w:tcPr>
          <w:p w:rsidR="003E54E7" w:rsidRPr="00333936" w:rsidRDefault="003E54E7" w:rsidP="007D3FBD">
            <w:pPr>
              <w:spacing w:after="0" w:line="240" w:lineRule="auto"/>
              <w:rPr>
                <w:b/>
                <w:sz w:val="20"/>
                <w:szCs w:val="20"/>
              </w:rPr>
            </w:pPr>
            <w:r w:rsidRPr="00333936">
              <w:rPr>
                <w:b/>
                <w:sz w:val="20"/>
                <w:szCs w:val="20"/>
              </w:rPr>
              <w:t>AUC0-∞</w:t>
            </w:r>
          </w:p>
        </w:tc>
        <w:tc>
          <w:tcPr>
            <w:tcW w:w="165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1605.4409</w:t>
            </w:r>
          </w:p>
        </w:tc>
        <w:tc>
          <w:tcPr>
            <w:tcW w:w="163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1668.4352</w:t>
            </w:r>
          </w:p>
        </w:tc>
        <w:tc>
          <w:tcPr>
            <w:tcW w:w="1574" w:type="dxa"/>
            <w:vAlign w:val="bottom"/>
          </w:tcPr>
          <w:p w:rsidR="003E54E7" w:rsidRPr="00404143" w:rsidRDefault="003E54E7" w:rsidP="00E17743">
            <w:pPr>
              <w:rPr>
                <w:rFonts w:ascii="Calibri" w:hAnsi="Calibri"/>
                <w:sz w:val="20"/>
                <w:szCs w:val="20"/>
              </w:rPr>
            </w:pPr>
            <w:r w:rsidRPr="00404143">
              <w:rPr>
                <w:rFonts w:ascii="Calibri" w:hAnsi="Calibri"/>
                <w:sz w:val="20"/>
                <w:szCs w:val="20"/>
              </w:rPr>
              <w:t>96.22</w:t>
            </w:r>
          </w:p>
        </w:tc>
        <w:tc>
          <w:tcPr>
            <w:tcW w:w="1716" w:type="dxa"/>
            <w:vAlign w:val="bottom"/>
          </w:tcPr>
          <w:p w:rsidR="003E54E7" w:rsidRPr="00404143" w:rsidRDefault="003E54E7" w:rsidP="00E17743">
            <w:pPr>
              <w:rPr>
                <w:rFonts w:ascii="Calibri" w:hAnsi="Calibri"/>
                <w:sz w:val="20"/>
                <w:szCs w:val="20"/>
              </w:rPr>
            </w:pPr>
            <w:r w:rsidRPr="00404143">
              <w:rPr>
                <w:rFonts w:ascii="Calibri" w:hAnsi="Calibri"/>
                <w:sz w:val="20"/>
                <w:szCs w:val="20"/>
              </w:rPr>
              <w:t>88.07 – 105.14</w:t>
            </w:r>
          </w:p>
        </w:tc>
      </w:tr>
      <w:tr w:rsidR="003E54E7" w:rsidRPr="00493458" w:rsidTr="005049A1">
        <w:trPr>
          <w:jc w:val="center"/>
        </w:trPr>
        <w:tc>
          <w:tcPr>
            <w:tcW w:w="1556" w:type="dxa"/>
            <w:vAlign w:val="bottom"/>
          </w:tcPr>
          <w:p w:rsidR="003E54E7" w:rsidRPr="00333936" w:rsidRDefault="003E54E7" w:rsidP="007D3FBD">
            <w:pPr>
              <w:spacing w:after="0" w:line="240" w:lineRule="auto"/>
              <w:rPr>
                <w:b/>
                <w:sz w:val="20"/>
                <w:szCs w:val="20"/>
              </w:rPr>
            </w:pPr>
            <w:r w:rsidRPr="00333936">
              <w:rPr>
                <w:b/>
                <w:sz w:val="20"/>
                <w:szCs w:val="20"/>
              </w:rPr>
              <w:t>Cmax</w:t>
            </w:r>
          </w:p>
        </w:tc>
        <w:tc>
          <w:tcPr>
            <w:tcW w:w="165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188.7614</w:t>
            </w:r>
          </w:p>
        </w:tc>
        <w:tc>
          <w:tcPr>
            <w:tcW w:w="163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194.5486</w:t>
            </w:r>
          </w:p>
        </w:tc>
        <w:tc>
          <w:tcPr>
            <w:tcW w:w="1574" w:type="dxa"/>
            <w:vAlign w:val="bottom"/>
          </w:tcPr>
          <w:p w:rsidR="003E54E7" w:rsidRPr="00404143" w:rsidRDefault="003E54E7" w:rsidP="00E17743">
            <w:pPr>
              <w:rPr>
                <w:rFonts w:ascii="Calibri" w:hAnsi="Calibri"/>
                <w:sz w:val="20"/>
                <w:szCs w:val="20"/>
              </w:rPr>
            </w:pPr>
            <w:r w:rsidRPr="00404143">
              <w:rPr>
                <w:rFonts w:ascii="Calibri" w:hAnsi="Calibri"/>
                <w:sz w:val="20"/>
                <w:szCs w:val="20"/>
              </w:rPr>
              <w:t>97.03</w:t>
            </w:r>
          </w:p>
        </w:tc>
        <w:tc>
          <w:tcPr>
            <w:tcW w:w="1716" w:type="dxa"/>
            <w:vAlign w:val="bottom"/>
          </w:tcPr>
          <w:p w:rsidR="003E54E7" w:rsidRPr="00404143" w:rsidRDefault="003E54E7" w:rsidP="00E17743">
            <w:pPr>
              <w:rPr>
                <w:rFonts w:ascii="Calibri" w:hAnsi="Calibri"/>
                <w:sz w:val="20"/>
                <w:szCs w:val="20"/>
              </w:rPr>
            </w:pPr>
            <w:r w:rsidRPr="00404143">
              <w:rPr>
                <w:rFonts w:ascii="Calibri" w:hAnsi="Calibri"/>
                <w:sz w:val="20"/>
                <w:szCs w:val="20"/>
              </w:rPr>
              <w:t>88.33 – 106.58</w:t>
            </w:r>
          </w:p>
        </w:tc>
      </w:tr>
    </w:tbl>
    <w:p w:rsidR="005049A1" w:rsidRDefault="005049A1" w:rsidP="005049A1">
      <w:pPr>
        <w:spacing w:after="0" w:line="240" w:lineRule="auto"/>
        <w:rPr>
          <w:rFonts w:cs="Arial"/>
          <w:i/>
        </w:rPr>
      </w:pPr>
    </w:p>
    <w:tbl>
      <w:tblPr>
        <w:tblW w:w="4030" w:type="pct"/>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556"/>
        <w:gridCol w:w="1655"/>
        <w:gridCol w:w="1635"/>
        <w:gridCol w:w="1574"/>
        <w:gridCol w:w="1716"/>
      </w:tblGrid>
      <w:tr w:rsidR="003E54E7" w:rsidRPr="00493458" w:rsidTr="00E17743">
        <w:trPr>
          <w:jc w:val="center"/>
        </w:trPr>
        <w:tc>
          <w:tcPr>
            <w:tcW w:w="8136" w:type="dxa"/>
            <w:gridSpan w:val="5"/>
            <w:shd w:val="clear" w:color="auto" w:fill="auto"/>
            <w:vAlign w:val="bottom"/>
          </w:tcPr>
          <w:p w:rsidR="003E54E7" w:rsidRPr="00333936" w:rsidRDefault="003E54E7" w:rsidP="003E54E7">
            <w:pPr>
              <w:spacing w:after="0" w:line="240" w:lineRule="auto"/>
              <w:jc w:val="center"/>
              <w:rPr>
                <w:b/>
                <w:bCs/>
                <w:sz w:val="20"/>
                <w:szCs w:val="20"/>
              </w:rPr>
            </w:pPr>
            <w:r>
              <w:rPr>
                <w:b/>
                <w:bCs/>
                <w:sz w:val="20"/>
                <w:szCs w:val="20"/>
              </w:rPr>
              <w:t>Dabigatran Totale</w:t>
            </w:r>
          </w:p>
        </w:tc>
      </w:tr>
      <w:tr w:rsidR="003E54E7" w:rsidRPr="00493458" w:rsidTr="00E17743">
        <w:trPr>
          <w:jc w:val="center"/>
        </w:trPr>
        <w:tc>
          <w:tcPr>
            <w:tcW w:w="1556" w:type="dxa"/>
            <w:vAlign w:val="bottom"/>
          </w:tcPr>
          <w:p w:rsidR="003E54E7" w:rsidRPr="00333936" w:rsidRDefault="003E54E7" w:rsidP="00E17743">
            <w:pPr>
              <w:spacing w:after="0" w:line="240" w:lineRule="auto"/>
              <w:jc w:val="center"/>
              <w:rPr>
                <w:b/>
                <w:sz w:val="20"/>
                <w:szCs w:val="20"/>
              </w:rPr>
            </w:pPr>
            <w:r w:rsidRPr="00333936">
              <w:rPr>
                <w:b/>
                <w:sz w:val="20"/>
                <w:szCs w:val="20"/>
              </w:rPr>
              <w:t>Parametro</w:t>
            </w:r>
          </w:p>
        </w:tc>
        <w:tc>
          <w:tcPr>
            <w:tcW w:w="1655" w:type="dxa"/>
            <w:vAlign w:val="bottom"/>
          </w:tcPr>
          <w:p w:rsidR="003E54E7" w:rsidRPr="00333936" w:rsidRDefault="003E54E7" w:rsidP="00E17743">
            <w:pPr>
              <w:spacing w:after="0" w:line="240" w:lineRule="auto"/>
              <w:jc w:val="center"/>
              <w:rPr>
                <w:b/>
                <w:sz w:val="20"/>
                <w:szCs w:val="20"/>
              </w:rPr>
            </w:pPr>
            <w:r w:rsidRPr="00333936">
              <w:rPr>
                <w:b/>
                <w:sz w:val="20"/>
                <w:szCs w:val="20"/>
              </w:rPr>
              <w:t>Test</w:t>
            </w:r>
          </w:p>
        </w:tc>
        <w:tc>
          <w:tcPr>
            <w:tcW w:w="1635" w:type="dxa"/>
            <w:vAlign w:val="bottom"/>
          </w:tcPr>
          <w:p w:rsidR="003E54E7" w:rsidRPr="00333936" w:rsidRDefault="003E54E7" w:rsidP="00E17743">
            <w:pPr>
              <w:spacing w:after="0" w:line="240" w:lineRule="auto"/>
              <w:jc w:val="center"/>
              <w:rPr>
                <w:b/>
                <w:sz w:val="20"/>
                <w:szCs w:val="20"/>
              </w:rPr>
            </w:pPr>
            <w:r w:rsidRPr="00333936">
              <w:rPr>
                <w:b/>
                <w:sz w:val="20"/>
                <w:szCs w:val="20"/>
              </w:rPr>
              <w:t>Reference</w:t>
            </w:r>
          </w:p>
        </w:tc>
        <w:tc>
          <w:tcPr>
            <w:tcW w:w="1574" w:type="dxa"/>
            <w:vAlign w:val="bottom"/>
          </w:tcPr>
          <w:p w:rsidR="003E54E7" w:rsidRPr="00333936" w:rsidRDefault="003E54E7" w:rsidP="00E17743">
            <w:pPr>
              <w:spacing w:after="0" w:line="240" w:lineRule="auto"/>
              <w:jc w:val="center"/>
              <w:rPr>
                <w:b/>
                <w:sz w:val="20"/>
                <w:szCs w:val="20"/>
              </w:rPr>
            </w:pPr>
            <w:r w:rsidRPr="00333936">
              <w:rPr>
                <w:b/>
                <w:sz w:val="20"/>
                <w:szCs w:val="20"/>
              </w:rPr>
              <w:t>T/R Ratio</w:t>
            </w:r>
          </w:p>
        </w:tc>
        <w:tc>
          <w:tcPr>
            <w:tcW w:w="1716" w:type="dxa"/>
            <w:vAlign w:val="bottom"/>
          </w:tcPr>
          <w:p w:rsidR="003E54E7" w:rsidRPr="00333936" w:rsidRDefault="003E54E7" w:rsidP="00E17743">
            <w:pPr>
              <w:spacing w:after="0" w:line="240" w:lineRule="auto"/>
              <w:jc w:val="center"/>
              <w:rPr>
                <w:b/>
                <w:sz w:val="20"/>
                <w:szCs w:val="20"/>
              </w:rPr>
            </w:pPr>
            <w:r w:rsidRPr="00333936">
              <w:rPr>
                <w:b/>
                <w:sz w:val="20"/>
                <w:szCs w:val="20"/>
              </w:rPr>
              <w:t>90% C.I.</w:t>
            </w:r>
          </w:p>
        </w:tc>
      </w:tr>
      <w:tr w:rsidR="003E54E7" w:rsidRPr="00493458" w:rsidTr="00E17743">
        <w:trPr>
          <w:jc w:val="center"/>
        </w:trPr>
        <w:tc>
          <w:tcPr>
            <w:tcW w:w="1556" w:type="dxa"/>
            <w:vAlign w:val="bottom"/>
          </w:tcPr>
          <w:p w:rsidR="003E54E7" w:rsidRPr="00333936" w:rsidRDefault="003E54E7" w:rsidP="00E17743">
            <w:pPr>
              <w:spacing w:after="0" w:line="240" w:lineRule="auto"/>
              <w:rPr>
                <w:b/>
                <w:sz w:val="20"/>
                <w:szCs w:val="20"/>
              </w:rPr>
            </w:pPr>
            <w:r w:rsidRPr="00333936">
              <w:rPr>
                <w:b/>
                <w:sz w:val="20"/>
                <w:szCs w:val="20"/>
              </w:rPr>
              <w:t>AUC0-t</w:t>
            </w:r>
          </w:p>
        </w:tc>
        <w:tc>
          <w:tcPr>
            <w:tcW w:w="165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1786.9518</w:t>
            </w:r>
          </w:p>
        </w:tc>
        <w:tc>
          <w:tcPr>
            <w:tcW w:w="163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1870.7995</w:t>
            </w:r>
          </w:p>
        </w:tc>
        <w:tc>
          <w:tcPr>
            <w:tcW w:w="1574" w:type="dxa"/>
            <w:vAlign w:val="bottom"/>
          </w:tcPr>
          <w:p w:rsidR="003E54E7" w:rsidRPr="00404143" w:rsidRDefault="003E54E7" w:rsidP="00E17743">
            <w:pPr>
              <w:rPr>
                <w:rFonts w:ascii="Calibri" w:hAnsi="Calibri"/>
                <w:sz w:val="20"/>
                <w:szCs w:val="20"/>
              </w:rPr>
            </w:pPr>
            <w:r w:rsidRPr="00404143">
              <w:rPr>
                <w:rFonts w:ascii="Calibri" w:hAnsi="Calibri"/>
                <w:sz w:val="20"/>
                <w:szCs w:val="20"/>
              </w:rPr>
              <w:t>95.52</w:t>
            </w:r>
          </w:p>
        </w:tc>
        <w:tc>
          <w:tcPr>
            <w:tcW w:w="1716" w:type="dxa"/>
            <w:vAlign w:val="bottom"/>
          </w:tcPr>
          <w:p w:rsidR="003E54E7" w:rsidRPr="00404143" w:rsidRDefault="003E54E7" w:rsidP="00E17743">
            <w:pPr>
              <w:rPr>
                <w:rFonts w:ascii="Calibri" w:hAnsi="Calibri"/>
                <w:sz w:val="20"/>
                <w:szCs w:val="20"/>
              </w:rPr>
            </w:pPr>
            <w:r w:rsidRPr="00404143">
              <w:rPr>
                <w:rFonts w:ascii="Calibri" w:hAnsi="Calibri"/>
                <w:sz w:val="20"/>
                <w:szCs w:val="20"/>
              </w:rPr>
              <w:t>87.23 – 104.59</w:t>
            </w:r>
          </w:p>
        </w:tc>
      </w:tr>
      <w:tr w:rsidR="003E54E7" w:rsidRPr="00493458" w:rsidTr="00E17743">
        <w:trPr>
          <w:jc w:val="center"/>
        </w:trPr>
        <w:tc>
          <w:tcPr>
            <w:tcW w:w="1556" w:type="dxa"/>
            <w:vAlign w:val="bottom"/>
          </w:tcPr>
          <w:p w:rsidR="003E54E7" w:rsidRPr="00333936" w:rsidRDefault="003E54E7" w:rsidP="00E17743">
            <w:pPr>
              <w:spacing w:after="0" w:line="240" w:lineRule="auto"/>
              <w:rPr>
                <w:b/>
                <w:sz w:val="20"/>
                <w:szCs w:val="20"/>
              </w:rPr>
            </w:pPr>
            <w:r w:rsidRPr="00333936">
              <w:rPr>
                <w:b/>
                <w:sz w:val="20"/>
                <w:szCs w:val="20"/>
              </w:rPr>
              <w:t>AUC0-∞</w:t>
            </w:r>
          </w:p>
        </w:tc>
        <w:tc>
          <w:tcPr>
            <w:tcW w:w="165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1828.2181</w:t>
            </w:r>
          </w:p>
        </w:tc>
        <w:tc>
          <w:tcPr>
            <w:tcW w:w="163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1909.3453</w:t>
            </w:r>
          </w:p>
        </w:tc>
        <w:tc>
          <w:tcPr>
            <w:tcW w:w="1574" w:type="dxa"/>
            <w:vAlign w:val="bottom"/>
          </w:tcPr>
          <w:p w:rsidR="003E54E7" w:rsidRPr="00404143" w:rsidRDefault="003E54E7" w:rsidP="00E17743">
            <w:pPr>
              <w:rPr>
                <w:rFonts w:ascii="Calibri" w:hAnsi="Calibri"/>
                <w:sz w:val="20"/>
                <w:szCs w:val="20"/>
              </w:rPr>
            </w:pPr>
            <w:r w:rsidRPr="00404143">
              <w:rPr>
                <w:rFonts w:ascii="Calibri" w:hAnsi="Calibri"/>
                <w:sz w:val="20"/>
                <w:szCs w:val="20"/>
              </w:rPr>
              <w:t>95.75</w:t>
            </w:r>
          </w:p>
        </w:tc>
        <w:tc>
          <w:tcPr>
            <w:tcW w:w="1716" w:type="dxa"/>
            <w:vAlign w:val="bottom"/>
          </w:tcPr>
          <w:p w:rsidR="003E54E7" w:rsidRPr="00404143" w:rsidRDefault="003E54E7" w:rsidP="00E17743">
            <w:pPr>
              <w:rPr>
                <w:rFonts w:ascii="Calibri" w:hAnsi="Calibri"/>
                <w:sz w:val="20"/>
                <w:szCs w:val="20"/>
              </w:rPr>
            </w:pPr>
            <w:r w:rsidRPr="00404143">
              <w:rPr>
                <w:rFonts w:ascii="Calibri" w:hAnsi="Calibri"/>
                <w:sz w:val="20"/>
                <w:szCs w:val="20"/>
              </w:rPr>
              <w:t>87.69 – 104.55</w:t>
            </w:r>
          </w:p>
        </w:tc>
      </w:tr>
      <w:tr w:rsidR="003E54E7" w:rsidRPr="00493458" w:rsidTr="00E17743">
        <w:trPr>
          <w:jc w:val="center"/>
        </w:trPr>
        <w:tc>
          <w:tcPr>
            <w:tcW w:w="1556" w:type="dxa"/>
            <w:vAlign w:val="bottom"/>
          </w:tcPr>
          <w:p w:rsidR="003E54E7" w:rsidRPr="00333936" w:rsidRDefault="003E54E7" w:rsidP="00E17743">
            <w:pPr>
              <w:spacing w:after="0" w:line="240" w:lineRule="auto"/>
              <w:rPr>
                <w:b/>
                <w:sz w:val="20"/>
                <w:szCs w:val="20"/>
              </w:rPr>
            </w:pPr>
            <w:r w:rsidRPr="00333936">
              <w:rPr>
                <w:b/>
                <w:sz w:val="20"/>
                <w:szCs w:val="20"/>
              </w:rPr>
              <w:t>Cmax</w:t>
            </w:r>
          </w:p>
        </w:tc>
        <w:tc>
          <w:tcPr>
            <w:tcW w:w="165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212.8224</w:t>
            </w:r>
          </w:p>
        </w:tc>
        <w:tc>
          <w:tcPr>
            <w:tcW w:w="1635" w:type="dxa"/>
            <w:vAlign w:val="bottom"/>
          </w:tcPr>
          <w:p w:rsidR="003E54E7" w:rsidRPr="00404143" w:rsidRDefault="003E54E7" w:rsidP="00E17743">
            <w:pPr>
              <w:rPr>
                <w:rFonts w:ascii="Calibri" w:hAnsi="Calibri"/>
                <w:sz w:val="20"/>
                <w:szCs w:val="20"/>
              </w:rPr>
            </w:pPr>
            <w:r w:rsidRPr="00404143">
              <w:rPr>
                <w:rFonts w:ascii="Calibri" w:hAnsi="Calibri"/>
                <w:sz w:val="20"/>
                <w:szCs w:val="20"/>
              </w:rPr>
              <w:t>222.5592</w:t>
            </w:r>
          </w:p>
        </w:tc>
        <w:tc>
          <w:tcPr>
            <w:tcW w:w="1574" w:type="dxa"/>
            <w:vAlign w:val="bottom"/>
          </w:tcPr>
          <w:p w:rsidR="003E54E7" w:rsidRPr="00404143" w:rsidRDefault="003E54E7" w:rsidP="00E17743">
            <w:pPr>
              <w:rPr>
                <w:rFonts w:ascii="Calibri" w:hAnsi="Calibri"/>
                <w:sz w:val="20"/>
                <w:szCs w:val="20"/>
              </w:rPr>
            </w:pPr>
            <w:r w:rsidRPr="00404143">
              <w:rPr>
                <w:rFonts w:ascii="Calibri" w:hAnsi="Calibri"/>
                <w:sz w:val="20"/>
                <w:szCs w:val="20"/>
              </w:rPr>
              <w:t>95.63</w:t>
            </w:r>
          </w:p>
        </w:tc>
        <w:tc>
          <w:tcPr>
            <w:tcW w:w="1716" w:type="dxa"/>
            <w:vAlign w:val="bottom"/>
          </w:tcPr>
          <w:p w:rsidR="003E54E7" w:rsidRPr="00404143" w:rsidRDefault="003E54E7" w:rsidP="00E17743">
            <w:pPr>
              <w:rPr>
                <w:rFonts w:ascii="Calibri" w:hAnsi="Calibri"/>
                <w:sz w:val="20"/>
                <w:szCs w:val="20"/>
              </w:rPr>
            </w:pPr>
            <w:r w:rsidRPr="00404143">
              <w:rPr>
                <w:rFonts w:ascii="Calibri" w:hAnsi="Calibri"/>
                <w:sz w:val="20"/>
                <w:szCs w:val="20"/>
              </w:rPr>
              <w:t xml:space="preserve">87.06 – 105.03 </w:t>
            </w:r>
          </w:p>
        </w:tc>
      </w:tr>
    </w:tbl>
    <w:p w:rsidR="005049A1" w:rsidRDefault="005049A1" w:rsidP="005049A1">
      <w:pPr>
        <w:spacing w:after="0" w:line="240" w:lineRule="auto"/>
        <w:rPr>
          <w:rFonts w:cs="Arial"/>
          <w:i/>
        </w:rPr>
      </w:pPr>
    </w:p>
    <w:p w:rsidR="005049A1" w:rsidRPr="009F5FC7" w:rsidRDefault="005049A1" w:rsidP="005049A1">
      <w:pPr>
        <w:spacing w:after="0" w:line="240" w:lineRule="auto"/>
        <w:rPr>
          <w:rFonts w:cs="Arial"/>
        </w:rPr>
      </w:pPr>
      <w:r w:rsidRPr="009F5FC7">
        <w:rPr>
          <w:rFonts w:cs="Arial"/>
          <w:i/>
        </w:rPr>
        <w:t>Conclusioni sulla bioequivalenza</w:t>
      </w:r>
      <w:r w:rsidRPr="009F5FC7">
        <w:rPr>
          <w:rFonts w:cs="Arial"/>
        </w:rPr>
        <w:t>.</w:t>
      </w:r>
    </w:p>
    <w:p w:rsidR="005049A1" w:rsidRPr="009F5FC7" w:rsidRDefault="005049A1" w:rsidP="005049A1">
      <w:pPr>
        <w:spacing w:after="0" w:line="240" w:lineRule="auto"/>
        <w:jc w:val="both"/>
        <w:rPr>
          <w:rFonts w:cs="Arial"/>
        </w:rPr>
      </w:pPr>
      <w:r w:rsidRPr="009F5FC7">
        <w:rPr>
          <w:rFonts w:cs="Arial"/>
        </w:rPr>
        <w:t>I risultati degli studi di bioequivalenza mostrano che gli intervalli di confidenza dei parametri farmacocinetici studiati cadono nel range di accettabilità di 80-125%, in accordo con le linee guida correnti.</w:t>
      </w:r>
    </w:p>
    <w:p w:rsidR="005049A1" w:rsidRPr="009F5FC7" w:rsidRDefault="005049A1" w:rsidP="005049A1">
      <w:pPr>
        <w:spacing w:after="0" w:line="240" w:lineRule="auto"/>
        <w:jc w:val="both"/>
        <w:rPr>
          <w:rFonts w:cs="Arial"/>
        </w:rPr>
      </w:pPr>
    </w:p>
    <w:p w:rsidR="005049A1" w:rsidRPr="009F5FC7" w:rsidRDefault="005049A1" w:rsidP="005049A1">
      <w:pPr>
        <w:spacing w:after="0" w:line="240" w:lineRule="auto"/>
        <w:jc w:val="both"/>
        <w:rPr>
          <w:rFonts w:cs="Arial"/>
          <w:b/>
        </w:rPr>
      </w:pPr>
      <w:r w:rsidRPr="009F5FC7">
        <w:rPr>
          <w:rFonts w:cs="Arial"/>
          <w:b/>
        </w:rPr>
        <w:t>Efficacia e sicurezza clinica</w:t>
      </w:r>
    </w:p>
    <w:p w:rsidR="005049A1" w:rsidRDefault="005049A1" w:rsidP="005049A1">
      <w:pPr>
        <w:spacing w:after="0" w:line="240" w:lineRule="auto"/>
        <w:jc w:val="both"/>
        <w:rPr>
          <w:rFonts w:cs="Arial"/>
        </w:rPr>
      </w:pPr>
      <w:r w:rsidRPr="009F5FC7">
        <w:rPr>
          <w:rFonts w:cs="Arial"/>
        </w:rPr>
        <w:t xml:space="preserve">Non sono stati presentati nuovi dati di efficacia e sicurezza clinica: il profilo di sicurezza e l’efficacia del principio attivo di </w:t>
      </w:r>
      <w:r w:rsidR="003E54E7" w:rsidRPr="00DF190A">
        <w:rPr>
          <w:rFonts w:eastAsia="Calibri" w:cs="Calibri"/>
          <w:color w:val="000000"/>
          <w:lang w:eastAsia="it-IT"/>
        </w:rPr>
        <w:t>Dabigatran etexilato VI.REL Pharma</w:t>
      </w:r>
      <w:r w:rsidR="003E54E7">
        <w:t xml:space="preserve"> </w:t>
      </w:r>
      <w:r w:rsidRPr="009F5FC7">
        <w:rPr>
          <w:rFonts w:cs="Arial"/>
        </w:rPr>
        <w:t>è ben conosciuto.</w:t>
      </w:r>
      <w:r>
        <w:rPr>
          <w:rFonts w:cs="Arial"/>
        </w:rPr>
        <w:t xml:space="preserve"> </w:t>
      </w:r>
    </w:p>
    <w:p w:rsidR="006727BD" w:rsidRDefault="006727BD" w:rsidP="006727BD">
      <w:pPr>
        <w:spacing w:after="0" w:line="240" w:lineRule="auto"/>
        <w:ind w:right="6"/>
        <w:jc w:val="both"/>
        <w:rPr>
          <w:rFonts w:eastAsia="Calibri" w:cs="Calibri"/>
          <w:b/>
          <w:i/>
          <w:sz w:val="20"/>
          <w:highlight w:val="green"/>
          <w:lang w:eastAsia="it-IT"/>
        </w:rPr>
      </w:pPr>
    </w:p>
    <w:p w:rsidR="005049A1" w:rsidRDefault="005049A1" w:rsidP="00EF6711">
      <w:pPr>
        <w:spacing w:after="0" w:line="240" w:lineRule="auto"/>
        <w:jc w:val="both"/>
        <w:rPr>
          <w:highlight w:val="cyan"/>
        </w:rPr>
      </w:pPr>
    </w:p>
    <w:p w:rsidR="004E5A39" w:rsidRPr="00EF6711" w:rsidRDefault="004E5A39" w:rsidP="00EF6711">
      <w:pPr>
        <w:pStyle w:val="Paragrafoelenco"/>
        <w:spacing w:after="0" w:line="240" w:lineRule="auto"/>
        <w:ind w:left="0"/>
        <w:jc w:val="both"/>
        <w:rPr>
          <w:b/>
        </w:rPr>
      </w:pPr>
      <w:r w:rsidRPr="00EF6711">
        <w:rPr>
          <w:b/>
        </w:rPr>
        <w:t>Piano di Valutazione del Rischio (</w:t>
      </w:r>
      <w:r w:rsidRPr="00EF6711">
        <w:rPr>
          <w:b/>
          <w:i/>
        </w:rPr>
        <w:t>Risk Management Plan</w:t>
      </w:r>
      <w:r w:rsidRPr="00EF6711">
        <w:rPr>
          <w:b/>
        </w:rPr>
        <w:t xml:space="preserve"> - RMP)</w:t>
      </w:r>
    </w:p>
    <w:p w:rsidR="004E5A39" w:rsidRPr="00EF6711" w:rsidRDefault="004E5A39" w:rsidP="00EF6711">
      <w:pPr>
        <w:pStyle w:val="Paragrafoelenco"/>
        <w:spacing w:after="0" w:line="240" w:lineRule="auto"/>
        <w:ind w:left="0"/>
        <w:jc w:val="both"/>
      </w:pPr>
      <w:r w:rsidRPr="00EF6711">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3E54E7" w:rsidRPr="00DF190A">
        <w:rPr>
          <w:rFonts w:eastAsia="Calibri" w:cs="Calibri"/>
          <w:color w:val="000000"/>
          <w:lang w:eastAsia="it-IT"/>
        </w:rPr>
        <w:t>Dabigatran etexilato VI.REL Pharma</w:t>
      </w:r>
      <w:r w:rsidR="003E54E7">
        <w:rPr>
          <w:rFonts w:eastAsia="Calibri" w:cs="Calibri"/>
          <w:color w:val="000000"/>
          <w:lang w:eastAsia="it-IT"/>
        </w:rPr>
        <w:t>.</w:t>
      </w:r>
    </w:p>
    <w:p w:rsidR="00265B61" w:rsidRDefault="00265B61" w:rsidP="00265B61">
      <w:pPr>
        <w:pStyle w:val="Paragrafoelenco"/>
        <w:spacing w:after="0" w:line="240" w:lineRule="auto"/>
        <w:ind w:left="0"/>
        <w:jc w:val="both"/>
      </w:pPr>
      <w:r w:rsidRPr="008E4526">
        <w:t>Il riassunto delle problematiche di sicurezza è riportato nella tabella seguente.</w:t>
      </w:r>
    </w:p>
    <w:p w:rsidR="00265B61" w:rsidRPr="008E4526"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2795"/>
        <w:gridCol w:w="6162"/>
      </w:tblGrid>
      <w:tr w:rsidR="00265B61" w:rsidRPr="003E54E7" w:rsidTr="0042214D">
        <w:trPr>
          <w:jc w:val="center"/>
        </w:trPr>
        <w:tc>
          <w:tcPr>
            <w:tcW w:w="1560" w:type="pct"/>
            <w:shd w:val="clear" w:color="auto" w:fill="auto"/>
          </w:tcPr>
          <w:p w:rsidR="00265B61" w:rsidRPr="003E54E7" w:rsidRDefault="00265B61" w:rsidP="0042214D">
            <w:pPr>
              <w:pStyle w:val="TabletextrowsAgency"/>
              <w:spacing w:line="240" w:lineRule="auto"/>
              <w:jc w:val="both"/>
              <w:rPr>
                <w:rFonts w:asciiTheme="minorHAnsi" w:hAnsiTheme="minorHAnsi"/>
                <w:sz w:val="20"/>
                <w:szCs w:val="20"/>
                <w:highlight w:val="yellow"/>
                <w:lang w:eastAsia="en-GB"/>
              </w:rPr>
            </w:pPr>
            <w:r w:rsidRPr="003E54E7">
              <w:rPr>
                <w:rFonts w:asciiTheme="minorHAnsi" w:hAnsiTheme="minorHAnsi"/>
                <w:sz w:val="20"/>
                <w:szCs w:val="20"/>
                <w:highlight w:val="yellow"/>
                <w:lang w:eastAsia="en-GB"/>
              </w:rPr>
              <w:t>Rischi importanti identificati</w:t>
            </w:r>
          </w:p>
        </w:tc>
        <w:tc>
          <w:tcPr>
            <w:tcW w:w="3440" w:type="pct"/>
            <w:shd w:val="clear" w:color="auto" w:fill="auto"/>
          </w:tcPr>
          <w:p w:rsidR="00265B61" w:rsidRPr="003E54E7" w:rsidRDefault="00265B61" w:rsidP="00BE7CDB">
            <w:pPr>
              <w:spacing w:after="0" w:line="240" w:lineRule="auto"/>
              <w:rPr>
                <w:sz w:val="20"/>
                <w:highlight w:val="yellow"/>
              </w:rPr>
            </w:pPr>
          </w:p>
        </w:tc>
      </w:tr>
      <w:tr w:rsidR="00265B61" w:rsidRPr="003E54E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rsidR="00265B61" w:rsidRPr="003E54E7" w:rsidRDefault="00265B61" w:rsidP="0042214D">
            <w:pPr>
              <w:pStyle w:val="TabletextrowsAgency"/>
              <w:spacing w:line="240" w:lineRule="auto"/>
              <w:jc w:val="both"/>
              <w:rPr>
                <w:rFonts w:asciiTheme="minorHAnsi" w:hAnsiTheme="minorHAnsi"/>
                <w:sz w:val="20"/>
                <w:szCs w:val="20"/>
                <w:highlight w:val="yellow"/>
                <w:lang w:eastAsia="en-GB"/>
              </w:rPr>
            </w:pPr>
            <w:r w:rsidRPr="003E54E7">
              <w:rPr>
                <w:rFonts w:asciiTheme="minorHAnsi" w:hAnsiTheme="minorHAnsi"/>
                <w:sz w:val="20"/>
                <w:szCs w:val="20"/>
                <w:highlight w:val="yellow"/>
                <w:lang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rsidR="00265B61" w:rsidRPr="003E54E7" w:rsidRDefault="00265B61" w:rsidP="00BE7CDB">
            <w:pPr>
              <w:spacing w:after="0" w:line="240" w:lineRule="auto"/>
              <w:rPr>
                <w:sz w:val="20"/>
                <w:szCs w:val="20"/>
                <w:highlight w:val="yellow"/>
                <w:lang w:eastAsia="en-GB"/>
              </w:rPr>
            </w:pPr>
          </w:p>
        </w:tc>
      </w:tr>
      <w:tr w:rsidR="00265B61" w:rsidRPr="00474E7B"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rsidR="00265B61" w:rsidRPr="002A63F2" w:rsidRDefault="00265B61" w:rsidP="0042214D">
            <w:pPr>
              <w:pStyle w:val="TabletextrowsAgency"/>
              <w:spacing w:line="240" w:lineRule="auto"/>
              <w:jc w:val="both"/>
              <w:rPr>
                <w:rFonts w:asciiTheme="minorHAnsi" w:hAnsiTheme="minorHAnsi"/>
                <w:sz w:val="20"/>
                <w:szCs w:val="20"/>
                <w:lang w:eastAsia="en-GB"/>
              </w:rPr>
            </w:pPr>
            <w:r w:rsidRPr="003E54E7">
              <w:rPr>
                <w:rFonts w:asciiTheme="minorHAnsi" w:hAnsiTheme="minorHAnsi"/>
                <w:sz w:val="20"/>
                <w:szCs w:val="20"/>
                <w:highlight w:val="yellow"/>
                <w:lang w:eastAsia="en-GB"/>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rsidR="00265B61" w:rsidRPr="00BE7CDB" w:rsidRDefault="00265B61" w:rsidP="00BE7CDB">
            <w:pPr>
              <w:spacing w:after="0" w:line="240" w:lineRule="auto"/>
              <w:rPr>
                <w:sz w:val="20"/>
              </w:rPr>
            </w:pPr>
          </w:p>
        </w:tc>
      </w:tr>
    </w:tbl>
    <w:p w:rsidR="00265B61" w:rsidRPr="007C482D" w:rsidRDefault="00265B61" w:rsidP="00265B61">
      <w:pPr>
        <w:pStyle w:val="Paragrafoelenco"/>
        <w:spacing w:after="0" w:line="240" w:lineRule="auto"/>
        <w:ind w:left="0"/>
        <w:jc w:val="both"/>
        <w:rPr>
          <w:highlight w:val="yellow"/>
        </w:rPr>
      </w:pPr>
    </w:p>
    <w:p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rsidR="004E5A39" w:rsidRPr="00EF6711" w:rsidRDefault="004E5A39" w:rsidP="00EF6711">
      <w:pPr>
        <w:pStyle w:val="Paragrafoelenco"/>
        <w:spacing w:after="0" w:line="240" w:lineRule="auto"/>
        <w:ind w:left="0"/>
        <w:jc w:val="both"/>
      </w:pPr>
      <w:r w:rsidRPr="00EF6711">
        <w:t>Oltre le misure previste nel Riassunto delle caratteristiche del prodotto non sono previste attività addizionali di minimizzazione del rischio</w:t>
      </w: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spacing w:after="0" w:line="240" w:lineRule="auto"/>
        <w:ind w:left="0"/>
        <w:jc w:val="both"/>
        <w:rPr>
          <w:b/>
        </w:rPr>
      </w:pPr>
      <w:r w:rsidRPr="00EF6711">
        <w:rPr>
          <w:b/>
        </w:rPr>
        <w:t>Conclusioni</w:t>
      </w:r>
    </w:p>
    <w:p w:rsidR="004E5A39" w:rsidRPr="00EF6711" w:rsidRDefault="004E5A39" w:rsidP="00EF6711">
      <w:pPr>
        <w:pStyle w:val="Paragrafoelenco"/>
        <w:spacing w:after="0" w:line="240" w:lineRule="auto"/>
        <w:ind w:left="0"/>
        <w:jc w:val="both"/>
      </w:pPr>
      <w:r w:rsidRPr="00EF6711">
        <w:t xml:space="preserve">Per la richiesta di AIC di </w:t>
      </w:r>
      <w:r w:rsidR="003E54E7" w:rsidRPr="00DF190A">
        <w:rPr>
          <w:rFonts w:eastAsia="Calibri" w:cs="Calibri"/>
          <w:color w:val="000000"/>
          <w:lang w:eastAsia="it-IT"/>
        </w:rPr>
        <w:t>Dabigatran etexilato VI.REL Pharma</w:t>
      </w:r>
      <w:r w:rsidR="003E54E7">
        <w:t xml:space="preserve"> </w:t>
      </w:r>
      <w:r w:rsidRPr="00EF6711">
        <w:t>sono state presentate sufficienti informazioni cliniche.</w:t>
      </w:r>
    </w:p>
    <w:p w:rsidR="004E5A39" w:rsidRPr="00EF6711" w:rsidRDefault="004E5A39" w:rsidP="00EF6711">
      <w:pPr>
        <w:pStyle w:val="Paragrafoelenco"/>
        <w:spacing w:after="0" w:line="240" w:lineRule="auto"/>
        <w:ind w:left="0"/>
        <w:jc w:val="both"/>
      </w:pPr>
      <w:r w:rsidRPr="00EF6711">
        <w:t xml:space="preserve">Il rapporto beneficio/rischio di </w:t>
      </w:r>
      <w:r w:rsidR="003E54E7" w:rsidRPr="00DF190A">
        <w:rPr>
          <w:rFonts w:eastAsia="Calibri" w:cs="Calibri"/>
          <w:color w:val="000000"/>
          <w:lang w:eastAsia="it-IT"/>
        </w:rPr>
        <w:t>Dabigatran etexilato VI.REL Pharma</w:t>
      </w:r>
      <w:r w:rsidR="003E54E7">
        <w:t xml:space="preserve"> </w:t>
      </w:r>
      <w:r w:rsidRPr="00EF6711">
        <w:t>è considerato favorevole dal punto di vista clinico.</w:t>
      </w: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rsidR="004E5A39" w:rsidRPr="00EF6711" w:rsidRDefault="004E5A39" w:rsidP="00EF6711">
      <w:pPr>
        <w:spacing w:after="0" w:line="240" w:lineRule="auto"/>
        <w:jc w:val="both"/>
      </w:pPr>
      <w:r w:rsidRPr="00EF6711">
        <w:lastRenderedPageBreak/>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rsidR="004E5A39" w:rsidRPr="00EF6711" w:rsidRDefault="004E5A39" w:rsidP="00EF6711">
      <w:pPr>
        <w:pStyle w:val="Paragrafoelenco"/>
        <w:spacing w:after="0" w:line="240" w:lineRule="auto"/>
        <w:ind w:left="0"/>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rsidR="004E5A39" w:rsidRDefault="004E5A39" w:rsidP="00EF6711">
      <w:pPr>
        <w:spacing w:after="0" w:line="240" w:lineRule="auto"/>
        <w:jc w:val="both"/>
      </w:pPr>
      <w:r w:rsidRPr="00EF6711">
        <w:t xml:space="preserve">La qualità di </w:t>
      </w:r>
      <w:r w:rsidR="003E54E7" w:rsidRPr="00DF190A">
        <w:rPr>
          <w:rFonts w:eastAsia="Calibri" w:cs="Calibri"/>
          <w:color w:val="000000"/>
          <w:lang w:eastAsia="it-IT"/>
        </w:rPr>
        <w:t>Dabigatran etexilato VI.REL Pharma</w:t>
      </w:r>
      <w:r w:rsidR="003E54E7">
        <w:t xml:space="preserve"> </w:t>
      </w:r>
      <w:r w:rsidRPr="00EF6711">
        <w:t>è accettabile e non sono state rilevate criticità da un punto di vista non clinico e clinico.</w:t>
      </w:r>
    </w:p>
    <w:p w:rsidR="00BE7CDB" w:rsidRDefault="00BE7CDB" w:rsidP="00BE7CDB">
      <w:pPr>
        <w:spacing w:after="0" w:line="240" w:lineRule="auto"/>
        <w:jc w:val="both"/>
      </w:pPr>
      <w:r>
        <w:t xml:space="preserve">Lo studio di bioequivalenza e le sue conclusioni confermano che </w:t>
      </w:r>
      <w:r w:rsidR="003E54E7" w:rsidRPr="00DF190A">
        <w:rPr>
          <w:rFonts w:eastAsia="Calibri" w:cs="Calibri"/>
          <w:color w:val="000000"/>
          <w:lang w:eastAsia="it-IT"/>
        </w:rPr>
        <w:t>Dabigatran etexilato VI.REL Pharma</w:t>
      </w:r>
      <w:r w:rsidR="003E54E7">
        <w:t xml:space="preserve"> </w:t>
      </w:r>
      <w:r>
        <w:t xml:space="preserve">e il medicinale di riferimento </w:t>
      </w:r>
      <w:r w:rsidR="003E54E7">
        <w:t>Pradaxa sono bioequivalenti</w:t>
      </w:r>
      <w:r>
        <w:t>.</w:t>
      </w:r>
    </w:p>
    <w:p w:rsidR="004E5A39" w:rsidRPr="00EF6711" w:rsidRDefault="004E5A39" w:rsidP="00EF6711">
      <w:pPr>
        <w:spacing w:after="0" w:line="240" w:lineRule="auto"/>
        <w:jc w:val="both"/>
      </w:pPr>
      <w:r w:rsidRPr="00EF6711">
        <w:t>Il rapporto beneficio/rischio è considerato positivo.</w:t>
      </w:r>
    </w:p>
    <w:p w:rsidR="00CE62A1" w:rsidRDefault="004E5A39" w:rsidP="00EF6711">
      <w:pPr>
        <w:spacing w:after="0" w:line="240" w:lineRule="auto"/>
        <w:jc w:val="both"/>
        <w:rPr>
          <w:rFonts w:eastAsia="Calibri" w:cs="Calibri"/>
          <w:lang w:eastAsia="it-IT"/>
        </w:rPr>
      </w:pPr>
      <w:r w:rsidRPr="00EF6711">
        <w:t xml:space="preserve">Il riassunto delle caratteristiche del prodotto, il foglio illustrativo e le etichette sono in linea con le correnti linee guida. Questi documenti possono essere consultati sul sito istituzionale di AIFA </w:t>
      </w:r>
      <w:r w:rsidRPr="00EF6711">
        <w:rPr>
          <w:rFonts w:eastAsia="Calibri" w:cs="Calibri"/>
          <w:lang w:eastAsia="it-IT"/>
        </w:rPr>
        <w:t>(</w:t>
      </w:r>
      <w:hyperlink r:id="rId9"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rsidR="006B311C" w:rsidRDefault="006B311C" w:rsidP="00EF6711">
      <w:pPr>
        <w:spacing w:after="0" w:line="240" w:lineRule="auto"/>
        <w:jc w:val="both"/>
        <w:rPr>
          <w:rFonts w:eastAsia="Calibri" w:cs="Calibri"/>
          <w:lang w:eastAsia="it-IT"/>
        </w:rPr>
      </w:pPr>
    </w:p>
    <w:sectPr w:rsidR="006B311C" w:rsidSect="00EF6711">
      <w:pgSz w:w="11906" w:h="16838"/>
      <w:pgMar w:top="1418"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Fd1041514-Identity-H">
    <w:panose1 w:val="00000000000000000000"/>
    <w:charset w:val="00"/>
    <w:family w:val="auto"/>
    <w:notTrueType/>
    <w:pitch w:val="default"/>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521E0ED9"/>
    <w:multiLevelType w:val="hybridMultilevel"/>
    <w:tmpl w:val="75B2CDEC"/>
    <w:lvl w:ilvl="0" w:tplc="FA344190">
      <w:numFmt w:val="bullet"/>
      <w:lvlText w:val="•"/>
      <w:lvlJc w:val="left"/>
      <w:pPr>
        <w:ind w:left="938" w:hanging="360"/>
      </w:pPr>
      <w:rPr>
        <w:rFonts w:hint="default"/>
      </w:rPr>
    </w:lvl>
    <w:lvl w:ilvl="1" w:tplc="04100003" w:tentative="1">
      <w:start w:val="1"/>
      <w:numFmt w:val="bullet"/>
      <w:lvlText w:val="o"/>
      <w:lvlJc w:val="left"/>
      <w:pPr>
        <w:ind w:left="1658" w:hanging="360"/>
      </w:pPr>
      <w:rPr>
        <w:rFonts w:ascii="Courier New" w:hAnsi="Courier New" w:cs="Courier New" w:hint="default"/>
      </w:rPr>
    </w:lvl>
    <w:lvl w:ilvl="2" w:tplc="04100005" w:tentative="1">
      <w:start w:val="1"/>
      <w:numFmt w:val="bullet"/>
      <w:lvlText w:val=""/>
      <w:lvlJc w:val="left"/>
      <w:pPr>
        <w:ind w:left="2378" w:hanging="360"/>
      </w:pPr>
      <w:rPr>
        <w:rFonts w:ascii="Wingdings" w:hAnsi="Wingdings" w:hint="default"/>
      </w:rPr>
    </w:lvl>
    <w:lvl w:ilvl="3" w:tplc="04100001" w:tentative="1">
      <w:start w:val="1"/>
      <w:numFmt w:val="bullet"/>
      <w:lvlText w:val=""/>
      <w:lvlJc w:val="left"/>
      <w:pPr>
        <w:ind w:left="3098" w:hanging="360"/>
      </w:pPr>
      <w:rPr>
        <w:rFonts w:ascii="Symbol" w:hAnsi="Symbol" w:hint="default"/>
      </w:rPr>
    </w:lvl>
    <w:lvl w:ilvl="4" w:tplc="04100003" w:tentative="1">
      <w:start w:val="1"/>
      <w:numFmt w:val="bullet"/>
      <w:lvlText w:val="o"/>
      <w:lvlJc w:val="left"/>
      <w:pPr>
        <w:ind w:left="3818" w:hanging="360"/>
      </w:pPr>
      <w:rPr>
        <w:rFonts w:ascii="Courier New" w:hAnsi="Courier New" w:cs="Courier New" w:hint="default"/>
      </w:rPr>
    </w:lvl>
    <w:lvl w:ilvl="5" w:tplc="04100005" w:tentative="1">
      <w:start w:val="1"/>
      <w:numFmt w:val="bullet"/>
      <w:lvlText w:val=""/>
      <w:lvlJc w:val="left"/>
      <w:pPr>
        <w:ind w:left="4538" w:hanging="360"/>
      </w:pPr>
      <w:rPr>
        <w:rFonts w:ascii="Wingdings" w:hAnsi="Wingdings" w:hint="default"/>
      </w:rPr>
    </w:lvl>
    <w:lvl w:ilvl="6" w:tplc="04100001" w:tentative="1">
      <w:start w:val="1"/>
      <w:numFmt w:val="bullet"/>
      <w:lvlText w:val=""/>
      <w:lvlJc w:val="left"/>
      <w:pPr>
        <w:ind w:left="5258" w:hanging="360"/>
      </w:pPr>
      <w:rPr>
        <w:rFonts w:ascii="Symbol" w:hAnsi="Symbol" w:hint="default"/>
      </w:rPr>
    </w:lvl>
    <w:lvl w:ilvl="7" w:tplc="04100003" w:tentative="1">
      <w:start w:val="1"/>
      <w:numFmt w:val="bullet"/>
      <w:lvlText w:val="o"/>
      <w:lvlJc w:val="left"/>
      <w:pPr>
        <w:ind w:left="5978" w:hanging="360"/>
      </w:pPr>
      <w:rPr>
        <w:rFonts w:ascii="Courier New" w:hAnsi="Courier New" w:cs="Courier New" w:hint="default"/>
      </w:rPr>
    </w:lvl>
    <w:lvl w:ilvl="8" w:tplc="04100005" w:tentative="1">
      <w:start w:val="1"/>
      <w:numFmt w:val="bullet"/>
      <w:lvlText w:val=""/>
      <w:lvlJc w:val="left"/>
      <w:pPr>
        <w:ind w:left="6698" w:hanging="360"/>
      </w:pPr>
      <w:rPr>
        <w:rFonts w:ascii="Wingdings" w:hAnsi="Wingdings" w:hint="default"/>
      </w:rPr>
    </w:lvl>
  </w:abstractNum>
  <w:abstractNum w:abstractNumId="5">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14743"/>
    <w:rsid w:val="00022511"/>
    <w:rsid w:val="00023CEA"/>
    <w:rsid w:val="00033FFC"/>
    <w:rsid w:val="00062636"/>
    <w:rsid w:val="000808A3"/>
    <w:rsid w:val="000A4BA1"/>
    <w:rsid w:val="000B7AC8"/>
    <w:rsid w:val="000E1F86"/>
    <w:rsid w:val="000E4494"/>
    <w:rsid w:val="000F658F"/>
    <w:rsid w:val="00111E9E"/>
    <w:rsid w:val="001460CA"/>
    <w:rsid w:val="001C15DF"/>
    <w:rsid w:val="00265B61"/>
    <w:rsid w:val="00277A0E"/>
    <w:rsid w:val="002F2543"/>
    <w:rsid w:val="002F4000"/>
    <w:rsid w:val="00300BEA"/>
    <w:rsid w:val="003061E0"/>
    <w:rsid w:val="00367CE0"/>
    <w:rsid w:val="003E54E7"/>
    <w:rsid w:val="004121BF"/>
    <w:rsid w:val="0042214D"/>
    <w:rsid w:val="00423A97"/>
    <w:rsid w:val="004241AC"/>
    <w:rsid w:val="004609F8"/>
    <w:rsid w:val="004B20A8"/>
    <w:rsid w:val="004D018D"/>
    <w:rsid w:val="004E5A39"/>
    <w:rsid w:val="00500ACA"/>
    <w:rsid w:val="005049A1"/>
    <w:rsid w:val="00504FC1"/>
    <w:rsid w:val="0056372C"/>
    <w:rsid w:val="00567615"/>
    <w:rsid w:val="005950D6"/>
    <w:rsid w:val="005F3E03"/>
    <w:rsid w:val="00621AE2"/>
    <w:rsid w:val="00642D6A"/>
    <w:rsid w:val="0064646C"/>
    <w:rsid w:val="00654D9E"/>
    <w:rsid w:val="00664931"/>
    <w:rsid w:val="006727BD"/>
    <w:rsid w:val="006B311C"/>
    <w:rsid w:val="006B3E12"/>
    <w:rsid w:val="006D007D"/>
    <w:rsid w:val="006D7B8C"/>
    <w:rsid w:val="00711E90"/>
    <w:rsid w:val="00716DF5"/>
    <w:rsid w:val="007170D7"/>
    <w:rsid w:val="007221B6"/>
    <w:rsid w:val="00766E26"/>
    <w:rsid w:val="00797416"/>
    <w:rsid w:val="00814B22"/>
    <w:rsid w:val="00823F4C"/>
    <w:rsid w:val="008547B3"/>
    <w:rsid w:val="008725A5"/>
    <w:rsid w:val="008819D4"/>
    <w:rsid w:val="0088216F"/>
    <w:rsid w:val="008A6FEC"/>
    <w:rsid w:val="008B60D7"/>
    <w:rsid w:val="008C3D30"/>
    <w:rsid w:val="008D1529"/>
    <w:rsid w:val="00943785"/>
    <w:rsid w:val="00957832"/>
    <w:rsid w:val="009A23DE"/>
    <w:rsid w:val="009A260F"/>
    <w:rsid w:val="009B03DB"/>
    <w:rsid w:val="009D3446"/>
    <w:rsid w:val="009E0140"/>
    <w:rsid w:val="009E2BC0"/>
    <w:rsid w:val="009F3867"/>
    <w:rsid w:val="00A01AB1"/>
    <w:rsid w:val="00A40FF3"/>
    <w:rsid w:val="00A62D55"/>
    <w:rsid w:val="00A908B9"/>
    <w:rsid w:val="00A966D1"/>
    <w:rsid w:val="00B023E9"/>
    <w:rsid w:val="00B1186F"/>
    <w:rsid w:val="00B30431"/>
    <w:rsid w:val="00BA0ACD"/>
    <w:rsid w:val="00BB2AF8"/>
    <w:rsid w:val="00BB4C53"/>
    <w:rsid w:val="00BB7B54"/>
    <w:rsid w:val="00BC74C2"/>
    <w:rsid w:val="00BE7CDB"/>
    <w:rsid w:val="00BF55B9"/>
    <w:rsid w:val="00BF7A42"/>
    <w:rsid w:val="00C2565A"/>
    <w:rsid w:val="00C42AAC"/>
    <w:rsid w:val="00C66597"/>
    <w:rsid w:val="00C67874"/>
    <w:rsid w:val="00CC52A3"/>
    <w:rsid w:val="00CC7AFF"/>
    <w:rsid w:val="00CE62A1"/>
    <w:rsid w:val="00D20170"/>
    <w:rsid w:val="00D212AA"/>
    <w:rsid w:val="00D575B7"/>
    <w:rsid w:val="00D60600"/>
    <w:rsid w:val="00DB359A"/>
    <w:rsid w:val="00DF190A"/>
    <w:rsid w:val="00E10D6C"/>
    <w:rsid w:val="00E419C5"/>
    <w:rsid w:val="00E43089"/>
    <w:rsid w:val="00E51170"/>
    <w:rsid w:val="00E83F8D"/>
    <w:rsid w:val="00EC3589"/>
    <w:rsid w:val="00EF062E"/>
    <w:rsid w:val="00EF6711"/>
    <w:rsid w:val="00F66767"/>
    <w:rsid w:val="00F85989"/>
    <w:rsid w:val="00F96473"/>
    <w:rsid w:val="00FA2702"/>
    <w:rsid w:val="00FF56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deltesto">
    <w:name w:val="Body Text"/>
    <w:basedOn w:val="Normale"/>
    <w:link w:val="CorpodeltestoCarattere"/>
    <w:uiPriority w:val="99"/>
    <w:semiHidden/>
    <w:unhideWhenUsed/>
    <w:rsid w:val="00033FFC"/>
    <w:pPr>
      <w:spacing w:after="120"/>
    </w:pPr>
  </w:style>
  <w:style w:type="character" w:customStyle="1" w:styleId="CorpodeltestoCarattere">
    <w:name w:val="Corpo del testo Carattere"/>
    <w:basedOn w:val="Carpredefinitoparagrafo"/>
    <w:link w:val="Corpodeltesto"/>
    <w:uiPriority w:val="99"/>
    <w:semiHidden/>
    <w:rsid w:val="00033FFC"/>
  </w:style>
</w:styles>
</file>

<file path=word/webSettings.xml><?xml version="1.0" encoding="utf-8"?>
<w:webSettings xmlns:r="http://schemas.openxmlformats.org/officeDocument/2006/relationships" xmlns:w="http://schemas.openxmlformats.org/wordprocessingml/2006/main">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3389</Words>
  <Characters>19321</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rovazzanid</cp:lastModifiedBy>
  <cp:revision>8</cp:revision>
  <dcterms:created xsi:type="dcterms:W3CDTF">2018-10-23T08:54:00Z</dcterms:created>
  <dcterms:modified xsi:type="dcterms:W3CDTF">2019-09-18T11:28:00Z</dcterms:modified>
</cp:coreProperties>
</file>