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EF5F0A" w:rsidRDefault="00326548" w:rsidP="003D3860">
      <w:pPr>
        <w:rPr>
          <w:lang w:val="en-US"/>
        </w:rPr>
      </w:pPr>
      <w:r w:rsidRPr="00EF5F0A">
        <w:rPr>
          <w:noProof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Pr="00EF5F0A" w:rsidRDefault="004241AC" w:rsidP="004241AC">
      <w:pPr>
        <w:spacing w:after="0" w:line="240" w:lineRule="auto"/>
        <w:jc w:val="center"/>
        <w:rPr>
          <w:rFonts w:ascii="Calibri" w:hAnsi="Calibri"/>
          <w:b/>
        </w:rPr>
      </w:pPr>
    </w:p>
    <w:p w:rsidR="004241AC" w:rsidRPr="00EF5F0A" w:rsidRDefault="00B53B58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 xml:space="preserve">Riassunto della Relazione Pubblica </w:t>
      </w:r>
      <w:r w:rsidR="004241AC" w:rsidRPr="00EF5F0A">
        <w:rPr>
          <w:rFonts w:ascii="Calibri" w:hAnsi="Calibri"/>
          <w:b/>
        </w:rPr>
        <w:t>di Valutazione</w:t>
      </w:r>
    </w:p>
    <w:p w:rsidR="00B32D81" w:rsidRPr="00EF5F0A" w:rsidRDefault="00B32D81" w:rsidP="00B32D81">
      <w:pPr>
        <w:spacing w:after="0" w:line="240" w:lineRule="auto"/>
        <w:jc w:val="center"/>
        <w:rPr>
          <w:rFonts w:ascii="Calibri" w:hAnsi="Calibri"/>
          <w:b/>
        </w:rPr>
      </w:pPr>
    </w:p>
    <w:p w:rsidR="009F0F0B" w:rsidRPr="00EF5F0A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  <w:bookmarkStart w:id="0" w:name="Text15"/>
    </w:p>
    <w:p w:rsidR="00DA1945" w:rsidRPr="00EF5F0A" w:rsidRDefault="009A1779" w:rsidP="00B32D81">
      <w:pPr>
        <w:widowControl w:val="0"/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MOMENT</w:t>
      </w:r>
    </w:p>
    <w:p w:rsidR="004241AC" w:rsidRPr="00EF5F0A" w:rsidRDefault="00DA1945" w:rsidP="00B32D81">
      <w:pPr>
        <w:widowControl w:val="0"/>
        <w:spacing w:after="0" w:line="240" w:lineRule="auto"/>
        <w:jc w:val="center"/>
        <w:rPr>
          <w:rFonts w:ascii="Calibri" w:hAnsi="Calibri"/>
          <w:snapToGrid w:val="0"/>
        </w:rPr>
      </w:pPr>
      <w:r w:rsidRPr="00EF5F0A">
        <w:rPr>
          <w:rFonts w:ascii="Calibri" w:hAnsi="Calibri"/>
          <w:snapToGrid w:val="0"/>
        </w:rPr>
        <w:t>(</w:t>
      </w:r>
      <w:r w:rsidR="009A1779" w:rsidRPr="00EF5F0A">
        <w:rPr>
          <w:rFonts w:ascii="Calibri" w:hAnsi="Calibri"/>
          <w:snapToGrid w:val="0"/>
        </w:rPr>
        <w:t>IBUPROFENE</w:t>
      </w:r>
      <w:r w:rsidR="004241AC" w:rsidRPr="00EF5F0A">
        <w:rPr>
          <w:rFonts w:ascii="Calibri" w:hAnsi="Calibri"/>
          <w:snapToGrid w:val="0"/>
        </w:rPr>
        <w:t>)</w:t>
      </w:r>
    </w:p>
    <w:p w:rsidR="00A15887" w:rsidRPr="00EF5F0A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A15887" w:rsidRPr="00EF5F0A" w:rsidRDefault="009A1779" w:rsidP="00B32D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  <w:r w:rsidRPr="00EF5F0A">
        <w:rPr>
          <w:rFonts w:ascii="Calibri" w:hAnsi="Calibri"/>
          <w:b/>
        </w:rPr>
        <w:t>AZIENDE CHIMICHE RIUNITE ANGELINI FRANCESCO ACRAF SPA</w:t>
      </w:r>
    </w:p>
    <w:p w:rsidR="009F0F0B" w:rsidRPr="00EF5F0A" w:rsidRDefault="009A1779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 xml:space="preserve"> </w:t>
      </w:r>
    </w:p>
    <w:p w:rsidR="00FF3972" w:rsidRPr="00EF5F0A" w:rsidRDefault="00FF3972" w:rsidP="00B32D81">
      <w:pPr>
        <w:spacing w:after="0" w:line="240" w:lineRule="auto"/>
        <w:jc w:val="center"/>
        <w:rPr>
          <w:rFonts w:ascii="Calibri" w:hAnsi="Calibri"/>
          <w:b/>
        </w:rPr>
      </w:pPr>
    </w:p>
    <w:p w:rsidR="004241AC" w:rsidRPr="00EF5F0A" w:rsidRDefault="004241AC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 xml:space="preserve">Numero di AIC: </w:t>
      </w:r>
      <w:r w:rsidR="009A1779" w:rsidRPr="00EF5F0A">
        <w:rPr>
          <w:rFonts w:ascii="Calibri" w:hAnsi="Calibri"/>
          <w:b/>
        </w:rPr>
        <w:t xml:space="preserve"> 025669</w:t>
      </w:r>
    </w:p>
    <w:bookmarkEnd w:id="0"/>
    <w:p w:rsidR="00B32D81" w:rsidRPr="00EF5F0A" w:rsidRDefault="00F80DE9" w:rsidP="00B32D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</w:rPr>
      </w:pPr>
      <w:r w:rsidRPr="00EF5F0A">
        <w:rPr>
          <w:rFonts w:ascii="Calibri" w:eastAsia="Calibri" w:hAnsi="Calibri" w:cs="Calibri"/>
          <w:b/>
          <w:color w:val="000000"/>
        </w:rPr>
        <w:t xml:space="preserve"> 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:rsidR="004241AC" w:rsidRPr="00EF5F0A" w:rsidRDefault="004241AC" w:rsidP="00B32D81">
      <w:pPr>
        <w:widowControl w:val="0"/>
        <w:spacing w:after="0" w:line="240" w:lineRule="auto"/>
        <w:jc w:val="both"/>
        <w:rPr>
          <w:rFonts w:ascii="Calibri" w:hAnsi="Calibri" w:cs="Times New Roman"/>
          <w:b/>
          <w:bCs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Questa è la sintesi del </w:t>
      </w:r>
      <w:r w:rsidR="00322BF5" w:rsidRPr="00EF5F0A">
        <w:rPr>
          <w:rFonts w:ascii="Calibri" w:eastAsia="Calibri" w:hAnsi="Calibri" w:cs="Calibri"/>
          <w:i/>
          <w:color w:val="000000"/>
        </w:rPr>
        <w:t>Public Assessment Report</w:t>
      </w:r>
      <w:r w:rsidRPr="00EF5F0A">
        <w:rPr>
          <w:rFonts w:ascii="Calibri" w:eastAsia="Calibri" w:hAnsi="Calibri" w:cs="Calibri"/>
          <w:color w:val="000000"/>
        </w:rPr>
        <w:t xml:space="preserve"> (PAR) per </w:t>
      </w:r>
      <w:r w:rsidR="009A1779" w:rsidRPr="00EF5F0A">
        <w:rPr>
          <w:rFonts w:ascii="Calibri" w:hAnsi="Calibri" w:cs="Times New Roman"/>
          <w:bCs/>
          <w:color w:val="000000"/>
        </w:rPr>
        <w:t>MOMENT</w:t>
      </w:r>
      <w:r w:rsidR="00FF3972" w:rsidRPr="00EF5F0A">
        <w:rPr>
          <w:rFonts w:ascii="Calibri" w:hAnsi="Calibri" w:cs="Times New Roman"/>
          <w:bCs/>
          <w:color w:val="000000"/>
        </w:rPr>
        <w:t>.</w:t>
      </w:r>
      <w:r w:rsidRPr="00EF5F0A">
        <w:rPr>
          <w:rFonts w:ascii="Calibri" w:eastAsia="Calibri" w:hAnsi="Calibri" w:cs="Calibri"/>
          <w:bCs/>
          <w:color w:val="000000"/>
        </w:rPr>
        <w:t xml:space="preserve"> </w:t>
      </w:r>
      <w:r w:rsidRPr="00EF5F0A">
        <w:rPr>
          <w:rFonts w:ascii="Calibri" w:eastAsia="Calibri" w:hAnsi="Calibri" w:cs="Calibri"/>
          <w:color w:val="000000"/>
        </w:rPr>
        <w:t xml:space="preserve">Esso spiega come </w:t>
      </w:r>
      <w:r w:rsidR="009A1779" w:rsidRPr="00EF5F0A">
        <w:rPr>
          <w:rFonts w:ascii="Calibri" w:eastAsia="Calibri" w:hAnsi="Calibri" w:cs="Calibri"/>
          <w:color w:val="000000"/>
        </w:rPr>
        <w:t>MOMENT</w:t>
      </w:r>
      <w:r w:rsidR="00FF3972" w:rsidRPr="00EF5F0A">
        <w:rPr>
          <w:rFonts w:ascii="Calibri" w:eastAsia="Calibri" w:hAnsi="Calibri" w:cs="Calibri"/>
          <w:color w:val="000000"/>
        </w:rPr>
        <w:t xml:space="preserve"> </w:t>
      </w:r>
      <w:r w:rsidRPr="00EF5F0A">
        <w:rPr>
          <w:rFonts w:ascii="Calibri" w:eastAsia="Calibri" w:hAnsi="Calibri" w:cs="Calibri"/>
          <w:color w:val="000000"/>
        </w:rPr>
        <w:t xml:space="preserve">è stato valutato dalla Commissione Tecnico-Scientifica (CTS) e sue le condizioni </w:t>
      </w:r>
      <w:r w:rsidR="005D53B9" w:rsidRPr="00EF5F0A">
        <w:rPr>
          <w:rFonts w:ascii="Calibri" w:eastAsia="Calibri" w:hAnsi="Calibri" w:cs="Calibri"/>
          <w:color w:val="000000"/>
        </w:rPr>
        <w:t xml:space="preserve">di impiego. Non intende fornire </w:t>
      </w:r>
      <w:r w:rsidRPr="00EF5F0A">
        <w:rPr>
          <w:rFonts w:ascii="Calibri" w:eastAsia="Calibri" w:hAnsi="Calibri" w:cs="Calibri"/>
          <w:color w:val="000000"/>
        </w:rPr>
        <w:t xml:space="preserve">consigli pratici su come utilizzare </w:t>
      </w:r>
      <w:r w:rsidR="009A1779" w:rsidRPr="00EF5F0A">
        <w:rPr>
          <w:rFonts w:ascii="Calibri" w:eastAsia="Calibri" w:hAnsi="Calibri" w:cs="Calibri"/>
          <w:color w:val="000000"/>
        </w:rPr>
        <w:t>MOMENT</w:t>
      </w:r>
      <w:r w:rsidR="00FF3972" w:rsidRPr="00EF5F0A">
        <w:rPr>
          <w:rFonts w:ascii="Calibri" w:eastAsia="Calibri" w:hAnsi="Calibri" w:cs="Calibri"/>
          <w:color w:val="000000"/>
        </w:rPr>
        <w:t>.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>Per informazioni pratiche sull'utilizzo di</w:t>
      </w:r>
      <w:r w:rsidRPr="00EF5F0A">
        <w:rPr>
          <w:rFonts w:ascii="Calibri" w:eastAsia="Calibri" w:hAnsi="Calibri" w:cs="Calibri"/>
          <w:bCs/>
          <w:color w:val="000000"/>
        </w:rPr>
        <w:t xml:space="preserve"> </w:t>
      </w:r>
      <w:r w:rsidR="009A1779" w:rsidRPr="00EF5F0A">
        <w:rPr>
          <w:rFonts w:ascii="Calibri" w:eastAsia="Calibri" w:hAnsi="Calibri" w:cs="Calibri"/>
          <w:color w:val="000000"/>
        </w:rPr>
        <w:t>MOMENT</w:t>
      </w:r>
      <w:r w:rsidR="00FF3972" w:rsidRPr="00EF5F0A">
        <w:rPr>
          <w:rFonts w:ascii="Calibri" w:eastAsia="Calibri" w:hAnsi="Calibri" w:cs="Calibri"/>
          <w:color w:val="000000"/>
        </w:rPr>
        <w:t xml:space="preserve"> </w:t>
      </w:r>
      <w:r w:rsidRPr="00EF5F0A">
        <w:rPr>
          <w:rFonts w:ascii="Calibri" w:eastAsia="Calibri" w:hAnsi="Calibri" w:cs="Calibri"/>
          <w:color w:val="000000"/>
        </w:rPr>
        <w:t xml:space="preserve">i pazienti devono consultare il foglio illustrativo o contattare il loro medico o </w:t>
      </w:r>
      <w:r w:rsidR="00FA55B0" w:rsidRPr="00EF5F0A">
        <w:rPr>
          <w:rFonts w:ascii="Calibri" w:eastAsia="Calibri" w:hAnsi="Calibri" w:cs="Calibri"/>
          <w:color w:val="000000"/>
        </w:rPr>
        <w:t xml:space="preserve">il </w:t>
      </w:r>
      <w:r w:rsidRPr="00EF5F0A">
        <w:rPr>
          <w:rFonts w:ascii="Calibri" w:eastAsia="Calibri" w:hAnsi="Calibri" w:cs="Calibri"/>
          <w:color w:val="000000"/>
        </w:rPr>
        <w:t xml:space="preserve">farmacista. 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b/>
          <w:bCs/>
          <w:color w:val="000000"/>
        </w:rPr>
        <w:t xml:space="preserve">1) CHE COS’È </w:t>
      </w:r>
      <w:r w:rsidR="009A1779" w:rsidRPr="00EF5F0A">
        <w:rPr>
          <w:rFonts w:ascii="Calibri" w:eastAsia="Calibri" w:hAnsi="Calibri" w:cs="Calibri"/>
          <w:b/>
          <w:color w:val="000000"/>
        </w:rPr>
        <w:t>MOMENT</w:t>
      </w:r>
      <w:r w:rsidR="00FF3972" w:rsidRPr="00EF5F0A">
        <w:rPr>
          <w:rFonts w:ascii="Calibri" w:eastAsia="Calibri" w:hAnsi="Calibri" w:cs="Calibri"/>
          <w:b/>
          <w:color w:val="000000"/>
        </w:rPr>
        <w:t xml:space="preserve"> </w:t>
      </w:r>
      <w:r w:rsidR="003A0AA5" w:rsidRPr="00EF5F0A">
        <w:rPr>
          <w:rFonts w:ascii="Calibri" w:eastAsia="Calibri" w:hAnsi="Calibri" w:cs="Calibri"/>
          <w:b/>
          <w:bCs/>
          <w:color w:val="000000"/>
        </w:rPr>
        <w:t>E A COSA SERVE</w:t>
      </w:r>
      <w:r w:rsidRPr="00EF5F0A">
        <w:rPr>
          <w:rFonts w:ascii="Calibri" w:eastAsia="Calibri" w:hAnsi="Calibri" w:cs="Calibri"/>
          <w:b/>
          <w:bCs/>
          <w:color w:val="000000"/>
        </w:rPr>
        <w:t xml:space="preserve">? </w:t>
      </w:r>
    </w:p>
    <w:p w:rsidR="00B53B58" w:rsidRPr="00EF5F0A" w:rsidRDefault="009A1779" w:rsidP="004A3172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>MOMENT</w:t>
      </w:r>
      <w:r w:rsidR="00FF3972" w:rsidRPr="00EF5F0A">
        <w:rPr>
          <w:rFonts w:ascii="Calibri" w:eastAsia="Calibri" w:hAnsi="Calibri" w:cs="Calibri"/>
          <w:color w:val="000000"/>
        </w:rPr>
        <w:t xml:space="preserve"> </w:t>
      </w:r>
      <w:r w:rsidR="004241AC" w:rsidRPr="00EF5F0A">
        <w:rPr>
          <w:rFonts w:ascii="Calibri" w:eastAsia="Calibri" w:hAnsi="Calibri" w:cs="Calibri"/>
          <w:color w:val="000000"/>
        </w:rPr>
        <w:t xml:space="preserve">è un medicinale contenente </w:t>
      </w:r>
      <w:r w:rsidR="00062636" w:rsidRPr="00EF5F0A">
        <w:rPr>
          <w:rFonts w:ascii="Calibri" w:eastAsia="Calibri" w:hAnsi="Calibri" w:cs="Calibri"/>
          <w:color w:val="000000"/>
        </w:rPr>
        <w:t>i</w:t>
      </w:r>
      <w:r w:rsidR="005F2D30" w:rsidRPr="00EF5F0A">
        <w:rPr>
          <w:rFonts w:ascii="Calibri" w:eastAsia="Calibri" w:hAnsi="Calibri" w:cs="Calibri"/>
          <w:color w:val="000000"/>
        </w:rPr>
        <w:t>l</w:t>
      </w:r>
      <w:r w:rsidR="004241AC" w:rsidRPr="00EF5F0A">
        <w:rPr>
          <w:rFonts w:ascii="Calibri" w:eastAsia="Calibri" w:hAnsi="Calibri" w:cs="Calibri"/>
          <w:color w:val="000000"/>
        </w:rPr>
        <w:t xml:space="preserve"> principi</w:t>
      </w:r>
      <w:r w:rsidR="005F2D30" w:rsidRPr="00EF5F0A">
        <w:rPr>
          <w:rFonts w:ascii="Calibri" w:eastAsia="Calibri" w:hAnsi="Calibri" w:cs="Calibri"/>
          <w:color w:val="000000"/>
        </w:rPr>
        <w:t>o</w:t>
      </w:r>
      <w:r w:rsidR="004241AC" w:rsidRPr="00EF5F0A">
        <w:rPr>
          <w:rFonts w:ascii="Calibri" w:eastAsia="Calibri" w:hAnsi="Calibri" w:cs="Calibri"/>
          <w:color w:val="000000"/>
        </w:rPr>
        <w:t xml:space="preserve"> attiv</w:t>
      </w:r>
      <w:r w:rsidR="005F2D30" w:rsidRPr="00EF5F0A">
        <w:rPr>
          <w:rFonts w:ascii="Calibri" w:eastAsia="Calibri" w:hAnsi="Calibri" w:cs="Calibri"/>
          <w:color w:val="000000"/>
        </w:rPr>
        <w:t>o</w:t>
      </w:r>
      <w:r w:rsidR="00D8197E" w:rsidRPr="00EF5F0A">
        <w:rPr>
          <w:rFonts w:ascii="Calibri" w:eastAsia="Calibri" w:hAnsi="Calibri" w:cs="Calibri"/>
          <w:color w:val="000000"/>
        </w:rPr>
        <w:t xml:space="preserve"> </w:t>
      </w:r>
      <w:r w:rsidRPr="00EF5F0A">
        <w:rPr>
          <w:rFonts w:ascii="Calibri" w:eastAsia="Calibri" w:hAnsi="Calibri" w:cs="Calibri"/>
          <w:color w:val="000000"/>
        </w:rPr>
        <w:t>ibuprofene</w:t>
      </w:r>
      <w:r w:rsidR="00D416F1" w:rsidRPr="00EF5F0A">
        <w:rPr>
          <w:rFonts w:ascii="Calibri" w:eastAsia="Calibri" w:hAnsi="Calibri" w:cs="Calibri"/>
          <w:color w:val="000000"/>
        </w:rPr>
        <w:t xml:space="preserve"> ed è disponibile in compresse </w:t>
      </w:r>
      <w:r w:rsidRPr="00EF5F0A">
        <w:rPr>
          <w:rFonts w:ascii="Calibri" w:eastAsia="Calibri" w:hAnsi="Calibri" w:cs="Calibri"/>
          <w:color w:val="000000"/>
        </w:rPr>
        <w:t xml:space="preserve">rivestite, compresse masticabili, capsule molli, granulato per soluzione orale e compresse </w:t>
      </w:r>
      <w:proofErr w:type="spellStart"/>
      <w:r w:rsidRPr="00EF5F0A">
        <w:rPr>
          <w:rFonts w:ascii="Calibri" w:eastAsia="Calibri" w:hAnsi="Calibri" w:cs="Calibri"/>
          <w:color w:val="000000"/>
        </w:rPr>
        <w:t>orodispersibili</w:t>
      </w:r>
      <w:proofErr w:type="spellEnd"/>
      <w:r w:rsidRPr="00EF5F0A">
        <w:rPr>
          <w:rFonts w:ascii="Calibri" w:eastAsia="Calibri" w:hAnsi="Calibri" w:cs="Calibri"/>
          <w:color w:val="000000"/>
        </w:rPr>
        <w:t xml:space="preserve"> </w:t>
      </w:r>
      <w:r w:rsidR="00D416F1" w:rsidRPr="00EF5F0A">
        <w:rPr>
          <w:rFonts w:ascii="Calibri" w:eastAsia="Calibri" w:hAnsi="Calibri" w:cs="Calibri"/>
          <w:color w:val="000000"/>
        </w:rPr>
        <w:t xml:space="preserve">contenenti </w:t>
      </w:r>
      <w:r w:rsidRPr="00EF5F0A">
        <w:rPr>
          <w:rFonts w:ascii="Calibri" w:eastAsia="Calibri" w:hAnsi="Calibri" w:cs="Calibri"/>
          <w:color w:val="000000"/>
        </w:rPr>
        <w:t>2</w:t>
      </w:r>
      <w:r w:rsidR="00D416F1" w:rsidRPr="00EF5F0A">
        <w:rPr>
          <w:rFonts w:ascii="Calibri" w:eastAsia="Calibri" w:hAnsi="Calibri" w:cs="Calibri"/>
          <w:color w:val="000000"/>
        </w:rPr>
        <w:t xml:space="preserve">00 mg di principio attivo, in </w:t>
      </w:r>
      <w:r w:rsidRPr="00EF5F0A">
        <w:rPr>
          <w:rFonts w:ascii="Calibri" w:eastAsia="Calibri" w:hAnsi="Calibri" w:cs="Calibri"/>
          <w:color w:val="000000"/>
        </w:rPr>
        <w:t xml:space="preserve">gocce orali, soluzione </w:t>
      </w:r>
      <w:r w:rsidR="00D416F1" w:rsidRPr="00EF5F0A">
        <w:rPr>
          <w:rFonts w:ascii="Calibri" w:eastAsia="Calibri" w:hAnsi="Calibri" w:cs="Calibri"/>
          <w:color w:val="000000"/>
        </w:rPr>
        <w:t>alla concentrazione di</w:t>
      </w:r>
      <w:r w:rsidRPr="00EF5F0A">
        <w:rPr>
          <w:rFonts w:ascii="Calibri" w:eastAsia="Calibri" w:hAnsi="Calibri" w:cs="Calibri"/>
          <w:color w:val="000000"/>
        </w:rPr>
        <w:t xml:space="preserve"> 20 g/100</w:t>
      </w:r>
      <w:r w:rsidR="00D416F1" w:rsidRPr="00EF5F0A">
        <w:rPr>
          <w:rFonts w:ascii="Calibri" w:eastAsia="Calibri" w:hAnsi="Calibri" w:cs="Calibri"/>
          <w:color w:val="000000"/>
        </w:rPr>
        <w:t xml:space="preserve"> ml </w:t>
      </w:r>
      <w:r w:rsidRPr="00EF5F0A">
        <w:rPr>
          <w:rFonts w:ascii="Calibri" w:eastAsia="Calibri" w:hAnsi="Calibri" w:cs="Calibri"/>
          <w:color w:val="000000"/>
        </w:rPr>
        <w:t>(200 mg per ml di soluzione) e in sospensione orale in bustine contenenti 200 mg di principio attivo.</w:t>
      </w:r>
    </w:p>
    <w:p w:rsidR="00EF5F0A" w:rsidRPr="00EF5F0A" w:rsidRDefault="00EF5F0A" w:rsidP="00EF5F0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  <w:r w:rsidRPr="00EF5F0A">
        <w:rPr>
          <w:rFonts w:ascii="Calibri" w:hAnsi="Calibri" w:cs="Calibri"/>
          <w:color w:val="000000"/>
        </w:rPr>
        <w:t xml:space="preserve">Moment è un medicinale che appartiene alla classe degli analgesici-antinfiammatori, cioè farmaci che combattono il dolore e l’infiammazione. </w:t>
      </w:r>
      <w:r w:rsidRPr="00EF5F0A">
        <w:rPr>
          <w:rFonts w:ascii="Calibri" w:eastAsia="Calibri" w:hAnsi="Calibri" w:cs="Calibri"/>
          <w:color w:val="000000"/>
        </w:rPr>
        <w:t xml:space="preserve"> </w:t>
      </w:r>
    </w:p>
    <w:p w:rsidR="00EF5F0A" w:rsidRPr="00EF5F0A" w:rsidRDefault="009A1779" w:rsidP="00EF5F0A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>MOMENT</w:t>
      </w:r>
      <w:r w:rsidR="004960F4" w:rsidRPr="00EF5F0A">
        <w:rPr>
          <w:rFonts w:ascii="Calibri" w:eastAsia="Calibri" w:hAnsi="Calibri" w:cs="Calibri"/>
          <w:color w:val="000000"/>
        </w:rPr>
        <w:t xml:space="preserve"> si usa </w:t>
      </w:r>
      <w:r w:rsidR="00EF5F0A" w:rsidRPr="00EF5F0A">
        <w:rPr>
          <w:rFonts w:ascii="Calibri" w:eastAsia="Calibri" w:hAnsi="Calibri" w:cs="Calibri"/>
          <w:color w:val="000000"/>
        </w:rPr>
        <w:t xml:space="preserve"> negli </w:t>
      </w:r>
      <w:r w:rsidR="00EF5F0A" w:rsidRPr="00EF5F0A">
        <w:rPr>
          <w:rFonts w:ascii="Calibri" w:eastAsia="Calibri" w:hAnsi="Calibri" w:cs="Calibri"/>
          <w:b/>
          <w:bCs/>
          <w:color w:val="000000"/>
        </w:rPr>
        <w:t xml:space="preserve">adulti </w:t>
      </w:r>
      <w:r w:rsidR="00EF5F0A" w:rsidRPr="00EF5F0A">
        <w:rPr>
          <w:rFonts w:ascii="Calibri" w:eastAsia="Calibri" w:hAnsi="Calibri" w:cs="Calibri"/>
          <w:color w:val="000000"/>
        </w:rPr>
        <w:t xml:space="preserve">e negli </w:t>
      </w:r>
      <w:r w:rsidR="00EF5F0A" w:rsidRPr="00EF5F0A">
        <w:rPr>
          <w:rFonts w:ascii="Calibri" w:eastAsia="Calibri" w:hAnsi="Calibri" w:cs="Calibri"/>
          <w:b/>
          <w:bCs/>
          <w:color w:val="000000"/>
        </w:rPr>
        <w:t>adolescenti a partire dai 12 anni</w:t>
      </w:r>
      <w:r w:rsidR="00EF5F0A" w:rsidRPr="00EF5F0A">
        <w:rPr>
          <w:rFonts w:ascii="Calibri" w:eastAsia="Calibri" w:hAnsi="Calibri" w:cs="Calibri"/>
          <w:color w:val="000000"/>
        </w:rPr>
        <w:t xml:space="preserve">, per trattare: </w:t>
      </w:r>
    </w:p>
    <w:p w:rsidR="00EF5F0A" w:rsidRPr="00EF5F0A" w:rsidRDefault="00EF5F0A" w:rsidP="00EF5F0A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- dolori di varia origine e natura (mal di testa, mal di denti, nevralgie, dolori osteo-articolari e muscolari, dolori mestruali); </w:t>
      </w:r>
    </w:p>
    <w:p w:rsidR="00EF5F0A" w:rsidRPr="00EF5F0A" w:rsidRDefault="00EF5F0A" w:rsidP="00EF5F0A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- e per aiutare a ridurre i sintomi degli stati febbrili ed influenzali. </w:t>
      </w:r>
    </w:p>
    <w:p w:rsidR="004960F4" w:rsidRPr="00EF5F0A" w:rsidRDefault="00EF5F0A" w:rsidP="00EF5F0A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Deve essere contattato il medico dopo 3 giorni di trattamento. </w:t>
      </w:r>
      <w:r w:rsidR="009A1779" w:rsidRPr="00EF5F0A">
        <w:rPr>
          <w:rFonts w:ascii="Calibri" w:eastAsia="Calibri" w:hAnsi="Calibri" w:cs="Calibri"/>
          <w:color w:val="000000"/>
        </w:rPr>
        <w:t xml:space="preserve"> </w:t>
      </w:r>
    </w:p>
    <w:p w:rsidR="00B32D81" w:rsidRPr="00EF5F0A" w:rsidRDefault="00EF5F0A" w:rsidP="00D8197E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 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b/>
          <w:bCs/>
          <w:color w:val="000000"/>
        </w:rPr>
        <w:t xml:space="preserve">2) COME E’ PRESCRITTO/USATO </w:t>
      </w:r>
      <w:r w:rsidR="009A1779" w:rsidRPr="00EF5F0A">
        <w:rPr>
          <w:rFonts w:ascii="Calibri" w:eastAsia="Calibri" w:hAnsi="Calibri" w:cs="Calibri"/>
          <w:b/>
          <w:color w:val="000000"/>
        </w:rPr>
        <w:t>MOMENT</w:t>
      </w:r>
      <w:r w:rsidRPr="00EF5F0A">
        <w:rPr>
          <w:rFonts w:ascii="Calibri" w:eastAsia="Calibri" w:hAnsi="Calibri" w:cs="Calibri"/>
          <w:b/>
          <w:bCs/>
          <w:color w:val="000000"/>
        </w:rPr>
        <w:t>?</w:t>
      </w:r>
    </w:p>
    <w:p w:rsidR="007935FE" w:rsidRPr="00EF5F0A" w:rsidRDefault="009A1779" w:rsidP="00AE3426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>MOMENT</w:t>
      </w:r>
      <w:r w:rsidR="00A668D0" w:rsidRPr="00EF5F0A">
        <w:rPr>
          <w:rFonts w:ascii="Calibri" w:eastAsia="Calibri" w:hAnsi="Calibri" w:cs="Calibri"/>
          <w:color w:val="000000"/>
        </w:rPr>
        <w:t xml:space="preserve"> </w:t>
      </w:r>
      <w:r w:rsidR="007935FE" w:rsidRPr="00EF5F0A">
        <w:rPr>
          <w:rFonts w:ascii="Calibri" w:eastAsia="Calibri" w:hAnsi="Calibri" w:cs="Calibri"/>
          <w:color w:val="000000"/>
        </w:rPr>
        <w:t xml:space="preserve">può essere ottenuto </w:t>
      </w:r>
      <w:r w:rsidR="00A668D0" w:rsidRPr="00EF5F0A">
        <w:rPr>
          <w:rFonts w:ascii="Calibri" w:eastAsia="Calibri" w:hAnsi="Calibri" w:cs="Calibri"/>
          <w:color w:val="000000"/>
        </w:rPr>
        <w:t>senza</w:t>
      </w:r>
      <w:r w:rsidR="007935FE" w:rsidRPr="00EF5F0A">
        <w:rPr>
          <w:rFonts w:ascii="Calibri" w:eastAsia="Calibri" w:hAnsi="Calibri" w:cs="Calibri"/>
          <w:color w:val="000000"/>
        </w:rPr>
        <w:t xml:space="preserve"> </w:t>
      </w:r>
      <w:r w:rsidR="004960F4" w:rsidRPr="00EF5F0A">
        <w:rPr>
          <w:rFonts w:ascii="Calibri" w:eastAsia="Calibri" w:hAnsi="Calibri" w:cs="Calibri"/>
          <w:color w:val="000000"/>
        </w:rPr>
        <w:t xml:space="preserve">obbligo di </w:t>
      </w:r>
      <w:r w:rsidR="007935FE" w:rsidRPr="00EF5F0A">
        <w:rPr>
          <w:rFonts w:ascii="Calibri" w:eastAsia="Calibri" w:hAnsi="Calibri" w:cs="Calibri"/>
          <w:color w:val="000000"/>
        </w:rPr>
        <w:t>prescrizione da parte del medico</w:t>
      </w:r>
      <w:r w:rsidR="00EF5F0A" w:rsidRPr="00EF5F0A">
        <w:rPr>
          <w:rFonts w:ascii="Calibri" w:eastAsia="Calibri" w:hAnsi="Calibri" w:cs="Calibri"/>
          <w:color w:val="000000"/>
        </w:rPr>
        <w:t xml:space="preserve"> come farmaco da banco</w:t>
      </w:r>
      <w:r w:rsidR="007935FE" w:rsidRPr="00EF5F0A">
        <w:rPr>
          <w:rFonts w:ascii="Calibri" w:eastAsia="Calibri" w:hAnsi="Calibri" w:cs="Calibri"/>
          <w:color w:val="000000"/>
        </w:rPr>
        <w:t xml:space="preserve"> (</w:t>
      </w:r>
      <w:r w:rsidR="00EF5F0A" w:rsidRPr="00EF5F0A">
        <w:rPr>
          <w:rFonts w:ascii="Calibri" w:eastAsia="Calibri" w:hAnsi="Calibri" w:cs="Calibri"/>
          <w:color w:val="000000"/>
        </w:rPr>
        <w:t>OTC</w:t>
      </w:r>
      <w:r w:rsidR="004960F4" w:rsidRPr="00EF5F0A">
        <w:rPr>
          <w:rFonts w:ascii="Calibri" w:eastAsia="Calibri" w:hAnsi="Calibri" w:cs="Calibri"/>
          <w:color w:val="000000"/>
        </w:rPr>
        <w:t>).</w:t>
      </w:r>
    </w:p>
    <w:p w:rsidR="00EF5F0A" w:rsidRPr="00EF5F0A" w:rsidRDefault="00EF5F0A" w:rsidP="00EF5F0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La dose raccomandata è 200-400 mg, due-tre volte al giorno. È possibile assumere Moment a stomaco vuoto. Nei soggetti con problemi di tollerabilità gastrica, è preferibile assumere il medicinale a stomaco pieno. Dopo tre giorni di trattamento senza risultati apprezzabili è necessario consultare il medico. </w:t>
      </w:r>
    </w:p>
    <w:p w:rsidR="00EF5F0A" w:rsidRPr="00EF5F0A" w:rsidRDefault="00EF5F0A" w:rsidP="00EF5F0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Non deve essere superata la dose di 1200 mg al giorno.  </w:t>
      </w:r>
    </w:p>
    <w:p w:rsidR="00972D9D" w:rsidRPr="003D3860" w:rsidRDefault="00972D9D" w:rsidP="00972D9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3D3860">
        <w:rPr>
          <w:rFonts w:ascii="Calibri" w:hAnsi="Calibri" w:cs="Calibri"/>
          <w:color w:val="000000"/>
        </w:rPr>
        <w:t xml:space="preserve">Deve essere usata particolare cautela nei pazienti anziani </w:t>
      </w:r>
      <w:r w:rsidR="00F5278E" w:rsidRPr="003D3860">
        <w:rPr>
          <w:rFonts w:ascii="Calibri" w:hAnsi="Calibri" w:cs="Calibri"/>
          <w:color w:val="000000"/>
        </w:rPr>
        <w:t>essendo questi</w:t>
      </w:r>
      <w:r w:rsidRPr="003D3860">
        <w:rPr>
          <w:rFonts w:ascii="Calibri" w:hAnsi="Calibri" w:cs="Calibri"/>
          <w:color w:val="000000"/>
        </w:rPr>
        <w:t xml:space="preserve"> più inclini a eventi avversi e ad aumentato rischio di emorragia gastrointestinale potenzialmente fatale, ulcerazione o perforazione. Se il trattamento è considerato necessario deve essere usata la più bassa dose per la più breve durata necessaria per il controllo dei sintomi.</w:t>
      </w:r>
    </w:p>
    <w:p w:rsidR="00972D9D" w:rsidRPr="003D3860" w:rsidRDefault="00972D9D" w:rsidP="00972D9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3D3860">
        <w:rPr>
          <w:rFonts w:ascii="Calibri" w:hAnsi="Calibri" w:cs="Calibri"/>
          <w:color w:val="000000"/>
        </w:rPr>
        <w:lastRenderedPageBreak/>
        <w:t>Nei pazienti con lieve o moderata riduzione della funzione renale, il dosaggio deve essere mantenuto il più basso possibile per la più breve durata necessaria a controllare i sintomi e la funzione renale deve essere monitorata.</w:t>
      </w:r>
    </w:p>
    <w:p w:rsidR="00972D9D" w:rsidRPr="003D3860" w:rsidRDefault="00F5278E" w:rsidP="00972D9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3D3860">
        <w:rPr>
          <w:rFonts w:ascii="Calibri" w:hAnsi="Calibri" w:cs="Calibri"/>
          <w:color w:val="000000"/>
        </w:rPr>
        <w:t>Nei</w:t>
      </w:r>
      <w:r w:rsidR="00972D9D" w:rsidRPr="003D3860">
        <w:rPr>
          <w:rFonts w:ascii="Calibri" w:hAnsi="Calibri" w:cs="Calibri"/>
          <w:color w:val="000000"/>
        </w:rPr>
        <w:t xml:space="preserve"> pazienti con lieve o moderata riduzione della funzionalità epatica, il dosaggio deve essere mantenuto il più basso possibile per la più breve durata necessaria a controllare i sintomi e la funzione epatica deve</w:t>
      </w:r>
    </w:p>
    <w:p w:rsidR="00F5278E" w:rsidRDefault="00972D9D" w:rsidP="00972D9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3D3860">
        <w:rPr>
          <w:rFonts w:ascii="Calibri" w:hAnsi="Calibri" w:cs="Calibri"/>
          <w:color w:val="000000"/>
        </w:rPr>
        <w:t>essere monitorata.</w:t>
      </w:r>
      <w:r w:rsidRPr="00972D9D">
        <w:rPr>
          <w:rFonts w:ascii="Calibri" w:hAnsi="Calibri" w:cs="Calibri"/>
          <w:color w:val="000000"/>
        </w:rPr>
        <w:t xml:space="preserve"> </w:t>
      </w:r>
    </w:p>
    <w:p w:rsidR="00EF5F0A" w:rsidRPr="00EF5F0A" w:rsidRDefault="00F5278E" w:rsidP="00EF5F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</w:p>
    <w:p w:rsidR="00467B27" w:rsidRPr="00EF5F0A" w:rsidRDefault="00467B27" w:rsidP="00467B2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</w:rPr>
        <w:t xml:space="preserve">Per maggiori informazioni riguardo alle dosi raccomandate per </w:t>
      </w:r>
      <w:r w:rsidR="009A1779" w:rsidRPr="00EF5F0A">
        <w:rPr>
          <w:rFonts w:ascii="Calibri" w:eastAsia="Calibri" w:hAnsi="Calibri" w:cs="Calibri"/>
        </w:rPr>
        <w:t>MOMENT</w:t>
      </w:r>
      <w:r w:rsidRPr="00EF5F0A">
        <w:rPr>
          <w:rFonts w:ascii="Calibri" w:eastAsia="Calibri" w:hAnsi="Calibri" w:cs="Calibri"/>
          <w:bCs/>
          <w:color w:val="000000"/>
        </w:rPr>
        <w:t xml:space="preserve"> </w:t>
      </w:r>
      <w:r w:rsidRPr="00EF5F0A">
        <w:rPr>
          <w:rFonts w:ascii="Calibri" w:eastAsia="Calibri" w:hAnsi="Calibri" w:cs="Calibri"/>
        </w:rPr>
        <w:t>si può leggere il foglio illustrativo (</w:t>
      </w:r>
      <w:hyperlink r:id="rId7" w:history="1">
        <w:r w:rsidRPr="00EF5F0A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Pr="00EF5F0A">
        <w:rPr>
          <w:rFonts w:ascii="Calibri" w:eastAsia="Calibri" w:hAnsi="Calibri" w:cs="Calibri"/>
        </w:rPr>
        <w:t xml:space="preserve">)  o contattare il medico o il farmacista. </w:t>
      </w:r>
    </w:p>
    <w:p w:rsidR="00467B27" w:rsidRDefault="00467B27" w:rsidP="00467B27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  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b/>
          <w:bCs/>
          <w:color w:val="000000"/>
        </w:rPr>
        <w:t xml:space="preserve">3) COME FUNZIONA </w:t>
      </w:r>
      <w:r w:rsidR="009A1779" w:rsidRPr="00EF5F0A">
        <w:rPr>
          <w:rFonts w:ascii="Calibri" w:eastAsia="Calibri" w:hAnsi="Calibri" w:cs="Calibri"/>
          <w:b/>
          <w:color w:val="000000"/>
        </w:rPr>
        <w:t>MOMENT</w:t>
      </w:r>
      <w:r w:rsidRPr="00EF5F0A">
        <w:rPr>
          <w:rFonts w:ascii="Calibri" w:eastAsia="Calibri" w:hAnsi="Calibri" w:cs="Calibri"/>
          <w:b/>
          <w:bCs/>
          <w:color w:val="000000"/>
        </w:rPr>
        <w:t xml:space="preserve">? </w:t>
      </w:r>
    </w:p>
    <w:p w:rsidR="00CB5FF8" w:rsidRDefault="009A1779" w:rsidP="00CB5FF8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r w:rsidRPr="00EF5F0A">
        <w:rPr>
          <w:rFonts w:ascii="Calibri" w:eastAsia="Calibri" w:hAnsi="Calibri" w:cs="Calibri"/>
          <w:color w:val="000000"/>
        </w:rPr>
        <w:t>MOMENT</w:t>
      </w:r>
      <w:r w:rsidR="00502AB1" w:rsidRPr="00EF5F0A">
        <w:rPr>
          <w:rFonts w:ascii="Calibri" w:eastAsia="Calibri" w:hAnsi="Calibri" w:cs="Calibri"/>
          <w:color w:val="000000"/>
        </w:rPr>
        <w:t>, il cui codice ATC è</w:t>
      </w:r>
      <w:r w:rsidR="00EF5F0A" w:rsidRPr="00EF5F0A">
        <w:rPr>
          <w:rFonts w:ascii="Calibri" w:eastAsia="Calibri" w:hAnsi="Calibri" w:cs="Calibri"/>
          <w:color w:val="000000"/>
        </w:rPr>
        <w:t xml:space="preserve"> </w:t>
      </w:r>
      <w:r w:rsidR="00EF5F0A" w:rsidRPr="009C0926">
        <w:rPr>
          <w:rFonts w:ascii="Calibri" w:eastAsia="Calibri" w:hAnsi="Calibri" w:cs="Calibri"/>
          <w:color w:val="000000"/>
        </w:rPr>
        <w:t>M01AE01</w:t>
      </w:r>
      <w:r w:rsidR="00502AB1" w:rsidRPr="00EF5F0A">
        <w:rPr>
          <w:rFonts w:ascii="Calibri" w:eastAsia="Calibri" w:hAnsi="Calibri" w:cs="Calibri"/>
          <w:color w:val="000000"/>
        </w:rPr>
        <w:t>,</w:t>
      </w:r>
      <w:r w:rsidR="005A2741" w:rsidRPr="00EF5F0A">
        <w:rPr>
          <w:rFonts w:ascii="Calibri" w:eastAsia="Calibri" w:hAnsi="Calibri" w:cs="Calibri"/>
          <w:color w:val="000000"/>
        </w:rPr>
        <w:t xml:space="preserve"> </w:t>
      </w:r>
      <w:r w:rsidR="004241AC" w:rsidRPr="00EF5F0A">
        <w:rPr>
          <w:rFonts w:ascii="Calibri" w:eastAsia="Calibri" w:hAnsi="Calibri" w:cs="Calibri"/>
          <w:color w:val="000000"/>
        </w:rPr>
        <w:t>contiene i</w:t>
      </w:r>
      <w:r w:rsidR="005F2D30" w:rsidRPr="00EF5F0A">
        <w:rPr>
          <w:rFonts w:ascii="Calibri" w:eastAsia="Calibri" w:hAnsi="Calibri" w:cs="Calibri"/>
          <w:color w:val="000000"/>
        </w:rPr>
        <w:t>l</w:t>
      </w:r>
      <w:r w:rsidR="004241AC" w:rsidRPr="00EF5F0A">
        <w:rPr>
          <w:rFonts w:ascii="Calibri" w:eastAsia="Calibri" w:hAnsi="Calibri" w:cs="Calibri"/>
          <w:color w:val="000000"/>
        </w:rPr>
        <w:t xml:space="preserve"> principi</w:t>
      </w:r>
      <w:r w:rsidR="005F2D30" w:rsidRPr="00EF5F0A">
        <w:rPr>
          <w:rFonts w:ascii="Calibri" w:eastAsia="Calibri" w:hAnsi="Calibri" w:cs="Calibri"/>
          <w:color w:val="000000"/>
        </w:rPr>
        <w:t>o</w:t>
      </w:r>
      <w:r w:rsidR="004241AC" w:rsidRPr="00EF5F0A">
        <w:rPr>
          <w:rFonts w:ascii="Calibri" w:eastAsia="Calibri" w:hAnsi="Calibri" w:cs="Calibri"/>
          <w:color w:val="000000"/>
        </w:rPr>
        <w:t xml:space="preserve"> attiv</w:t>
      </w:r>
      <w:r w:rsidR="005F2D30" w:rsidRPr="00EF5F0A">
        <w:rPr>
          <w:rFonts w:ascii="Calibri" w:eastAsia="Calibri" w:hAnsi="Calibri" w:cs="Calibri"/>
          <w:color w:val="000000"/>
        </w:rPr>
        <w:t>o</w:t>
      </w:r>
      <w:r w:rsidR="004241AC" w:rsidRPr="00EF5F0A">
        <w:rPr>
          <w:rFonts w:ascii="Calibri" w:eastAsia="Calibri" w:hAnsi="Calibri" w:cs="Calibri"/>
          <w:color w:val="000000"/>
        </w:rPr>
        <w:t xml:space="preserve"> </w:t>
      </w:r>
      <w:r w:rsidR="00EF5F0A" w:rsidRPr="00EF5F0A">
        <w:rPr>
          <w:rFonts w:ascii="Calibri" w:eastAsia="Calibri" w:hAnsi="Calibri" w:cs="Calibri"/>
          <w:color w:val="000000"/>
        </w:rPr>
        <w:t>ibuprofene</w:t>
      </w:r>
      <w:r w:rsidR="00D416F1" w:rsidRPr="00EF5F0A">
        <w:rPr>
          <w:rFonts w:ascii="Calibri" w:eastAsia="Calibri" w:hAnsi="Calibri" w:cs="Calibri"/>
          <w:color w:val="000000"/>
        </w:rPr>
        <w:t>.</w:t>
      </w:r>
      <w:r w:rsidR="00D419A0" w:rsidRPr="00EF5F0A">
        <w:rPr>
          <w:rFonts w:ascii="Calibri" w:eastAsia="Calibri" w:hAnsi="Calibri" w:cs="Calibri"/>
          <w:color w:val="000000"/>
        </w:rPr>
        <w:t xml:space="preserve">  </w:t>
      </w:r>
      <w:r w:rsidR="00EF5F0A">
        <w:rPr>
          <w:rFonts w:ascii="Calibri" w:eastAsia="Calibri" w:hAnsi="Calibri" w:cs="Calibri"/>
          <w:color w:val="000000"/>
        </w:rPr>
        <w:t>L’ibuprofene</w:t>
      </w:r>
      <w:r w:rsidR="00D416F1" w:rsidRPr="00EF5F0A">
        <w:rPr>
          <w:rFonts w:ascii="Calibri" w:eastAsia="Calibri" w:hAnsi="Calibri" w:cs="Calibri"/>
          <w:color w:val="000000"/>
        </w:rPr>
        <w:t xml:space="preserve"> appartiene ad un gruppo di medicinali noti come </w:t>
      </w:r>
      <w:r w:rsidR="00EF5F0A" w:rsidRPr="00EF5F0A">
        <w:rPr>
          <w:rFonts w:ascii="Calibri" w:eastAsia="Calibri" w:hAnsi="Calibri" w:cs="Calibri"/>
          <w:color w:val="000000"/>
        </w:rPr>
        <w:t>farmaci antiinfiammatori/antireumatici, non steroidei</w:t>
      </w:r>
      <w:r w:rsidR="00D416F1" w:rsidRPr="00EF5F0A">
        <w:rPr>
          <w:rFonts w:ascii="Calibri" w:eastAsia="Calibri" w:hAnsi="Calibri" w:cs="Calibri"/>
          <w:color w:val="000000"/>
        </w:rPr>
        <w:t>, in quanto agiscono</w:t>
      </w:r>
      <w:r w:rsidR="00CB5FF8">
        <w:rPr>
          <w:rFonts w:ascii="Calibri" w:eastAsia="Calibri" w:hAnsi="Calibri" w:cs="Calibri"/>
          <w:color w:val="000000"/>
        </w:rPr>
        <w:t xml:space="preserve"> inibendo,</w:t>
      </w:r>
      <w:r w:rsidR="00CB5FF8" w:rsidRPr="00CB5FF8">
        <w:rPr>
          <w:rFonts w:eastAsia="DejaVuSans" w:cs="DejaVuSans"/>
        </w:rPr>
        <w:t xml:space="preserve"> </w:t>
      </w:r>
      <w:r w:rsidR="00CB5FF8">
        <w:rPr>
          <w:rFonts w:eastAsia="DejaVuSans" w:cs="DejaVuSans"/>
        </w:rPr>
        <w:t>in modo reversibile, la sintesi a livello periferico delle prostaglandine, sostanze prodotte dall’organismo, responsabili dei sintomi dell’infiammazione e del dolore che ne consegue</w:t>
      </w:r>
      <w:r w:rsidR="00CB5FF8" w:rsidRPr="00BA7D67">
        <w:rPr>
          <w:rFonts w:eastAsia="DejaVuSans" w:cs="DejaVuSans"/>
        </w:rPr>
        <w:t>.</w:t>
      </w:r>
    </w:p>
    <w:p w:rsidR="00D416F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  <w:b/>
          <w:bCs/>
        </w:rPr>
        <w:t xml:space="preserve">4) COME È STATO STUDIATO </w:t>
      </w:r>
      <w:r w:rsidR="009A1779" w:rsidRPr="00EF5F0A">
        <w:rPr>
          <w:rFonts w:ascii="Calibri" w:eastAsia="Calibri" w:hAnsi="Calibri" w:cs="Calibri"/>
          <w:b/>
          <w:color w:val="000000"/>
        </w:rPr>
        <w:t>MOMENT</w:t>
      </w:r>
      <w:r w:rsidR="005A2741" w:rsidRPr="00EF5F0A">
        <w:rPr>
          <w:rFonts w:ascii="Calibri" w:eastAsia="Calibri" w:hAnsi="Calibri" w:cs="Calibri"/>
          <w:b/>
          <w:bCs/>
          <w:color w:val="000000"/>
        </w:rPr>
        <w:t xml:space="preserve">? </w:t>
      </w:r>
      <w:r w:rsidRPr="00EF5F0A">
        <w:rPr>
          <w:rFonts w:ascii="Calibri" w:eastAsia="Calibri" w:hAnsi="Calibri" w:cs="Calibri"/>
          <w:b/>
          <w:bCs/>
        </w:rPr>
        <w:t xml:space="preserve"> </w:t>
      </w:r>
    </w:p>
    <w:p w:rsidR="00CB5FF8" w:rsidRPr="008C4FB3" w:rsidRDefault="00CB5FF8" w:rsidP="00CB5FF8">
      <w:pPr>
        <w:tabs>
          <w:tab w:val="left" w:pos="840"/>
        </w:tabs>
        <w:spacing w:after="0" w:line="240" w:lineRule="auto"/>
        <w:jc w:val="both"/>
      </w:pPr>
      <w:r w:rsidRPr="008E4B16">
        <w:t xml:space="preserve">Diversi studi </w:t>
      </w:r>
      <w:r>
        <w:t xml:space="preserve">clinici </w:t>
      </w:r>
      <w:r w:rsidRPr="008E4B16">
        <w:t xml:space="preserve">hanno evidenziato </w:t>
      </w:r>
      <w:r>
        <w:t>l’attività antiinfiammatoria e antipiretica dell</w:t>
      </w:r>
      <w:r w:rsidRPr="00100CD7">
        <w:t>’ibuprofene</w:t>
      </w:r>
      <w:r>
        <w:t>: i</w:t>
      </w:r>
      <w:r>
        <w:rPr>
          <w:rFonts w:ascii="Verdana" w:hAnsi="Verdana"/>
          <w:color w:val="000000"/>
          <w:sz w:val="18"/>
          <w:szCs w:val="18"/>
        </w:rPr>
        <w:t xml:space="preserve">l suo </w:t>
      </w:r>
      <w:r w:rsidRPr="008C4FB3">
        <w:rPr>
          <w:color w:val="000000"/>
        </w:rPr>
        <w:t xml:space="preserve">meccanismo di azione si esplica attraverso l’inibizione della produzione di prostaglandine (coinvolte nella genesi del processo infiammatorio) per blocco degli enzimi della </w:t>
      </w:r>
      <w:proofErr w:type="spellStart"/>
      <w:r w:rsidRPr="008C4FB3">
        <w:rPr>
          <w:color w:val="000000"/>
        </w:rPr>
        <w:t>ciclossigenasi</w:t>
      </w:r>
      <w:proofErr w:type="spellEnd"/>
      <w:r w:rsidRPr="008C4FB3">
        <w:rPr>
          <w:color w:val="000000"/>
        </w:rPr>
        <w:t xml:space="preserve"> (COX-1 e COX-2) che partecipano alla formazione delle prostaglandine.</w:t>
      </w:r>
    </w:p>
    <w:p w:rsidR="00CB5FF8" w:rsidRPr="008C4FB3" w:rsidRDefault="00CB5FF8" w:rsidP="00CB5F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5A2741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EF5F0A">
        <w:rPr>
          <w:rFonts w:ascii="Calibri" w:eastAsia="Calibri" w:hAnsi="Calibri" w:cs="Calibri"/>
          <w:b/>
          <w:bCs/>
        </w:rPr>
        <w:t xml:space="preserve">5) QUAL È IL RAPPORTO BENEFICIO/RISCHIO </w:t>
      </w:r>
      <w:r w:rsidR="00D57289" w:rsidRPr="00EF5F0A">
        <w:rPr>
          <w:rFonts w:ascii="Calibri" w:eastAsia="Calibri" w:hAnsi="Calibri" w:cs="Calibri"/>
          <w:b/>
          <w:bCs/>
        </w:rPr>
        <w:t xml:space="preserve">DI </w:t>
      </w:r>
      <w:r w:rsidR="009A1779" w:rsidRPr="00EF5F0A">
        <w:rPr>
          <w:rFonts w:ascii="Calibri" w:eastAsia="Calibri" w:hAnsi="Calibri" w:cs="Calibri"/>
          <w:b/>
          <w:color w:val="000000"/>
        </w:rPr>
        <w:t>MOMENT</w:t>
      </w:r>
      <w:r w:rsidR="005A2741" w:rsidRPr="00EF5F0A">
        <w:rPr>
          <w:rFonts w:ascii="Calibri" w:eastAsia="Calibri" w:hAnsi="Calibri" w:cs="Calibri"/>
          <w:b/>
          <w:bCs/>
          <w:color w:val="000000"/>
        </w:rPr>
        <w:t xml:space="preserve">? </w:t>
      </w:r>
    </w:p>
    <w:p w:rsidR="002959E2" w:rsidRPr="008C4FB3" w:rsidRDefault="00972D9D" w:rsidP="002959E2">
      <w:pPr>
        <w:tabs>
          <w:tab w:val="left" w:pos="567"/>
        </w:tabs>
        <w:spacing w:after="0" w:line="240" w:lineRule="auto"/>
        <w:jc w:val="both"/>
        <w:rPr>
          <w:rFonts w:eastAsia="Calibri" w:cs="Calibri"/>
        </w:rPr>
      </w:pPr>
      <w:r w:rsidRPr="008C4FB3">
        <w:t xml:space="preserve">Gli effetti indesiderati più comunemente associati all’uso di </w:t>
      </w:r>
      <w:r>
        <w:t>MOMENT</w:t>
      </w:r>
      <w:r w:rsidRPr="008C4FB3">
        <w:t xml:space="preserve"> sono </w:t>
      </w:r>
      <w:r w:rsidRPr="008C4FB3">
        <w:rPr>
          <w:color w:val="000000"/>
        </w:rPr>
        <w:t>mal di testa, vertigini,</w:t>
      </w:r>
      <w:r w:rsidRPr="008C4FB3">
        <w:rPr>
          <w:rFonts w:eastAsia="Calibri" w:cs="Calibri"/>
        </w:rPr>
        <w:t xml:space="preserve"> d</w:t>
      </w:r>
      <w:r w:rsidRPr="008C4FB3">
        <w:rPr>
          <w:color w:val="000000"/>
        </w:rPr>
        <w:t>ispepsia (difficoltà digestiva), diarrea, nausea, vomito, dolore addominale, flatulenza, stitichezza, affaticamento; inoltre, meno comunemente, gastrite, ulcera gastrica e duodenale, ulcerazione della bocca, orticaria, prurito, reazione di fotosensibilità</w:t>
      </w:r>
      <w:r w:rsidR="002959E2">
        <w:rPr>
          <w:color w:val="000000"/>
        </w:rPr>
        <w:t>, dispnea, disturbi della vista e dell’udito.</w:t>
      </w:r>
    </w:p>
    <w:p w:rsidR="00972D9D" w:rsidRPr="008C4FB3" w:rsidRDefault="00972D9D" w:rsidP="00972D9D">
      <w:pPr>
        <w:tabs>
          <w:tab w:val="left" w:pos="567"/>
        </w:tabs>
        <w:spacing w:after="0" w:line="240" w:lineRule="auto"/>
        <w:jc w:val="both"/>
        <w:rPr>
          <w:rFonts w:eastAsia="Calibri" w:cs="Calibri"/>
        </w:rPr>
      </w:pPr>
    </w:p>
    <w:p w:rsidR="00972D9D" w:rsidRPr="008C4FB3" w:rsidRDefault="00972D9D" w:rsidP="00972D9D">
      <w:pPr>
        <w:tabs>
          <w:tab w:val="left" w:pos="567"/>
        </w:tabs>
        <w:spacing w:after="0" w:line="240" w:lineRule="auto"/>
        <w:jc w:val="both"/>
        <w:rPr>
          <w:rFonts w:eastAsia="Calibri" w:cs="Calibri"/>
        </w:rPr>
      </w:pPr>
      <w:r w:rsidRPr="008C4FB3">
        <w:rPr>
          <w:rFonts w:eastAsia="Calibri" w:cs="Calibri"/>
        </w:rPr>
        <w:t xml:space="preserve">Per l’elenco completo degli effetti indesiderati rilevati con </w:t>
      </w:r>
      <w:r>
        <w:rPr>
          <w:rFonts w:eastAsia="Calibri" w:cs="Calibri"/>
        </w:rPr>
        <w:t>MOMENT</w:t>
      </w:r>
      <w:r w:rsidRPr="008C4FB3">
        <w:rPr>
          <w:rFonts w:eastAsia="Calibri" w:cs="Calibri"/>
        </w:rPr>
        <w:t xml:space="preserve"> si rimanda al foglio illustrativo.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  <w:b/>
          <w:bCs/>
        </w:rPr>
        <w:t xml:space="preserve">6) PERCHE’ </w:t>
      </w:r>
      <w:r w:rsidR="009A1779" w:rsidRPr="00EF5F0A">
        <w:rPr>
          <w:rFonts w:ascii="Calibri" w:eastAsia="Calibri" w:hAnsi="Calibri" w:cs="Calibri"/>
          <w:b/>
          <w:color w:val="000000"/>
        </w:rPr>
        <w:t>MOMENT</w:t>
      </w:r>
      <w:r w:rsidR="00D416F1" w:rsidRPr="00EF5F0A">
        <w:rPr>
          <w:rFonts w:ascii="Calibri" w:eastAsia="Calibri" w:hAnsi="Calibri" w:cs="Calibri"/>
          <w:b/>
          <w:color w:val="000000"/>
        </w:rPr>
        <w:t xml:space="preserve"> </w:t>
      </w:r>
      <w:r w:rsidRPr="00EF5F0A">
        <w:rPr>
          <w:rFonts w:ascii="Calibri" w:eastAsia="Calibri" w:hAnsi="Calibri" w:cs="Calibri"/>
          <w:b/>
          <w:bCs/>
        </w:rPr>
        <w:t xml:space="preserve">E’ STATO APPROVATO? </w:t>
      </w:r>
    </w:p>
    <w:p w:rsidR="004241AC" w:rsidRPr="00EF5F0A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</w:rPr>
        <w:t xml:space="preserve">La Commissione Tecnico-Scientifica (CTS) </w:t>
      </w:r>
      <w:r w:rsidR="00F80DE9" w:rsidRPr="00EF5F0A">
        <w:rPr>
          <w:rFonts w:ascii="Calibri" w:eastAsia="Calibri" w:hAnsi="Calibri" w:cs="Calibri"/>
        </w:rPr>
        <w:t>ha</w:t>
      </w:r>
      <w:r w:rsidRPr="00EF5F0A">
        <w:rPr>
          <w:rFonts w:ascii="Calibri" w:eastAsia="Calibri" w:hAnsi="Calibri" w:cs="Calibri"/>
        </w:rPr>
        <w:t xml:space="preserve"> </w:t>
      </w:r>
      <w:r w:rsidR="004241AC" w:rsidRPr="00EF5F0A">
        <w:rPr>
          <w:rFonts w:ascii="Calibri" w:eastAsia="Calibri" w:hAnsi="Calibri" w:cs="Calibri"/>
        </w:rPr>
        <w:t xml:space="preserve">concluso che, conformemente ai requisiti della normativa vigente, i benefici di </w:t>
      </w:r>
      <w:r w:rsidR="009A1779" w:rsidRPr="00EF5F0A">
        <w:rPr>
          <w:rFonts w:ascii="Calibri" w:eastAsia="Calibri" w:hAnsi="Calibri" w:cs="Calibri"/>
          <w:color w:val="000000"/>
        </w:rPr>
        <w:t>MOMENT</w:t>
      </w:r>
      <w:r w:rsidRPr="00EF5F0A">
        <w:rPr>
          <w:rFonts w:ascii="Calibri" w:eastAsia="Calibri" w:hAnsi="Calibri" w:cs="Calibri"/>
          <w:color w:val="000000"/>
        </w:rPr>
        <w:t xml:space="preserve"> </w:t>
      </w:r>
      <w:r w:rsidR="004241AC" w:rsidRPr="00EF5F0A">
        <w:rPr>
          <w:rFonts w:ascii="Calibri" w:eastAsia="Calibri" w:hAnsi="Calibri" w:cs="Calibri"/>
        </w:rPr>
        <w:t>siano superiori ai rischi individuati. La CTS ha, inoltre, definito le modalità di prescrizione di cui al punto 2) di questo Riassunto e la classe di rimborsabilità del medicinale</w:t>
      </w:r>
      <w:r w:rsidR="00D20170" w:rsidRPr="00EF5F0A">
        <w:rPr>
          <w:rFonts w:ascii="Calibri" w:eastAsia="Calibri" w:hAnsi="Calibri" w:cs="Calibri"/>
        </w:rPr>
        <w:t xml:space="preserve"> </w:t>
      </w:r>
      <w:r w:rsidR="007935FE" w:rsidRPr="00EF5F0A">
        <w:rPr>
          <w:rFonts w:ascii="Calibri" w:eastAsia="Calibri" w:hAnsi="Calibri" w:cs="Calibri"/>
        </w:rPr>
        <w:t>(</w:t>
      </w:r>
      <w:r w:rsidR="00DD07C0" w:rsidRPr="00EF5F0A">
        <w:rPr>
          <w:rFonts w:ascii="Calibri" w:eastAsia="Calibri" w:hAnsi="Calibri" w:cs="Calibri"/>
        </w:rPr>
        <w:t>C</w:t>
      </w:r>
      <w:r w:rsidR="007935FE" w:rsidRPr="00EF5F0A">
        <w:rPr>
          <w:rFonts w:ascii="Calibri" w:eastAsia="Calibri" w:hAnsi="Calibri" w:cs="Calibri"/>
        </w:rPr>
        <w:t>)</w:t>
      </w:r>
      <w:r w:rsidR="004241AC" w:rsidRPr="00EF5F0A">
        <w:rPr>
          <w:rFonts w:ascii="Calibri" w:eastAsia="Calibri" w:hAnsi="Calibri" w:cs="Calibri"/>
        </w:rPr>
        <w:t xml:space="preserve">. 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</w:rPr>
      </w:pP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  <w:b/>
          <w:bCs/>
        </w:rPr>
        <w:t xml:space="preserve">7) QUALI MISURE SONO STATE PRESE PER ASSICURARE LA SICUREZZA E L’EFFICACIA NELL’USO DI </w:t>
      </w:r>
      <w:r w:rsidR="009A1779" w:rsidRPr="00EF5F0A">
        <w:rPr>
          <w:rFonts w:ascii="Calibri" w:eastAsia="Calibri" w:hAnsi="Calibri" w:cs="Calibri"/>
          <w:b/>
          <w:color w:val="000000"/>
        </w:rPr>
        <w:t>MOMENT</w:t>
      </w:r>
      <w:r w:rsidR="005A2741" w:rsidRPr="00EF5F0A">
        <w:rPr>
          <w:rFonts w:ascii="Calibri" w:eastAsia="Calibri" w:hAnsi="Calibri" w:cs="Calibri"/>
          <w:b/>
          <w:bCs/>
          <w:color w:val="000000"/>
        </w:rPr>
        <w:t>?</w:t>
      </w:r>
    </w:p>
    <w:p w:rsidR="004241AC" w:rsidRPr="00EF5F0A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EF5F0A">
        <w:rPr>
          <w:rFonts w:ascii="Calibri" w:eastAsia="Calibri" w:hAnsi="Calibri" w:cs="Calibri"/>
        </w:rPr>
        <w:t xml:space="preserve">a </w:t>
      </w:r>
      <w:r w:rsidR="009A1779" w:rsidRPr="00EF5F0A">
        <w:rPr>
          <w:rFonts w:ascii="Calibri" w:eastAsia="Calibri" w:hAnsi="Calibri" w:cs="Calibri"/>
          <w:color w:val="000000"/>
        </w:rPr>
        <w:t>MOMENT</w:t>
      </w:r>
      <w:r w:rsidR="00D416F1" w:rsidRPr="00EF5F0A">
        <w:rPr>
          <w:rFonts w:ascii="Calibri" w:eastAsia="Calibri" w:hAnsi="Calibri" w:cs="Calibri"/>
          <w:color w:val="000000"/>
        </w:rPr>
        <w:t>.</w:t>
      </w:r>
    </w:p>
    <w:p w:rsidR="00D416F1" w:rsidRPr="00EF5F0A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A2741" w:rsidRPr="00EF5F0A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EF5F0A">
        <w:rPr>
          <w:rFonts w:ascii="Calibri" w:eastAsia="Calibri" w:hAnsi="Calibri" w:cs="Calibri"/>
          <w:b/>
          <w:bCs/>
        </w:rPr>
        <w:t>8) ALTRE INFORMAZIONI RELATIVE A</w:t>
      </w:r>
      <w:r w:rsidR="004241AC" w:rsidRPr="00EF5F0A">
        <w:rPr>
          <w:rFonts w:ascii="Calibri" w:eastAsia="Calibri" w:hAnsi="Calibri" w:cs="Calibri"/>
          <w:b/>
          <w:bCs/>
        </w:rPr>
        <w:t xml:space="preserve"> </w:t>
      </w:r>
      <w:r w:rsidR="009A1779" w:rsidRPr="00EF5F0A">
        <w:rPr>
          <w:rFonts w:ascii="Calibri" w:eastAsia="Calibri" w:hAnsi="Calibri" w:cs="Calibri"/>
          <w:b/>
          <w:color w:val="000000"/>
        </w:rPr>
        <w:t>MOMENT</w:t>
      </w:r>
      <w:r w:rsidR="00D416F1" w:rsidRPr="00EF5F0A">
        <w:rPr>
          <w:rFonts w:ascii="Calibri" w:eastAsia="Calibri" w:hAnsi="Calibri" w:cs="Calibri"/>
          <w:b/>
          <w:color w:val="000000"/>
        </w:rPr>
        <w:t xml:space="preserve"> </w:t>
      </w:r>
    </w:p>
    <w:p w:rsidR="007935FE" w:rsidRPr="00EF5F0A" w:rsidRDefault="00674664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bCs/>
          <w:iCs/>
        </w:rPr>
        <w:t xml:space="preserve">Tra il </w:t>
      </w:r>
      <w:r w:rsidR="00E65810">
        <w:rPr>
          <w:rFonts w:ascii="Calibri" w:eastAsia="Calibri" w:hAnsi="Calibri" w:cs="Calibri"/>
          <w:bCs/>
          <w:iCs/>
        </w:rPr>
        <w:t>1985</w:t>
      </w:r>
      <w:r w:rsidR="00F80DE9" w:rsidRPr="00EF5F0A">
        <w:rPr>
          <w:rFonts w:ascii="Calibri" w:eastAsia="Calibri" w:hAnsi="Calibri" w:cs="Calibri"/>
          <w:bCs/>
          <w:iCs/>
        </w:rPr>
        <w:t xml:space="preserve"> </w:t>
      </w:r>
      <w:r w:rsidRPr="00EF5F0A">
        <w:rPr>
          <w:rFonts w:ascii="Calibri" w:eastAsia="Calibri" w:hAnsi="Calibri" w:cs="Calibri"/>
          <w:bCs/>
          <w:iCs/>
        </w:rPr>
        <w:t xml:space="preserve">e il </w:t>
      </w:r>
      <w:r w:rsidR="00F80DE9" w:rsidRPr="00EF5F0A">
        <w:rPr>
          <w:rFonts w:ascii="Calibri" w:eastAsia="Calibri" w:hAnsi="Calibri" w:cs="Calibri"/>
          <w:bCs/>
          <w:iCs/>
        </w:rPr>
        <w:t>2019</w:t>
      </w:r>
      <w:r w:rsidRPr="00EF5F0A">
        <w:rPr>
          <w:rFonts w:ascii="Calibri" w:eastAsia="Calibri" w:hAnsi="Calibri" w:cs="Calibri"/>
          <w:bCs/>
          <w:iCs/>
        </w:rPr>
        <w:t xml:space="preserve"> l’AIFA ha rilasciato </w:t>
      </w:r>
      <w:r w:rsidR="004241AC" w:rsidRPr="00EF5F0A">
        <w:rPr>
          <w:rFonts w:ascii="Calibri" w:eastAsia="Calibri" w:hAnsi="Calibri" w:cs="Calibri"/>
          <w:bCs/>
          <w:iCs/>
        </w:rPr>
        <w:t xml:space="preserve">l’autorizzazione all’immissione in commercio di </w:t>
      </w:r>
      <w:r w:rsidR="009A1779" w:rsidRPr="00EF5F0A">
        <w:rPr>
          <w:rFonts w:ascii="Calibri" w:eastAsia="Calibri" w:hAnsi="Calibri" w:cs="Calibri"/>
          <w:color w:val="000000"/>
        </w:rPr>
        <w:t>MOMENT</w:t>
      </w:r>
      <w:r w:rsidRPr="00EF5F0A">
        <w:rPr>
          <w:rFonts w:ascii="Calibri" w:eastAsia="Calibri" w:hAnsi="Calibri" w:cs="Calibri"/>
          <w:color w:val="000000"/>
        </w:rPr>
        <w:t>.</w:t>
      </w:r>
    </w:p>
    <w:p w:rsidR="007935FE" w:rsidRPr="00EF5F0A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</w:rPr>
        <w:t xml:space="preserve">La Relazione Pubblica di Valutazione completa </w:t>
      </w:r>
      <w:r w:rsidR="00256B5A" w:rsidRPr="00EF5F0A">
        <w:rPr>
          <w:rFonts w:ascii="Calibri" w:eastAsia="Calibri" w:hAnsi="Calibri" w:cs="Calibri"/>
        </w:rPr>
        <w:t xml:space="preserve">per </w:t>
      </w:r>
      <w:r w:rsidR="009A1779" w:rsidRPr="00EF5F0A">
        <w:rPr>
          <w:rFonts w:ascii="Calibri" w:eastAsia="Calibri" w:hAnsi="Calibri" w:cs="Calibri"/>
        </w:rPr>
        <w:t>MOMENT</w:t>
      </w:r>
      <w:r w:rsidR="00E65810">
        <w:rPr>
          <w:rFonts w:ascii="Calibri" w:eastAsia="Calibri" w:hAnsi="Calibri" w:cs="Calibri"/>
        </w:rPr>
        <w:t xml:space="preserve"> 200 mg sospensione orale in bustine</w:t>
      </w:r>
      <w:r w:rsidR="00256B5A" w:rsidRPr="00EF5F0A">
        <w:rPr>
          <w:rFonts w:ascii="Calibri" w:eastAsia="Calibri" w:hAnsi="Calibri" w:cs="Calibri"/>
        </w:rPr>
        <w:t xml:space="preserve"> </w:t>
      </w:r>
      <w:r w:rsidRPr="00EF5F0A">
        <w:rPr>
          <w:rFonts w:ascii="Calibri" w:eastAsia="Calibri" w:hAnsi="Calibri" w:cs="Calibri"/>
        </w:rPr>
        <w:t xml:space="preserve">segue questo Riassunto. 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</w:rPr>
        <w:t xml:space="preserve">Per maggiori informazioni riguardo il trattamento con </w:t>
      </w:r>
      <w:r w:rsidR="009A1779" w:rsidRPr="00EF5F0A">
        <w:rPr>
          <w:rFonts w:ascii="Calibri" w:eastAsia="Calibri" w:hAnsi="Calibri" w:cs="Calibri"/>
          <w:color w:val="000000"/>
        </w:rPr>
        <w:t>MOMENT</w:t>
      </w:r>
      <w:r w:rsidR="00674664" w:rsidRPr="00EF5F0A">
        <w:rPr>
          <w:rFonts w:ascii="Calibri" w:eastAsia="Calibri" w:hAnsi="Calibri" w:cs="Calibri"/>
          <w:color w:val="000000"/>
        </w:rPr>
        <w:t xml:space="preserve"> </w:t>
      </w:r>
      <w:r w:rsidRPr="00EF5F0A">
        <w:rPr>
          <w:rFonts w:ascii="Calibri" w:eastAsia="Calibri" w:hAnsi="Calibri" w:cs="Calibri"/>
          <w:bCs/>
          <w:color w:val="000000"/>
        </w:rPr>
        <w:t xml:space="preserve"> </w:t>
      </w:r>
      <w:r w:rsidRPr="00EF5F0A">
        <w:rPr>
          <w:rFonts w:ascii="Calibri" w:eastAsia="Calibri" w:hAnsi="Calibri" w:cs="Calibri"/>
        </w:rPr>
        <w:t>si può leggere il foglio illustrativo</w:t>
      </w:r>
      <w:r w:rsidR="00D20170" w:rsidRPr="00EF5F0A">
        <w:rPr>
          <w:rFonts w:ascii="Calibri" w:eastAsia="Calibri" w:hAnsi="Calibri" w:cs="Calibri"/>
        </w:rPr>
        <w:t xml:space="preserve"> </w:t>
      </w:r>
      <w:r w:rsidR="00B75EA4" w:rsidRPr="00EF5F0A">
        <w:rPr>
          <w:rFonts w:ascii="Calibri" w:eastAsia="Calibri" w:hAnsi="Calibri" w:cs="Calibri"/>
        </w:rPr>
        <w:t>(</w:t>
      </w:r>
      <w:hyperlink r:id="rId8" w:history="1">
        <w:r w:rsidR="00B75EA4" w:rsidRPr="00EF5F0A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="00B75EA4" w:rsidRPr="00EF5F0A">
        <w:rPr>
          <w:rFonts w:ascii="Calibri" w:eastAsia="Calibri" w:hAnsi="Calibri" w:cs="Calibri"/>
        </w:rPr>
        <w:t xml:space="preserve">) </w:t>
      </w:r>
      <w:r w:rsidRPr="00EF5F0A">
        <w:rPr>
          <w:rFonts w:ascii="Calibri" w:eastAsia="Calibri" w:hAnsi="Calibri" w:cs="Calibri"/>
        </w:rPr>
        <w:t xml:space="preserve">o contattare il medico o </w:t>
      </w:r>
      <w:r w:rsidR="00FA55B0" w:rsidRPr="00EF5F0A">
        <w:rPr>
          <w:rFonts w:ascii="Calibri" w:eastAsia="Calibri" w:hAnsi="Calibri" w:cs="Calibri"/>
        </w:rPr>
        <w:t xml:space="preserve">il </w:t>
      </w:r>
      <w:r w:rsidRPr="00EF5F0A">
        <w:rPr>
          <w:rFonts w:ascii="Calibri" w:eastAsia="Calibri" w:hAnsi="Calibri" w:cs="Calibri"/>
        </w:rPr>
        <w:t xml:space="preserve">farmacista. </w:t>
      </w:r>
    </w:p>
    <w:p w:rsidR="004241AC" w:rsidRDefault="004241AC" w:rsidP="00B32D81">
      <w:pPr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</w:rPr>
        <w:t xml:space="preserve">Questo riassunto è stato redatto in data </w:t>
      </w:r>
      <w:r w:rsidR="00836A0C">
        <w:rPr>
          <w:rFonts w:ascii="Calibri" w:eastAsia="Calibri" w:hAnsi="Calibri" w:cs="Calibri"/>
        </w:rPr>
        <w:t>25/05</w:t>
      </w:r>
      <w:r w:rsidR="00E65810" w:rsidRPr="0072796D">
        <w:rPr>
          <w:rFonts w:ascii="Calibri" w:eastAsia="Calibri" w:hAnsi="Calibri" w:cs="Calibri"/>
        </w:rPr>
        <w:t>/2020</w:t>
      </w:r>
      <w:r w:rsidR="0072796D">
        <w:rPr>
          <w:rFonts w:ascii="Calibri" w:eastAsia="Calibri" w:hAnsi="Calibri" w:cs="Calibri"/>
        </w:rPr>
        <w:t>.</w:t>
      </w: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Pr="00EF5F0A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2D30" w:rsidRPr="00EF5F0A" w:rsidRDefault="005F2D3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RELAZIONE PUBBLICA DI VALUTAZIONE</w:t>
      </w:r>
    </w:p>
    <w:p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</w:p>
    <w:p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</w:p>
    <w:p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</w:p>
    <w:p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</w:p>
    <w:p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INDICE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INTRODUZIONE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DI QUALITA’</w:t>
      </w:r>
    </w:p>
    <w:p w:rsidR="007C68D2" w:rsidRPr="00EF5F0A" w:rsidRDefault="007C68D2" w:rsidP="00B32D81">
      <w:pPr>
        <w:pStyle w:val="Paragrafoelenco"/>
        <w:spacing w:after="0" w:line="240" w:lineRule="auto"/>
        <w:rPr>
          <w:rFonts w:ascii="Calibri" w:hAnsi="Calibri"/>
          <w:b/>
        </w:rPr>
      </w:pPr>
    </w:p>
    <w:p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NON CLINICI</w:t>
      </w:r>
    </w:p>
    <w:p w:rsidR="007C68D2" w:rsidRPr="00EF5F0A" w:rsidRDefault="007C68D2" w:rsidP="00B32D81">
      <w:pPr>
        <w:pStyle w:val="Paragrafoelenco"/>
        <w:spacing w:after="0" w:line="240" w:lineRule="auto"/>
        <w:rPr>
          <w:rFonts w:ascii="Calibri" w:hAnsi="Calibri"/>
          <w:b/>
        </w:rPr>
      </w:pPr>
    </w:p>
    <w:p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CLINICI</w:t>
      </w:r>
    </w:p>
    <w:p w:rsidR="007C68D2" w:rsidRPr="00EF5F0A" w:rsidRDefault="007C68D2" w:rsidP="00B32D81">
      <w:pPr>
        <w:pStyle w:val="Paragrafoelenco"/>
        <w:spacing w:after="0" w:line="240" w:lineRule="auto"/>
        <w:rPr>
          <w:rFonts w:ascii="Calibri" w:hAnsi="Calibri"/>
          <w:b/>
        </w:rPr>
      </w:pPr>
    </w:p>
    <w:p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CONSULTAZIONE SUL FOGLIO ILLUSTRATIVO</w:t>
      </w:r>
    </w:p>
    <w:p w:rsidR="007C68D2" w:rsidRPr="00EF5F0A" w:rsidRDefault="007C68D2" w:rsidP="00B32D81">
      <w:pPr>
        <w:pStyle w:val="Paragrafoelenco"/>
        <w:spacing w:after="0" w:line="240" w:lineRule="auto"/>
        <w:ind w:left="1080"/>
        <w:jc w:val="both"/>
        <w:rPr>
          <w:rFonts w:ascii="Calibri" w:hAnsi="Calibri"/>
          <w:b/>
        </w:rPr>
      </w:pPr>
    </w:p>
    <w:p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CONCLUSIONI, VALUTAZIONE DEL RAPPORTO BENEFICIO/RISCHIO E RACCOMANDAZIONI</w:t>
      </w: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INTRODUZIONE</w:t>
      </w:r>
    </w:p>
    <w:p w:rsidR="007C68D2" w:rsidRPr="00EF5F0A" w:rsidRDefault="007C68D2" w:rsidP="00256B5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Sulla base dei dati di qualità, sicurezza ed efficacia, l’AIFA ha rilasciato </w:t>
      </w:r>
      <w:r w:rsidR="00D57289" w:rsidRPr="00EF5F0A">
        <w:rPr>
          <w:rFonts w:ascii="Calibri" w:hAnsi="Calibri"/>
        </w:rPr>
        <w:t>a</w:t>
      </w:r>
      <w:r w:rsidR="00C51F0A">
        <w:rPr>
          <w:rFonts w:ascii="Calibri" w:hAnsi="Calibri"/>
        </w:rPr>
        <w:t>d</w:t>
      </w:r>
      <w:r w:rsidR="00D57289" w:rsidRPr="00EF5F0A">
        <w:rPr>
          <w:rFonts w:ascii="Calibri" w:hAnsi="Calibri"/>
        </w:rPr>
        <w:t xml:space="preserve"> </w:t>
      </w:r>
      <w:r w:rsidR="00C51F0A" w:rsidRPr="00C51F0A">
        <w:rPr>
          <w:rFonts w:ascii="Calibri" w:hAnsi="Calibri"/>
        </w:rPr>
        <w:t>AZIENDE CHIMICHE RIUNITE ANGELINI FRANCESCO ACRAF SPA</w:t>
      </w:r>
      <w:r w:rsidR="00C51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 xml:space="preserve">l’autorizzazione all’immissione in commercio (AIC) per il medicinale </w:t>
      </w:r>
      <w:r w:rsidR="009A1779" w:rsidRPr="00EF5F0A">
        <w:rPr>
          <w:rFonts w:ascii="Calibri" w:hAnsi="Calibri"/>
        </w:rPr>
        <w:t>MOMENT</w:t>
      </w:r>
      <w:r w:rsidR="00F80DE9" w:rsidRPr="00EF5F0A">
        <w:rPr>
          <w:rFonts w:ascii="Calibri" w:hAnsi="Calibri"/>
        </w:rPr>
        <w:t xml:space="preserve"> </w:t>
      </w:r>
      <w:r w:rsidR="00E65810">
        <w:rPr>
          <w:rFonts w:ascii="Calibri" w:hAnsi="Calibri"/>
        </w:rPr>
        <w:t>200 mg sospensione orale in bustine il 9/12/2019</w:t>
      </w:r>
      <w:r w:rsidR="00256B5A" w:rsidRPr="00EF5F0A">
        <w:rPr>
          <w:rFonts w:ascii="Calibri" w:hAnsi="Calibri"/>
        </w:rPr>
        <w:t>.</w:t>
      </w:r>
    </w:p>
    <w:p w:rsidR="00256B5A" w:rsidRPr="00EF5F0A" w:rsidRDefault="00256B5A" w:rsidP="00256B5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7935FE" w:rsidRPr="00EF5F0A" w:rsidRDefault="009A1779" w:rsidP="00502AB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MOMENT</w:t>
      </w:r>
      <w:r w:rsidR="00256B5A" w:rsidRPr="00EF5F0A">
        <w:rPr>
          <w:rFonts w:ascii="Calibri" w:hAnsi="Calibri"/>
        </w:rPr>
        <w:t xml:space="preserve"> </w:t>
      </w:r>
      <w:r w:rsidR="007935FE" w:rsidRPr="00EF5F0A">
        <w:rPr>
          <w:rFonts w:ascii="Calibri" w:hAnsi="Calibri"/>
        </w:rPr>
        <w:t xml:space="preserve">può essere ottenuto </w:t>
      </w:r>
      <w:r w:rsidR="00256B5A" w:rsidRPr="00EF5F0A">
        <w:rPr>
          <w:rFonts w:ascii="Calibri" w:hAnsi="Calibri"/>
        </w:rPr>
        <w:t>senza obbligo di</w:t>
      </w:r>
      <w:r w:rsidR="007935FE" w:rsidRPr="00EF5F0A">
        <w:rPr>
          <w:rFonts w:ascii="Calibri" w:hAnsi="Calibri"/>
        </w:rPr>
        <w:t xml:space="preserve"> prescrizione da parte del medico</w:t>
      </w:r>
      <w:r w:rsidR="00E65810">
        <w:rPr>
          <w:rFonts w:ascii="Calibri" w:hAnsi="Calibri"/>
        </w:rPr>
        <w:t xml:space="preserve"> come farmaco da banco</w:t>
      </w:r>
      <w:r w:rsidR="007935FE" w:rsidRPr="00EF5F0A">
        <w:rPr>
          <w:rFonts w:ascii="Calibri" w:hAnsi="Calibri"/>
        </w:rPr>
        <w:t xml:space="preserve"> (</w:t>
      </w:r>
      <w:r w:rsidR="00E65810">
        <w:rPr>
          <w:rFonts w:ascii="Calibri" w:hAnsi="Calibri"/>
        </w:rPr>
        <w:t>OTC</w:t>
      </w:r>
      <w:r w:rsidR="00256B5A" w:rsidRPr="00EF5F0A">
        <w:rPr>
          <w:rFonts w:ascii="Calibri" w:hAnsi="Calibri"/>
        </w:rPr>
        <w:t>).</w:t>
      </w:r>
    </w:p>
    <w:p w:rsidR="007C68D2" w:rsidRPr="00EF5F0A" w:rsidRDefault="007C68D2" w:rsidP="00502AB1">
      <w:pPr>
        <w:spacing w:after="0" w:line="240" w:lineRule="auto"/>
        <w:jc w:val="both"/>
        <w:rPr>
          <w:rFonts w:ascii="Calibri" w:hAnsi="Calibri"/>
        </w:rPr>
      </w:pPr>
    </w:p>
    <w:p w:rsidR="008845B5" w:rsidRPr="00EF5F0A" w:rsidRDefault="008845B5" w:rsidP="008845B5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Questa procedura è stata presentata ai sensi </w:t>
      </w:r>
      <w:r w:rsidR="00E65810">
        <w:rPr>
          <w:rFonts w:ascii="Calibri" w:hAnsi="Calibri"/>
        </w:rPr>
        <w:t>dell’art. 8.3</w:t>
      </w:r>
      <w:r w:rsidRPr="00EF5F0A">
        <w:rPr>
          <w:rFonts w:ascii="Calibri" w:hAnsi="Calibri"/>
        </w:rPr>
        <w:t xml:space="preserve"> della Direttiva 2001/83/EU </w:t>
      </w:r>
      <w:proofErr w:type="spellStart"/>
      <w:r w:rsidRPr="00EF5F0A">
        <w:rPr>
          <w:rFonts w:ascii="Calibri" w:hAnsi="Calibri"/>
        </w:rPr>
        <w:t>s.m.i.</w:t>
      </w:r>
      <w:proofErr w:type="spellEnd"/>
      <w:r w:rsidR="00E65810">
        <w:rPr>
          <w:rFonts w:ascii="Calibri" w:hAnsi="Calibri"/>
        </w:rPr>
        <w:t xml:space="preserve"> come estensione di linea d</w:t>
      </w:r>
      <w:r w:rsidR="00C51F0A">
        <w:rPr>
          <w:rFonts w:ascii="Calibri" w:hAnsi="Calibri"/>
        </w:rPr>
        <w:t>elle formulazioni</w:t>
      </w:r>
      <w:r w:rsidR="005C2991">
        <w:rPr>
          <w:rFonts w:ascii="Calibri" w:hAnsi="Calibri"/>
        </w:rPr>
        <w:t xml:space="preserve"> di Moment</w:t>
      </w:r>
      <w:r w:rsidR="00C51F0A">
        <w:rPr>
          <w:rFonts w:ascii="Calibri" w:hAnsi="Calibri"/>
        </w:rPr>
        <w:t xml:space="preserve"> già autorizzate</w:t>
      </w:r>
      <w:r w:rsidR="005C2991">
        <w:rPr>
          <w:rFonts w:ascii="Calibri" w:hAnsi="Calibri"/>
        </w:rPr>
        <w:t xml:space="preserve"> per introdurre la nuova forma farmaceutica</w:t>
      </w:r>
      <w:r w:rsidR="002E1C55">
        <w:rPr>
          <w:rFonts w:ascii="Calibri" w:hAnsi="Calibri"/>
        </w:rPr>
        <w:t xml:space="preserve"> sospensione orale in bustine contenenti 200 mg di principio attivo.</w:t>
      </w:r>
      <w:r w:rsidR="005C2991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 xml:space="preserve"> </w:t>
      </w:r>
      <w:r w:rsidR="00E65810">
        <w:rPr>
          <w:rFonts w:ascii="Calibri" w:hAnsi="Calibri"/>
        </w:rPr>
        <w:t xml:space="preserve"> </w:t>
      </w:r>
    </w:p>
    <w:p w:rsidR="002C6868" w:rsidRPr="00EF5F0A" w:rsidRDefault="009A1779" w:rsidP="002C6868">
      <w:pPr>
        <w:widowControl w:val="0"/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MOMENT</w:t>
      </w:r>
      <w:r w:rsidR="00256B5A" w:rsidRPr="00EF5F0A">
        <w:rPr>
          <w:rFonts w:ascii="Calibri" w:hAnsi="Calibri"/>
        </w:rPr>
        <w:t xml:space="preserve"> </w:t>
      </w:r>
      <w:r w:rsidR="002C6868" w:rsidRPr="00EF5F0A">
        <w:rPr>
          <w:rFonts w:ascii="Calibri" w:hAnsi="Calibri"/>
        </w:rPr>
        <w:t xml:space="preserve">è un medicinale </w:t>
      </w:r>
      <w:r w:rsidR="00E65810">
        <w:rPr>
          <w:rFonts w:ascii="Calibri" w:hAnsi="Calibri"/>
        </w:rPr>
        <w:t>c</w:t>
      </w:r>
      <w:r w:rsidR="002C6868" w:rsidRPr="00EF5F0A">
        <w:rPr>
          <w:rFonts w:ascii="Calibri" w:hAnsi="Calibri"/>
        </w:rPr>
        <w:t>ontenente il principio attivo</w:t>
      </w:r>
      <w:r w:rsidR="00AD4E22" w:rsidRPr="00EF5F0A">
        <w:rPr>
          <w:rFonts w:ascii="Calibri" w:hAnsi="Calibri"/>
        </w:rPr>
        <w:t xml:space="preserve"> </w:t>
      </w:r>
      <w:r w:rsidR="00E65810">
        <w:rPr>
          <w:rFonts w:ascii="Calibri" w:hAnsi="Calibri"/>
        </w:rPr>
        <w:t xml:space="preserve">ibuprofene. </w:t>
      </w:r>
    </w:p>
    <w:p w:rsidR="00256B5A" w:rsidRPr="00EF5F0A" w:rsidRDefault="00D57289" w:rsidP="005C299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Il medicinale</w:t>
      </w:r>
      <w:r w:rsidR="002C6868" w:rsidRPr="00EF5F0A">
        <w:rPr>
          <w:rFonts w:ascii="Calibri" w:hAnsi="Calibri"/>
        </w:rPr>
        <w:t xml:space="preserve"> </w:t>
      </w:r>
      <w:r w:rsidR="009A1779" w:rsidRPr="00EF5F0A">
        <w:rPr>
          <w:rFonts w:ascii="Calibri" w:hAnsi="Calibri"/>
        </w:rPr>
        <w:t>MOMENT</w:t>
      </w:r>
      <w:r w:rsidR="00256B5A" w:rsidRPr="00EF5F0A">
        <w:rPr>
          <w:rFonts w:ascii="Calibri" w:hAnsi="Calibri"/>
        </w:rPr>
        <w:t xml:space="preserve"> </w:t>
      </w:r>
      <w:r w:rsidR="00502AB1" w:rsidRPr="00EF5F0A">
        <w:rPr>
          <w:rFonts w:ascii="Calibri" w:hAnsi="Calibri"/>
        </w:rPr>
        <w:t xml:space="preserve">è utilizzato </w:t>
      </w:r>
      <w:r w:rsidR="00256B5A" w:rsidRPr="00EF5F0A">
        <w:rPr>
          <w:rFonts w:ascii="Calibri" w:hAnsi="Calibri"/>
        </w:rPr>
        <w:t xml:space="preserve">come </w:t>
      </w:r>
      <w:r w:rsidR="005C2991">
        <w:rPr>
          <w:rFonts w:ascii="Calibri" w:hAnsi="Calibri"/>
        </w:rPr>
        <w:t>analgesico e anti-infiammatorio per alleviare d</w:t>
      </w:r>
      <w:r w:rsidR="005C2991" w:rsidRPr="005C2991">
        <w:rPr>
          <w:rFonts w:ascii="Calibri" w:hAnsi="Calibri"/>
        </w:rPr>
        <w:t xml:space="preserve">olori di varia origine e natura (mal di testa, mal di denti, nevralgie, dolori osteo-articolari </w:t>
      </w:r>
      <w:r w:rsidR="005C2991">
        <w:rPr>
          <w:rFonts w:ascii="Calibri" w:hAnsi="Calibri"/>
        </w:rPr>
        <w:t>e muscolari, dolori mestruali) e come co</w:t>
      </w:r>
      <w:r w:rsidR="005C2991" w:rsidRPr="005C2991">
        <w:rPr>
          <w:rFonts w:ascii="Calibri" w:hAnsi="Calibri"/>
        </w:rPr>
        <w:t xml:space="preserve">adiuvante nel trattamento sintomatico degli stati febbrili e influenzali. </w:t>
      </w:r>
      <w:r w:rsidR="00E65810">
        <w:rPr>
          <w:rFonts w:ascii="Calibri" w:hAnsi="Calibri"/>
        </w:rPr>
        <w:t xml:space="preserve"> </w:t>
      </w:r>
    </w:p>
    <w:p w:rsidR="002D71A8" w:rsidRPr="00EF5F0A" w:rsidRDefault="002D71A8" w:rsidP="002D71A8">
      <w:pPr>
        <w:spacing w:after="0" w:line="240" w:lineRule="auto"/>
        <w:jc w:val="both"/>
        <w:rPr>
          <w:rFonts w:ascii="Calibri" w:hAnsi="Calibri"/>
        </w:rPr>
      </w:pPr>
    </w:p>
    <w:p w:rsidR="002D71A8" w:rsidRPr="00EF5F0A" w:rsidRDefault="00E65810" w:rsidP="002D71A8">
      <w:pPr>
        <w:spacing w:after="0" w:line="240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L’ibuprofene</w:t>
      </w:r>
      <w:r w:rsidR="002D71A8" w:rsidRPr="00EF5F0A">
        <w:rPr>
          <w:rFonts w:ascii="Calibri" w:hAnsi="Calibri"/>
          <w:bCs/>
        </w:rPr>
        <w:t xml:space="preserve"> appartiene alla categoria farmaco terapeutica </w:t>
      </w:r>
      <w:r>
        <w:rPr>
          <w:rFonts w:ascii="Calibri" w:hAnsi="Calibri"/>
          <w:bCs/>
        </w:rPr>
        <w:t xml:space="preserve">dei </w:t>
      </w:r>
      <w:r w:rsidR="005C2991" w:rsidRPr="005C2991">
        <w:rPr>
          <w:rFonts w:ascii="Calibri" w:hAnsi="Calibri"/>
          <w:bCs/>
        </w:rPr>
        <w:t xml:space="preserve">farmaci antiinfiammatori/antireumatici, non steroidei, codice ATC: M01AE01. </w:t>
      </w:r>
      <w:r w:rsidR="005C2991">
        <w:rPr>
          <w:rFonts w:ascii="Calibri" w:hAnsi="Calibri"/>
          <w:bCs/>
        </w:rPr>
        <w:t xml:space="preserve"> </w:t>
      </w:r>
    </w:p>
    <w:p w:rsidR="002D71A8" w:rsidRDefault="002D71A8" w:rsidP="002D71A8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L’effetto analgesico</w:t>
      </w:r>
      <w:r w:rsidR="00E65810">
        <w:rPr>
          <w:rFonts w:ascii="Calibri" w:hAnsi="Calibri"/>
        </w:rPr>
        <w:t xml:space="preserve"> e antiinfiammatorio </w:t>
      </w:r>
      <w:r w:rsidRPr="00EF5F0A">
        <w:rPr>
          <w:rFonts w:ascii="Calibri" w:hAnsi="Calibri"/>
        </w:rPr>
        <w:t>del</w:t>
      </w:r>
      <w:r w:rsidR="00E65810">
        <w:rPr>
          <w:rFonts w:ascii="Calibri" w:hAnsi="Calibri"/>
        </w:rPr>
        <w:t>l’ibuprofene</w:t>
      </w:r>
      <w:r w:rsidRPr="00EF5F0A">
        <w:rPr>
          <w:rFonts w:ascii="Calibri" w:hAnsi="Calibri"/>
        </w:rPr>
        <w:t xml:space="preserve"> è riconducibile </w:t>
      </w:r>
      <w:r w:rsidR="002E1C55">
        <w:rPr>
          <w:rFonts w:ascii="Calibri" w:hAnsi="Calibri"/>
        </w:rPr>
        <w:t>all’inibizione</w:t>
      </w:r>
      <w:r w:rsidR="005C2991" w:rsidRPr="005C2991">
        <w:rPr>
          <w:rFonts w:ascii="Calibri" w:hAnsi="Calibri"/>
        </w:rPr>
        <w:t xml:space="preserve"> della sintesi </w:t>
      </w:r>
      <w:proofErr w:type="spellStart"/>
      <w:r w:rsidR="005C2991" w:rsidRPr="005C2991">
        <w:rPr>
          <w:rFonts w:ascii="Calibri" w:hAnsi="Calibri"/>
        </w:rPr>
        <w:t>prostaglandinica</w:t>
      </w:r>
      <w:proofErr w:type="spellEnd"/>
      <w:r w:rsidR="005C2991" w:rsidRPr="005C2991">
        <w:rPr>
          <w:rFonts w:ascii="Calibri" w:hAnsi="Calibri"/>
        </w:rPr>
        <w:t xml:space="preserve"> </w:t>
      </w:r>
      <w:r w:rsidR="002E1C55">
        <w:rPr>
          <w:rFonts w:ascii="Calibri" w:hAnsi="Calibri"/>
        </w:rPr>
        <w:t>a livello periferico.</w:t>
      </w:r>
      <w:r w:rsidRPr="00EF5F0A">
        <w:rPr>
          <w:rFonts w:ascii="Calibri" w:hAnsi="Calibri"/>
        </w:rPr>
        <w:t xml:space="preserve"> </w:t>
      </w:r>
    </w:p>
    <w:p w:rsidR="00E65810" w:rsidRDefault="00E65810" w:rsidP="002D71A8">
      <w:pPr>
        <w:spacing w:after="0" w:line="240" w:lineRule="auto"/>
        <w:jc w:val="both"/>
        <w:rPr>
          <w:rFonts w:ascii="Calibri" w:hAnsi="Calibri"/>
        </w:rPr>
      </w:pPr>
    </w:p>
    <w:p w:rsidR="00256B5A" w:rsidRPr="00DB70B9" w:rsidRDefault="00256B5A" w:rsidP="00256B5A">
      <w:pPr>
        <w:spacing w:after="0" w:line="240" w:lineRule="auto"/>
        <w:contextualSpacing/>
        <w:jc w:val="both"/>
        <w:rPr>
          <w:rFonts w:ascii="Calibri" w:hAnsi="Calibri"/>
        </w:rPr>
      </w:pPr>
      <w:r w:rsidRPr="00DB70B9">
        <w:rPr>
          <w:rFonts w:ascii="Calibri" w:hAnsi="Calibri"/>
        </w:rPr>
        <w:t xml:space="preserve">A supporto della domanda di autorizzazione del medicinale </w:t>
      </w:r>
      <w:r w:rsidR="009A1779" w:rsidRPr="00DB70B9">
        <w:rPr>
          <w:rFonts w:ascii="Calibri" w:hAnsi="Calibri"/>
        </w:rPr>
        <w:t>MOMENT</w:t>
      </w:r>
      <w:r w:rsidR="002D71A8" w:rsidRPr="00DB70B9">
        <w:rPr>
          <w:rFonts w:ascii="Calibri" w:hAnsi="Calibri"/>
        </w:rPr>
        <w:t xml:space="preserve"> </w:t>
      </w:r>
      <w:r w:rsidR="00E65810" w:rsidRPr="00DB70B9">
        <w:rPr>
          <w:rFonts w:ascii="Calibri" w:hAnsi="Calibri"/>
        </w:rPr>
        <w:t xml:space="preserve">200 mg sospensione orale in bustine </w:t>
      </w:r>
      <w:r w:rsidR="009C0926" w:rsidRPr="00DB70B9">
        <w:rPr>
          <w:rFonts w:ascii="Calibri" w:hAnsi="Calibri"/>
        </w:rPr>
        <w:t>è stato</w:t>
      </w:r>
      <w:r w:rsidRPr="00DB70B9">
        <w:rPr>
          <w:rFonts w:ascii="Calibri" w:hAnsi="Calibri"/>
        </w:rPr>
        <w:t xml:space="preserve"> presentat</w:t>
      </w:r>
      <w:r w:rsidR="009C0926" w:rsidRPr="00DB70B9">
        <w:rPr>
          <w:rFonts w:ascii="Calibri" w:hAnsi="Calibri"/>
        </w:rPr>
        <w:t>o uno</w:t>
      </w:r>
      <w:r w:rsidR="00E65810" w:rsidRPr="00DB70B9">
        <w:rPr>
          <w:rFonts w:ascii="Calibri" w:hAnsi="Calibri"/>
        </w:rPr>
        <w:t xml:space="preserve"> studi</w:t>
      </w:r>
      <w:r w:rsidR="009C0926" w:rsidRPr="00DB70B9">
        <w:rPr>
          <w:rFonts w:ascii="Calibri" w:hAnsi="Calibri"/>
        </w:rPr>
        <w:t>o</w:t>
      </w:r>
      <w:r w:rsidR="00E65810" w:rsidRPr="00DB70B9">
        <w:rPr>
          <w:rFonts w:ascii="Calibri" w:hAnsi="Calibri"/>
        </w:rPr>
        <w:t xml:space="preserve"> di </w:t>
      </w:r>
      <w:proofErr w:type="spellStart"/>
      <w:r w:rsidR="00E65810" w:rsidRPr="00DB70B9">
        <w:rPr>
          <w:rFonts w:ascii="Calibri" w:hAnsi="Calibri"/>
        </w:rPr>
        <w:t>bioequivalenza</w:t>
      </w:r>
      <w:proofErr w:type="spellEnd"/>
      <w:r w:rsidR="009C0926" w:rsidRPr="00DB70B9">
        <w:rPr>
          <w:rFonts w:ascii="Calibri" w:hAnsi="Calibri"/>
        </w:rPr>
        <w:t xml:space="preserve"> che ha confrontato i profili farmacocinetici della formulazione, MOMENT 200 mg mg/5 </w:t>
      </w:r>
      <w:proofErr w:type="spellStart"/>
      <w:r w:rsidR="009C0926" w:rsidRPr="00DB70B9">
        <w:rPr>
          <w:rFonts w:ascii="Calibri" w:hAnsi="Calibri"/>
        </w:rPr>
        <w:t>mL</w:t>
      </w:r>
      <w:proofErr w:type="spellEnd"/>
      <w:r w:rsidR="009C0926" w:rsidRPr="00DB70B9">
        <w:rPr>
          <w:rFonts w:ascii="Calibri" w:hAnsi="Calibri"/>
        </w:rPr>
        <w:t xml:space="preserve"> sospensione orale, rispetto alla formulazione “</w:t>
      </w:r>
      <w:proofErr w:type="spellStart"/>
      <w:r w:rsidR="009C0926" w:rsidRPr="00DB70B9">
        <w:rPr>
          <w:rFonts w:ascii="Calibri" w:hAnsi="Calibri"/>
        </w:rPr>
        <w:t>reference</w:t>
      </w:r>
      <w:proofErr w:type="spellEnd"/>
      <w:r w:rsidR="009C0926" w:rsidRPr="00DB70B9">
        <w:rPr>
          <w:rFonts w:ascii="Calibri" w:hAnsi="Calibri"/>
        </w:rPr>
        <w:t>”, MOMENT 200 mg compresse rivestite.</w:t>
      </w:r>
    </w:p>
    <w:p w:rsidR="005A2DC6" w:rsidRPr="00DB70B9" w:rsidRDefault="005A2DC6" w:rsidP="005A2DC6">
      <w:pPr>
        <w:spacing w:after="0" w:line="240" w:lineRule="auto"/>
        <w:contextualSpacing/>
        <w:jc w:val="both"/>
        <w:rPr>
          <w:rFonts w:ascii="Calibri" w:hAnsi="Calibri"/>
        </w:rPr>
      </w:pPr>
    </w:p>
    <w:p w:rsidR="009C0926" w:rsidRDefault="009C0926" w:rsidP="005A2DC6">
      <w:pPr>
        <w:spacing w:after="0" w:line="240" w:lineRule="auto"/>
        <w:contextualSpacing/>
        <w:jc w:val="both"/>
        <w:rPr>
          <w:rFonts w:ascii="Calibri" w:hAnsi="Calibri"/>
        </w:rPr>
      </w:pPr>
      <w:r w:rsidRPr="00DB70B9">
        <w:rPr>
          <w:rFonts w:ascii="Calibri" w:hAnsi="Calibri"/>
        </w:rPr>
        <w:t xml:space="preserve">Lo studio di </w:t>
      </w:r>
      <w:proofErr w:type="spellStart"/>
      <w:r w:rsidRPr="00DB70B9">
        <w:rPr>
          <w:rFonts w:ascii="Calibri" w:hAnsi="Calibri"/>
        </w:rPr>
        <w:t>bioequivalenza</w:t>
      </w:r>
      <w:proofErr w:type="spellEnd"/>
      <w:r w:rsidRPr="00DB70B9">
        <w:rPr>
          <w:rFonts w:ascii="Calibri" w:hAnsi="Calibri"/>
        </w:rPr>
        <w:t xml:space="preserve"> è stato condotto in conformità alle linee guida di Buona Pratica Clinica (</w:t>
      </w:r>
      <w:proofErr w:type="spellStart"/>
      <w:r w:rsidRPr="00DB70B9">
        <w:rPr>
          <w:rFonts w:ascii="Calibri" w:hAnsi="Calibri"/>
          <w:i/>
        </w:rPr>
        <w:t>Good</w:t>
      </w:r>
      <w:proofErr w:type="spellEnd"/>
      <w:r w:rsidRPr="00DB70B9">
        <w:rPr>
          <w:rFonts w:ascii="Calibri" w:hAnsi="Calibri"/>
          <w:i/>
        </w:rPr>
        <w:t xml:space="preserve"> </w:t>
      </w:r>
      <w:proofErr w:type="spellStart"/>
      <w:r w:rsidRPr="00DB70B9">
        <w:rPr>
          <w:rFonts w:ascii="Calibri" w:hAnsi="Calibri"/>
          <w:i/>
        </w:rPr>
        <w:t>Clinical</w:t>
      </w:r>
      <w:proofErr w:type="spellEnd"/>
      <w:r w:rsidRPr="00DB70B9">
        <w:rPr>
          <w:rFonts w:ascii="Calibri" w:hAnsi="Calibri"/>
          <w:i/>
        </w:rPr>
        <w:t xml:space="preserve"> </w:t>
      </w:r>
      <w:proofErr w:type="spellStart"/>
      <w:r w:rsidRPr="00DB70B9">
        <w:rPr>
          <w:rFonts w:ascii="Calibri" w:hAnsi="Calibri"/>
          <w:i/>
        </w:rPr>
        <w:t>Practice</w:t>
      </w:r>
      <w:proofErr w:type="spellEnd"/>
      <w:r w:rsidRPr="00DB70B9">
        <w:rPr>
          <w:rFonts w:ascii="Calibri" w:hAnsi="Calibri"/>
        </w:rPr>
        <w:t xml:space="preserve"> - GCP).</w:t>
      </w:r>
    </w:p>
    <w:p w:rsidR="009C0926" w:rsidRPr="00EF5F0A" w:rsidRDefault="009C0926" w:rsidP="005A2DC6">
      <w:pPr>
        <w:spacing w:after="0" w:line="240" w:lineRule="auto"/>
        <w:contextualSpacing/>
        <w:jc w:val="both"/>
        <w:rPr>
          <w:rFonts w:ascii="Calibri" w:hAnsi="Calibri"/>
        </w:rPr>
      </w:pPr>
    </w:p>
    <w:p w:rsidR="007935FE" w:rsidRPr="00EF5F0A" w:rsidRDefault="007C68D2" w:rsidP="00502AB1">
      <w:pPr>
        <w:spacing w:after="0" w:line="240" w:lineRule="auto"/>
        <w:contextualSpacing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Poiché </w:t>
      </w:r>
      <w:r w:rsidR="009A1779" w:rsidRPr="00EF5F0A">
        <w:rPr>
          <w:rFonts w:ascii="Calibri" w:hAnsi="Calibri"/>
        </w:rPr>
        <w:t>MOMENT</w:t>
      </w:r>
      <w:r w:rsidR="002D71A8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contiene un principio attivo noto</w:t>
      </w:r>
      <w:r w:rsidR="00DC0AB6" w:rsidRPr="00EF5F0A">
        <w:rPr>
          <w:rFonts w:ascii="Calibri" w:hAnsi="Calibri"/>
        </w:rPr>
        <w:t>,</w:t>
      </w:r>
      <w:r w:rsidRPr="00EF5F0A">
        <w:rPr>
          <w:rFonts w:ascii="Calibri" w:hAnsi="Calibri"/>
        </w:rPr>
        <w:t xml:space="preserve"> non sono stati forniti nuovi dati non clinici e clinici: questo approccio è accettabile poiché il medicinale è autorizzat</w:t>
      </w:r>
      <w:r w:rsidR="00860148">
        <w:rPr>
          <w:rFonts w:ascii="Calibri" w:hAnsi="Calibri"/>
        </w:rPr>
        <w:t>o in Italia da oltre 3</w:t>
      </w:r>
      <w:r w:rsidRPr="00EF5F0A">
        <w:rPr>
          <w:rFonts w:ascii="Calibri" w:hAnsi="Calibri"/>
        </w:rPr>
        <w:t>0 anni</w:t>
      </w:r>
      <w:r w:rsidR="005A2DC6" w:rsidRPr="00EF5F0A">
        <w:rPr>
          <w:rFonts w:ascii="Calibri" w:hAnsi="Calibri"/>
        </w:rPr>
        <w:t>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Le officine coinvolte nella produzione sono conformi alle linee guida di Buona Pratica di Fabbricazione (</w:t>
      </w:r>
      <w:proofErr w:type="spellStart"/>
      <w:r w:rsidRPr="00EF5F0A">
        <w:rPr>
          <w:rFonts w:ascii="Calibri" w:hAnsi="Calibri"/>
        </w:rPr>
        <w:t>Good</w:t>
      </w:r>
      <w:proofErr w:type="spellEnd"/>
      <w:r w:rsidRPr="00EF5F0A">
        <w:rPr>
          <w:rFonts w:ascii="Calibri" w:hAnsi="Calibri"/>
        </w:rPr>
        <w:t xml:space="preserve"> Manufacturing </w:t>
      </w:r>
      <w:proofErr w:type="spellStart"/>
      <w:r w:rsidRPr="00EF5F0A">
        <w:rPr>
          <w:rFonts w:ascii="Calibri" w:hAnsi="Calibri"/>
        </w:rPr>
        <w:t>Practice</w:t>
      </w:r>
      <w:proofErr w:type="spellEnd"/>
      <w:r w:rsidRPr="00EF5F0A">
        <w:rPr>
          <w:rFonts w:ascii="Calibri" w:hAnsi="Calibri"/>
        </w:rPr>
        <w:t xml:space="preserve"> - GMP). Le autorità regolator</w:t>
      </w:r>
      <w:r w:rsidR="002C389F" w:rsidRPr="00EF5F0A">
        <w:rPr>
          <w:rFonts w:ascii="Calibri" w:hAnsi="Calibri"/>
        </w:rPr>
        <w:t>i</w:t>
      </w:r>
      <w:r w:rsidRPr="00EF5F0A">
        <w:rPr>
          <w:rFonts w:ascii="Calibri" w:hAnsi="Calibri"/>
        </w:rPr>
        <w:t>e competenti hanno rilasciato i certificati GMP per i siti di produzione sul territorio dell’Unione Europea.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Il sistema di Farmacovigilanza descritto dal titolare dell’AIC è conforme ai requisiti previsti dalla normativa corrente. E’ stato presentato un Piano di gestione del rischio (Risk Management Plan – RMP) accettabile.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Il titolare di AIC ha presentato una adeguata giustificazione </w:t>
      </w:r>
      <w:r w:rsidR="00A048B7" w:rsidRPr="00EF5F0A">
        <w:rPr>
          <w:rFonts w:ascii="Calibri" w:hAnsi="Calibri"/>
        </w:rPr>
        <w:t>per la mancata</w:t>
      </w:r>
      <w:r w:rsidRPr="00EF5F0A">
        <w:rPr>
          <w:rFonts w:ascii="Calibri" w:hAnsi="Calibri"/>
        </w:rPr>
        <w:t xml:space="preserve"> presentazione della Valutazione del Rischio ambientale; questo approccio è accettabile in quanto </w:t>
      </w:r>
      <w:r w:rsidR="009A1779" w:rsidRPr="00EF5F0A">
        <w:rPr>
          <w:rFonts w:ascii="Calibri" w:hAnsi="Calibri"/>
        </w:rPr>
        <w:t>MOMENT</w:t>
      </w:r>
      <w:r w:rsidR="002D71A8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2D71A8" w:rsidRPr="00EF5F0A" w:rsidRDefault="002D71A8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2E1C55" w:rsidRDefault="002E1C55" w:rsidP="00B32D81">
      <w:pPr>
        <w:spacing w:after="0" w:line="240" w:lineRule="auto"/>
        <w:jc w:val="both"/>
        <w:rPr>
          <w:rFonts w:ascii="Calibri" w:hAnsi="Calibri"/>
        </w:rPr>
      </w:pPr>
    </w:p>
    <w:p w:rsidR="002E1C55" w:rsidRDefault="002E1C55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DI QUALITA’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  <w:b/>
        </w:rPr>
        <w:lastRenderedPageBreak/>
        <w:t xml:space="preserve">II.1 PRINCIPIO ATTIVO </w:t>
      </w:r>
    </w:p>
    <w:p w:rsidR="00EB16E6" w:rsidRPr="00EF5F0A" w:rsidRDefault="00EB16E6" w:rsidP="00E25334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INN: </w:t>
      </w:r>
      <w:r w:rsidR="00860148">
        <w:rPr>
          <w:rFonts w:ascii="Calibri" w:hAnsi="Calibri"/>
        </w:rPr>
        <w:t>ibuprofene</w:t>
      </w:r>
    </w:p>
    <w:p w:rsidR="00E927A4" w:rsidRPr="00EF5F0A" w:rsidRDefault="007C68D2" w:rsidP="00E25334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  <w:u w:val="single"/>
        </w:rPr>
        <w:t>Nome chimico</w:t>
      </w:r>
      <w:r w:rsidRPr="00EF5F0A">
        <w:rPr>
          <w:rFonts w:ascii="Calibri" w:hAnsi="Calibri"/>
        </w:rPr>
        <w:t xml:space="preserve">: </w:t>
      </w:r>
      <w:r w:rsidR="00860148">
        <w:rPr>
          <w:rFonts w:ascii="Calibri" w:hAnsi="Calibri"/>
        </w:rPr>
        <w:t xml:space="preserve"> </w:t>
      </w:r>
      <w:r w:rsidR="002E1C55" w:rsidRPr="002E1C55">
        <w:rPr>
          <w:rFonts w:ascii="Calibri" w:hAnsi="Calibri"/>
        </w:rPr>
        <w:t>(2RS)-2-[4-(2-Methylpropyl)</w:t>
      </w:r>
      <w:proofErr w:type="spellStart"/>
      <w:r w:rsidR="002E1C55" w:rsidRPr="002E1C55">
        <w:rPr>
          <w:rFonts w:ascii="Calibri" w:hAnsi="Calibri"/>
        </w:rPr>
        <w:t>phenyl</w:t>
      </w:r>
      <w:proofErr w:type="spellEnd"/>
      <w:r w:rsidR="002E1C55" w:rsidRPr="002E1C55">
        <w:rPr>
          <w:rFonts w:ascii="Calibri" w:hAnsi="Calibri"/>
        </w:rPr>
        <w:t>]</w:t>
      </w:r>
      <w:proofErr w:type="spellStart"/>
      <w:r w:rsidR="002E1C55" w:rsidRPr="002E1C55">
        <w:rPr>
          <w:rFonts w:ascii="Calibri" w:hAnsi="Calibri"/>
        </w:rPr>
        <w:t>propanoic</w:t>
      </w:r>
      <w:proofErr w:type="spellEnd"/>
      <w:r w:rsidR="002E1C55" w:rsidRPr="002E1C55">
        <w:rPr>
          <w:rFonts w:ascii="Calibri" w:hAnsi="Calibri"/>
        </w:rPr>
        <w:t xml:space="preserve"> acid</w:t>
      </w:r>
    </w:p>
    <w:p w:rsidR="00E927A4" w:rsidRPr="00EF5F0A" w:rsidRDefault="00E927A4" w:rsidP="00E25334">
      <w:pPr>
        <w:spacing w:after="0" w:line="240" w:lineRule="auto"/>
        <w:jc w:val="both"/>
        <w:rPr>
          <w:rFonts w:ascii="Calibri" w:hAnsi="Calibri"/>
        </w:rPr>
      </w:pPr>
    </w:p>
    <w:p w:rsidR="00700F7D" w:rsidRPr="00EF5F0A" w:rsidRDefault="007C68D2" w:rsidP="00E25334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Struttura:</w:t>
      </w:r>
      <w:r w:rsidR="00700F7D" w:rsidRPr="00EF5F0A">
        <w:rPr>
          <w:rFonts w:ascii="Calibri" w:hAnsi="Calibri"/>
        </w:rPr>
        <w:t xml:space="preserve"> </w:t>
      </w:r>
    </w:p>
    <w:p w:rsidR="002E1C55" w:rsidRDefault="00F01566" w:rsidP="002E1C55">
      <w:pPr>
        <w:autoSpaceDE w:val="0"/>
        <w:autoSpaceDN w:val="0"/>
        <w:adjustRightInd w:val="0"/>
        <w:spacing w:after="0" w:line="240" w:lineRule="auto"/>
        <w:ind w:left="118" w:right="-20"/>
        <w:rPr>
          <w:rFonts w:ascii="Times New Roman" w:hAnsi="Times New Roman" w:cs="Times New Roman"/>
          <w:sz w:val="20"/>
          <w:szCs w:val="20"/>
        </w:rPr>
      </w:pPr>
      <w:r w:rsidRPr="00EF5F0A">
        <w:rPr>
          <w:rFonts w:ascii="Calibri" w:hAnsi="Calibri"/>
        </w:rPr>
        <w:t xml:space="preserve">  </w:t>
      </w:r>
      <w:r w:rsidR="002E1C5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94280" cy="965835"/>
            <wp:effectExtent l="19050" t="0" r="127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DF7" w:rsidRPr="00EF5F0A" w:rsidRDefault="00B12DF7" w:rsidP="00E25334">
      <w:pPr>
        <w:spacing w:after="0" w:line="240" w:lineRule="auto"/>
        <w:jc w:val="both"/>
        <w:rPr>
          <w:rFonts w:ascii="Calibri" w:hAnsi="Calibri"/>
        </w:rPr>
      </w:pPr>
    </w:p>
    <w:p w:rsidR="00E14380" w:rsidRPr="00EF5F0A" w:rsidRDefault="00E14380" w:rsidP="00E25334">
      <w:pPr>
        <w:spacing w:after="0" w:line="240" w:lineRule="auto"/>
        <w:jc w:val="both"/>
        <w:rPr>
          <w:rFonts w:ascii="Calibri" w:hAnsi="Calibri"/>
        </w:rPr>
      </w:pPr>
    </w:p>
    <w:p w:rsidR="00EB16E6" w:rsidRPr="00EF5F0A" w:rsidRDefault="00700F7D" w:rsidP="00E25334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  <w:u w:val="single"/>
        </w:rPr>
        <w:t>F</w:t>
      </w:r>
      <w:r w:rsidR="00E14380" w:rsidRPr="00EF5F0A">
        <w:rPr>
          <w:rFonts w:ascii="Calibri" w:hAnsi="Calibri"/>
          <w:u w:val="single"/>
        </w:rPr>
        <w:t>ormula molecolare</w:t>
      </w:r>
      <w:r w:rsidR="00E14380" w:rsidRPr="00EF5F0A">
        <w:rPr>
          <w:rFonts w:ascii="Calibri" w:hAnsi="Calibri"/>
        </w:rPr>
        <w:t xml:space="preserve">: </w:t>
      </w:r>
      <w:r w:rsidR="002E1C55" w:rsidRPr="002E1C55">
        <w:rPr>
          <w:rFonts w:ascii="Calibri" w:hAnsi="Calibri"/>
        </w:rPr>
        <w:t>C</w:t>
      </w:r>
      <w:r w:rsidR="002E1C55" w:rsidRPr="002E1C55">
        <w:rPr>
          <w:rFonts w:ascii="Calibri" w:hAnsi="Calibri"/>
          <w:vertAlign w:val="subscript"/>
        </w:rPr>
        <w:t>13</w:t>
      </w:r>
      <w:r w:rsidR="002E1C55" w:rsidRPr="002E1C55">
        <w:rPr>
          <w:rFonts w:ascii="Calibri" w:hAnsi="Calibri"/>
        </w:rPr>
        <w:t>H</w:t>
      </w:r>
      <w:r w:rsidR="002E1C55" w:rsidRPr="002E1C55">
        <w:rPr>
          <w:rFonts w:ascii="Calibri" w:hAnsi="Calibri"/>
          <w:vertAlign w:val="subscript"/>
        </w:rPr>
        <w:t>18</w:t>
      </w:r>
      <w:r w:rsidR="002E1C55" w:rsidRPr="002E1C55">
        <w:rPr>
          <w:rFonts w:ascii="Calibri" w:hAnsi="Calibri"/>
        </w:rPr>
        <w:t>O</w:t>
      </w:r>
      <w:r w:rsidR="002E1C55" w:rsidRPr="002E1C55">
        <w:rPr>
          <w:rFonts w:ascii="Calibri" w:hAnsi="Calibri"/>
          <w:vertAlign w:val="subscript"/>
        </w:rPr>
        <w:t>2</w:t>
      </w:r>
      <w:r w:rsidR="00860148" w:rsidRPr="002E1C55">
        <w:rPr>
          <w:rFonts w:ascii="Calibri" w:hAnsi="Calibri"/>
          <w:vertAlign w:val="subscript"/>
        </w:rPr>
        <w:t xml:space="preserve"> </w:t>
      </w:r>
    </w:p>
    <w:p w:rsidR="00EB16E6" w:rsidRPr="00EF5F0A" w:rsidRDefault="00577B78" w:rsidP="00E25334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  <w:u w:val="single"/>
        </w:rPr>
        <w:t>Peso molecolare</w:t>
      </w:r>
      <w:r w:rsidRPr="00EF5F0A">
        <w:rPr>
          <w:rFonts w:ascii="Calibri" w:hAnsi="Calibri"/>
        </w:rPr>
        <w:t xml:space="preserve">:  </w:t>
      </w:r>
      <w:r w:rsidR="002E1C55" w:rsidRPr="002E1C55">
        <w:rPr>
          <w:rFonts w:ascii="Calibri" w:hAnsi="Calibri"/>
        </w:rPr>
        <w:t>206.3</w:t>
      </w:r>
      <w:r w:rsidR="00860148">
        <w:rPr>
          <w:rFonts w:ascii="Calibri" w:hAnsi="Calibri"/>
        </w:rPr>
        <w:t xml:space="preserve"> </w:t>
      </w:r>
    </w:p>
    <w:p w:rsidR="002E1C55" w:rsidRDefault="00E25334" w:rsidP="002E1C55">
      <w:pPr>
        <w:autoSpaceDE w:val="0"/>
        <w:autoSpaceDN w:val="0"/>
        <w:adjustRightInd w:val="0"/>
        <w:spacing w:after="0" w:line="240" w:lineRule="auto"/>
        <w:rPr>
          <w:rFonts w:ascii="Calibri" w:hAnsi="Calibri"/>
        </w:rPr>
      </w:pPr>
      <w:r w:rsidRPr="002E1C55">
        <w:rPr>
          <w:rFonts w:ascii="Calibri" w:hAnsi="Calibri"/>
          <w:u w:val="single"/>
        </w:rPr>
        <w:t>Aspetto</w:t>
      </w:r>
      <w:r w:rsidR="00E927A4" w:rsidRPr="002E1C55">
        <w:rPr>
          <w:rFonts w:ascii="Calibri" w:hAnsi="Calibri"/>
          <w:u w:val="single"/>
        </w:rPr>
        <w:t xml:space="preserve">: </w:t>
      </w:r>
      <w:r w:rsidR="002E1C55" w:rsidRPr="002E1C55">
        <w:rPr>
          <w:rFonts w:ascii="Calibri" w:hAnsi="Calibri"/>
        </w:rPr>
        <w:t xml:space="preserve">polvere cristallina bianca o cristalli incolori </w:t>
      </w:r>
    </w:p>
    <w:p w:rsidR="002E1C55" w:rsidRPr="002E1C55" w:rsidRDefault="002E1C55" w:rsidP="002E1C55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</w:rPr>
      </w:pPr>
      <w:r w:rsidRPr="002E1C55">
        <w:rPr>
          <w:rFonts w:ascii="Calibri" w:hAnsi="Calibri"/>
          <w:u w:val="single"/>
        </w:rPr>
        <w:t>Isomeria ottica</w:t>
      </w:r>
      <w:r w:rsidRPr="002E1C55">
        <w:rPr>
          <w:rFonts w:ascii="Calibri" w:hAnsi="Calibri"/>
        </w:rPr>
        <w:t>: un centro ch</w:t>
      </w:r>
      <w:r>
        <w:rPr>
          <w:rFonts w:ascii="Calibri" w:hAnsi="Calibri"/>
        </w:rPr>
        <w:t>i</w:t>
      </w:r>
      <w:r w:rsidRPr="002E1C55">
        <w:rPr>
          <w:rFonts w:ascii="Calibri" w:hAnsi="Calibri"/>
        </w:rPr>
        <w:t>rale in C2</w:t>
      </w:r>
      <w:r w:rsidR="00860148" w:rsidRPr="002E1C55">
        <w:rPr>
          <w:rFonts w:ascii="Calibri" w:hAnsi="Calibri"/>
        </w:rPr>
        <w:t xml:space="preserve"> </w:t>
      </w:r>
      <w:r w:rsidRPr="002E1C55">
        <w:rPr>
          <w:rFonts w:ascii="Calibri" w:hAnsi="Calibri"/>
        </w:rPr>
        <w:t xml:space="preserve">(disponibile come </w:t>
      </w:r>
      <w:r>
        <w:rPr>
          <w:rFonts w:ascii="Calibri" w:hAnsi="Calibri"/>
        </w:rPr>
        <w:t>miscela racemica</w:t>
      </w:r>
      <w:r w:rsidRPr="002E1C55">
        <w:rPr>
          <w:rFonts w:ascii="Calibri" w:hAnsi="Calibri"/>
        </w:rPr>
        <w:t>)</w:t>
      </w:r>
      <w:r>
        <w:rPr>
          <w:rFonts w:ascii="TimesNewRoman" w:eastAsia="TimesNewRoman" w:cs="TimesNewRoman"/>
          <w:sz w:val="24"/>
          <w:szCs w:val="24"/>
        </w:rPr>
        <w:t xml:space="preserve"> </w:t>
      </w:r>
    </w:p>
    <w:p w:rsidR="002E1C55" w:rsidRPr="002E1C55" w:rsidRDefault="00DD07C0" w:rsidP="002E1C55">
      <w:pPr>
        <w:autoSpaceDE w:val="0"/>
        <w:autoSpaceDN w:val="0"/>
        <w:adjustRightInd w:val="0"/>
        <w:spacing w:after="0" w:line="240" w:lineRule="auto"/>
        <w:rPr>
          <w:rFonts w:ascii="Calibri" w:hAnsi="Calibri"/>
        </w:rPr>
      </w:pPr>
      <w:r w:rsidRPr="002E1C55">
        <w:rPr>
          <w:rFonts w:ascii="Calibri" w:hAnsi="Calibri"/>
          <w:u w:val="single"/>
        </w:rPr>
        <w:t xml:space="preserve">Solubilità: </w:t>
      </w:r>
      <w:r w:rsidR="00860148" w:rsidRPr="002E1C55">
        <w:rPr>
          <w:rFonts w:ascii="Calibri" w:hAnsi="Calibri"/>
        </w:rPr>
        <w:t xml:space="preserve"> </w:t>
      </w:r>
      <w:r w:rsidR="002E1C55" w:rsidRPr="002E1C55">
        <w:rPr>
          <w:rFonts w:ascii="Calibri" w:hAnsi="Calibri"/>
        </w:rPr>
        <w:t>praticamente insolubile in acqua</w:t>
      </w:r>
      <w:r w:rsidR="002E1C55">
        <w:rPr>
          <w:rFonts w:ascii="Calibri" w:hAnsi="Calibri"/>
        </w:rPr>
        <w:t xml:space="preserve">, molto solubile in acetone, metanolo e </w:t>
      </w:r>
      <w:proofErr w:type="spellStart"/>
      <w:r w:rsidR="002E1C55">
        <w:rPr>
          <w:rFonts w:ascii="Calibri" w:hAnsi="Calibri"/>
        </w:rPr>
        <w:t>metilen</w:t>
      </w:r>
      <w:proofErr w:type="spellEnd"/>
      <w:r w:rsidR="002E1C55">
        <w:rPr>
          <w:rFonts w:ascii="Calibri" w:hAnsi="Calibri"/>
        </w:rPr>
        <w:t xml:space="preserve"> cloruro. </w:t>
      </w:r>
      <w:r w:rsidR="00E30CBC">
        <w:rPr>
          <w:rFonts w:ascii="Calibri" w:hAnsi="Calibri"/>
        </w:rPr>
        <w:t xml:space="preserve">Si dissolve in soluzioni diluite di idrossidi alcalini e carbonati. </w:t>
      </w:r>
    </w:p>
    <w:p w:rsidR="00E927A4" w:rsidRPr="00EF5F0A" w:rsidRDefault="00502AB1" w:rsidP="00E927A4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Il principio </w:t>
      </w:r>
      <w:r w:rsidR="00B70D8F" w:rsidRPr="00EF5F0A">
        <w:rPr>
          <w:rFonts w:ascii="Calibri" w:hAnsi="Calibri"/>
        </w:rPr>
        <w:t xml:space="preserve">attivo </w:t>
      </w:r>
      <w:r w:rsidR="00860148">
        <w:rPr>
          <w:rFonts w:ascii="Calibri" w:hAnsi="Calibri"/>
        </w:rPr>
        <w:t>ibuprofene</w:t>
      </w:r>
      <w:r w:rsidR="006E0162" w:rsidRPr="00EF5F0A">
        <w:rPr>
          <w:rFonts w:ascii="Calibri" w:hAnsi="Calibri"/>
        </w:rPr>
        <w:t xml:space="preserve"> usato nella produzione del medicinale è conforme alla monografia di </w:t>
      </w:r>
      <w:r w:rsidR="00E927A4" w:rsidRPr="00EF5F0A">
        <w:rPr>
          <w:rFonts w:ascii="Calibri" w:hAnsi="Calibri"/>
        </w:rPr>
        <w:t>Farmacopea Europea</w:t>
      </w:r>
      <w:r w:rsidR="006E0162" w:rsidRPr="00EF5F0A">
        <w:rPr>
          <w:rFonts w:ascii="Calibri" w:hAnsi="Calibri"/>
        </w:rPr>
        <w:t xml:space="preserve"> (</w:t>
      </w:r>
      <w:r w:rsidR="00E30CBC">
        <w:rPr>
          <w:rFonts w:ascii="Calibri" w:hAnsi="Calibri"/>
        </w:rPr>
        <w:t>0721</w:t>
      </w:r>
      <w:r w:rsidR="006E0162" w:rsidRPr="00EF5F0A">
        <w:rPr>
          <w:rFonts w:ascii="Calibri" w:hAnsi="Calibri"/>
        </w:rPr>
        <w:t>)</w:t>
      </w:r>
      <w:r w:rsidR="003D4AC2" w:rsidRPr="00EF5F0A">
        <w:rPr>
          <w:rFonts w:ascii="Calibri" w:hAnsi="Calibri"/>
        </w:rPr>
        <w:t>.</w:t>
      </w:r>
      <w:r w:rsidR="00E927A4" w:rsidRPr="00EF5F0A">
        <w:rPr>
          <w:rFonts w:ascii="Calibri" w:hAnsi="Calibri"/>
        </w:rPr>
        <w:t xml:space="preserve"> Per la produzione di </w:t>
      </w:r>
      <w:r w:rsidR="009A1779" w:rsidRPr="00EF5F0A">
        <w:rPr>
          <w:rFonts w:ascii="Calibri" w:hAnsi="Calibri"/>
        </w:rPr>
        <w:t>MOMENT</w:t>
      </w:r>
      <w:r w:rsidR="00E927A4" w:rsidRPr="00EF5F0A">
        <w:rPr>
          <w:rFonts w:ascii="Calibri" w:hAnsi="Calibri"/>
        </w:rPr>
        <w:t xml:space="preserve"> è proposto un produttore di sostanza attiva che è titolare di un CEP rilasciato dal Direttorato Europeo della Qualità dei medicinali (EDQM). Tutti gli aspetti della produzione e del controllo della sostanza attiva sono coperti dal CEP.</w:t>
      </w:r>
    </w:p>
    <w:p w:rsidR="00E927A4" w:rsidRPr="00EF5F0A" w:rsidRDefault="00E927A4" w:rsidP="00E927A4">
      <w:pPr>
        <w:spacing w:after="0" w:line="240" w:lineRule="auto"/>
        <w:jc w:val="both"/>
        <w:rPr>
          <w:rFonts w:ascii="Calibri" w:hAnsi="Calibri"/>
        </w:rPr>
      </w:pPr>
    </w:p>
    <w:p w:rsidR="0032701C" w:rsidRPr="00EF5F0A" w:rsidRDefault="00577B78" w:rsidP="00E14380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 xml:space="preserve"> </w:t>
      </w:r>
    </w:p>
    <w:p w:rsidR="007C68D2" w:rsidRPr="00EF5F0A" w:rsidRDefault="007C68D2" w:rsidP="00E14380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II.2 PRODOTTO FINITO</w:t>
      </w:r>
    </w:p>
    <w:p w:rsidR="007C68D2" w:rsidRPr="00EF5F0A" w:rsidRDefault="007C68D2" w:rsidP="00E14380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Descrizione e composizione</w:t>
      </w:r>
    </w:p>
    <w:p w:rsidR="00424DDF" w:rsidRPr="00EF5F0A" w:rsidRDefault="009A1779" w:rsidP="00FD45E3">
      <w:pPr>
        <w:spacing w:after="0" w:line="240" w:lineRule="auto"/>
        <w:jc w:val="both"/>
        <w:rPr>
          <w:rFonts w:ascii="Calibri" w:hAnsi="Calibri"/>
        </w:rPr>
      </w:pPr>
      <w:r w:rsidRPr="00FD45E3">
        <w:rPr>
          <w:rFonts w:ascii="Calibri" w:hAnsi="Calibri"/>
        </w:rPr>
        <w:t>MOMENT</w:t>
      </w:r>
      <w:r w:rsidR="00860148" w:rsidRPr="00FD45E3">
        <w:rPr>
          <w:rFonts w:ascii="Calibri" w:hAnsi="Calibri"/>
        </w:rPr>
        <w:t xml:space="preserve"> 200 mg sospensione orale in bustine</w:t>
      </w:r>
      <w:r w:rsidR="00E927A4" w:rsidRPr="00FD45E3">
        <w:rPr>
          <w:rFonts w:ascii="Calibri" w:hAnsi="Calibri"/>
        </w:rPr>
        <w:t xml:space="preserve"> </w:t>
      </w:r>
      <w:r w:rsidR="007C68D2" w:rsidRPr="00FD45E3">
        <w:rPr>
          <w:rFonts w:ascii="Calibri" w:hAnsi="Calibri"/>
        </w:rPr>
        <w:t>è</w:t>
      </w:r>
      <w:r w:rsidR="00FD45E3" w:rsidRPr="00FD45E3">
        <w:rPr>
          <w:rFonts w:ascii="Calibri" w:hAnsi="Calibri"/>
        </w:rPr>
        <w:t xml:space="preserve"> una sospensione fluida, omogenea da Bianca a leggermente gialla</w:t>
      </w:r>
      <w:r w:rsidR="00FD45E3">
        <w:rPr>
          <w:rFonts w:ascii="Calibri" w:hAnsi="Calibri"/>
        </w:rPr>
        <w:t xml:space="preserve"> contenente un aroma all’arancia rossa. E’ </w:t>
      </w:r>
      <w:r w:rsidR="002349D8" w:rsidRPr="00EF5F0A">
        <w:rPr>
          <w:rFonts w:ascii="Calibri" w:hAnsi="Calibri"/>
        </w:rPr>
        <w:t>confezionato</w:t>
      </w:r>
      <w:r w:rsidR="006E0162" w:rsidRPr="00EF5F0A">
        <w:rPr>
          <w:rFonts w:ascii="Calibri" w:hAnsi="Calibri"/>
        </w:rPr>
        <w:t xml:space="preserve"> in </w:t>
      </w:r>
      <w:r w:rsidR="00C51F0A">
        <w:rPr>
          <w:rFonts w:ascii="Calibri" w:hAnsi="Calibri"/>
        </w:rPr>
        <w:t>b</w:t>
      </w:r>
      <w:r w:rsidR="00C51F0A" w:rsidRPr="00C51F0A">
        <w:rPr>
          <w:rFonts w:ascii="Calibri" w:hAnsi="Calibri"/>
        </w:rPr>
        <w:t>ustine monodose da 5 ml di PET/AL</w:t>
      </w:r>
      <w:r w:rsidR="00BB79B9">
        <w:rPr>
          <w:rFonts w:ascii="Calibri" w:hAnsi="Calibri"/>
        </w:rPr>
        <w:t>U</w:t>
      </w:r>
      <w:r w:rsidR="00C51F0A">
        <w:rPr>
          <w:rFonts w:ascii="Calibri" w:hAnsi="Calibri"/>
        </w:rPr>
        <w:t>/PE (polie</w:t>
      </w:r>
      <w:r w:rsidR="00F021C7">
        <w:rPr>
          <w:rFonts w:ascii="Calibri" w:hAnsi="Calibri"/>
        </w:rPr>
        <w:t>stere</w:t>
      </w:r>
      <w:r w:rsidR="00C51F0A">
        <w:rPr>
          <w:rFonts w:ascii="Calibri" w:hAnsi="Calibri"/>
        </w:rPr>
        <w:t>/alluminio/</w:t>
      </w:r>
      <w:r w:rsidR="00FD45E3">
        <w:rPr>
          <w:rFonts w:ascii="Calibri" w:hAnsi="Calibri"/>
        </w:rPr>
        <w:t>polietilene) contenenti 200 mg di principio attivo.</w:t>
      </w:r>
    </w:p>
    <w:p w:rsidR="002349D8" w:rsidRPr="00EF5F0A" w:rsidRDefault="00860148" w:rsidP="001B67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u w:val="single"/>
        </w:rPr>
        <w:t xml:space="preserve"> </w:t>
      </w:r>
    </w:p>
    <w:p w:rsidR="007C68D2" w:rsidRPr="00EF5F0A" w:rsidRDefault="00D16510" w:rsidP="00424DDF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Gli eccipienti utilizzati nell</w:t>
      </w:r>
      <w:r w:rsidR="00424DDF" w:rsidRPr="00EF5F0A">
        <w:rPr>
          <w:rFonts w:ascii="Calibri" w:hAnsi="Calibri"/>
        </w:rPr>
        <w:t>e formulazioni</w:t>
      </w:r>
      <w:r w:rsidRPr="00EF5F0A">
        <w:rPr>
          <w:rFonts w:ascii="Calibri" w:hAnsi="Calibri"/>
        </w:rPr>
        <w:t xml:space="preserve"> sono conformi alla relativa monografia di Farmacopea Europea </w:t>
      </w:r>
      <w:r w:rsidRPr="00BB79B9">
        <w:rPr>
          <w:rFonts w:ascii="Calibri" w:hAnsi="Calibri"/>
        </w:rPr>
        <w:t>fatta eccezione per l’aroma per cui sono proposte adeguate specifiche interne.</w:t>
      </w:r>
      <w:r w:rsidRPr="00EF5F0A">
        <w:rPr>
          <w:rFonts w:ascii="Calibri" w:hAnsi="Calibri"/>
        </w:rPr>
        <w:t xml:space="preserve">  </w:t>
      </w:r>
      <w:r w:rsidR="001E6EA4" w:rsidRPr="00EF5F0A">
        <w:rPr>
          <w:rFonts w:ascii="Calibri" w:hAnsi="Calibri"/>
        </w:rPr>
        <w:t>E’</w:t>
      </w:r>
      <w:r w:rsidR="00213B3A" w:rsidRPr="00EF5F0A">
        <w:rPr>
          <w:rFonts w:ascii="Calibri" w:hAnsi="Calibri"/>
        </w:rPr>
        <w:t xml:space="preserve"> stata fornita una dichiarazione relativa all’assenza del rischio BSE/TSE. </w:t>
      </w:r>
      <w:r w:rsidR="007C68D2" w:rsidRPr="00EF5F0A">
        <w:rPr>
          <w:rFonts w:ascii="Calibri" w:hAnsi="Calibri"/>
        </w:rPr>
        <w:t>Nessun eccipiente è ottenuto da organismi geneticamente modificati; non sono presenti eccipienti mai utilizzati nell’uomo.</w:t>
      </w:r>
    </w:p>
    <w:p w:rsidR="00F01FB3" w:rsidRPr="00EF5F0A" w:rsidRDefault="00F01FB3" w:rsidP="00424DDF">
      <w:pPr>
        <w:spacing w:after="0" w:line="240" w:lineRule="auto"/>
        <w:contextualSpacing/>
        <w:jc w:val="both"/>
        <w:rPr>
          <w:rFonts w:ascii="Calibri" w:hAnsi="Calibri"/>
        </w:rPr>
      </w:pPr>
    </w:p>
    <w:p w:rsidR="007C68D2" w:rsidRPr="00EF5F0A" w:rsidRDefault="007C68D2" w:rsidP="00E14380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Sviluppo farmaceutico</w:t>
      </w:r>
    </w:p>
    <w:p w:rsidR="007C68D2" w:rsidRPr="00EF5F0A" w:rsidRDefault="007C68D2" w:rsidP="00502AB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Sono stati forniti dettagli dello sviluppo farmaceutico e questi sono stati ritenuti soddisfacenti.</w:t>
      </w:r>
    </w:p>
    <w:p w:rsidR="007C68D2" w:rsidRPr="00EF5F0A" w:rsidRDefault="007C68D2" w:rsidP="00502AB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Sono stati forniti dati comparativi relativi alle caratteristiche fisico-chimiche e al profilo di impurezze rispetto al medicinale di riferimento. I dati sono soddisfacenti.</w:t>
      </w:r>
    </w:p>
    <w:p w:rsidR="007C68D2" w:rsidRPr="00EF5F0A" w:rsidRDefault="007C68D2" w:rsidP="007935FE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7935FE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 xml:space="preserve">Produzione 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Sono stati forniti una descrizione del metodo di produzione e la relativa flow-chart.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Specifiche del prodotto finito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EF5F0A" w:rsidRDefault="00F22BED" w:rsidP="00B32D81">
      <w:pPr>
        <w:spacing w:after="0" w:line="240" w:lineRule="auto"/>
        <w:jc w:val="both"/>
        <w:rPr>
          <w:rFonts w:ascii="Calibri" w:hAnsi="Calibri"/>
          <w:b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Contenitore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lastRenderedPageBreak/>
        <w:t xml:space="preserve">Sono state fornite specifiche e certificati analitici per </w:t>
      </w:r>
      <w:r w:rsidR="008437AA" w:rsidRPr="00EF5F0A">
        <w:rPr>
          <w:rFonts w:ascii="Calibri" w:hAnsi="Calibri"/>
        </w:rPr>
        <w:t>i componenti dei confezionamenti primari</w:t>
      </w:r>
      <w:r w:rsidR="001B67E5" w:rsidRPr="00EF5F0A">
        <w:rPr>
          <w:rFonts w:ascii="Calibri" w:hAnsi="Calibri"/>
        </w:rPr>
        <w:t>.</w:t>
      </w:r>
      <w:r w:rsidR="008437AA" w:rsidRPr="00EF5F0A">
        <w:rPr>
          <w:rFonts w:ascii="Calibri" w:hAnsi="Calibri"/>
        </w:rPr>
        <w:t xml:space="preserve"> 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Stabilità</w:t>
      </w:r>
    </w:p>
    <w:p w:rsidR="005D13CC" w:rsidRPr="00EF5F0A" w:rsidRDefault="007C68D2" w:rsidP="005D13CC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Studi di stabilità sul prodotto finito sono stati condotti in accordo alle correnti linee guida e i risultati sono entro i limiti delle specifiche autorizzate. Sulla base di questi risultati, è stato autorizzato un</w:t>
      </w:r>
      <w:r w:rsidR="00CE5C72" w:rsidRPr="00EF5F0A">
        <w:rPr>
          <w:rFonts w:ascii="Calibri" w:hAnsi="Calibri"/>
        </w:rPr>
        <w:t xml:space="preserve"> periodo di validità di </w:t>
      </w:r>
      <w:r w:rsidR="00FD45E3">
        <w:rPr>
          <w:rFonts w:ascii="Calibri" w:hAnsi="Calibri"/>
        </w:rPr>
        <w:t>2</w:t>
      </w:r>
      <w:r w:rsidR="001B67E5" w:rsidRPr="00EF5F0A">
        <w:rPr>
          <w:rFonts w:ascii="Calibri" w:hAnsi="Calibri"/>
        </w:rPr>
        <w:t xml:space="preserve"> anni </w:t>
      </w:r>
      <w:r w:rsidR="001E6EA4" w:rsidRPr="00EF5F0A">
        <w:rPr>
          <w:rFonts w:ascii="Calibri" w:hAnsi="Calibri"/>
        </w:rPr>
        <w:t xml:space="preserve">per </w:t>
      </w:r>
      <w:r w:rsidR="009A1779" w:rsidRPr="00EF5F0A">
        <w:rPr>
          <w:rFonts w:ascii="Calibri" w:hAnsi="Calibri"/>
        </w:rPr>
        <w:t>MOMENT</w:t>
      </w:r>
      <w:r w:rsidR="00FD45E3">
        <w:rPr>
          <w:rFonts w:ascii="Calibri" w:hAnsi="Calibri"/>
        </w:rPr>
        <w:t xml:space="preserve"> sospensione orale in bustine</w:t>
      </w:r>
      <w:r w:rsidR="001B67E5" w:rsidRPr="00EF5F0A">
        <w:rPr>
          <w:rFonts w:ascii="Calibri" w:hAnsi="Calibri"/>
        </w:rPr>
        <w:t>.</w:t>
      </w:r>
    </w:p>
    <w:p w:rsidR="001B67E5" w:rsidRPr="00EF5F0A" w:rsidRDefault="001B67E5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II.3 Discussione sugli aspetti di qualità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Tutte le criticità evidenziate nel corso della valutazione sono state risolte e la qualità di </w:t>
      </w:r>
      <w:r w:rsidR="009A1779" w:rsidRPr="00EF5F0A">
        <w:rPr>
          <w:rFonts w:ascii="Calibri" w:hAnsi="Calibri"/>
        </w:rPr>
        <w:t>MOMENT</w:t>
      </w:r>
      <w:r w:rsidR="001E6EA4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 xml:space="preserve">è considerata adeguata. Non ci sono obiezioni per l’approvazione di </w:t>
      </w:r>
      <w:r w:rsidR="009A1779" w:rsidRPr="00EF5F0A">
        <w:rPr>
          <w:rFonts w:ascii="Calibri" w:hAnsi="Calibri"/>
        </w:rPr>
        <w:t>MOMENT</w:t>
      </w:r>
      <w:r w:rsidRPr="00EF5F0A">
        <w:rPr>
          <w:rFonts w:ascii="Calibri" w:hAnsi="Calibri"/>
        </w:rPr>
        <w:t xml:space="preserve"> dal punto di vista chimico-farmaceutico.</w:t>
      </w:r>
    </w:p>
    <w:p w:rsidR="00860148" w:rsidRPr="00EF5F0A" w:rsidRDefault="00860148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NON CLINICI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Non sono stati condotti specifici studi non clinici, in quanto </w:t>
      </w:r>
      <w:r w:rsidR="009A1779" w:rsidRPr="00EF5F0A">
        <w:rPr>
          <w:rFonts w:ascii="Calibri" w:hAnsi="Calibri"/>
        </w:rPr>
        <w:t>MOMENT</w:t>
      </w:r>
      <w:r w:rsidR="001E6EA4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contiene un principio attivo noto</w:t>
      </w:r>
      <w:r w:rsidR="00860148">
        <w:rPr>
          <w:rFonts w:ascii="Calibri" w:hAnsi="Calibri"/>
        </w:rPr>
        <w:t xml:space="preserve"> ed</w:t>
      </w:r>
      <w:r w:rsidR="00A52DC4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 xml:space="preserve">è </w:t>
      </w:r>
      <w:r w:rsidR="00860148">
        <w:rPr>
          <w:rFonts w:ascii="Calibri" w:hAnsi="Calibri"/>
        </w:rPr>
        <w:t>autorizzato in Italia da oltre 3</w:t>
      </w:r>
      <w:r w:rsidRPr="00EF5F0A">
        <w:rPr>
          <w:rFonts w:ascii="Calibri" w:hAnsi="Calibri"/>
        </w:rPr>
        <w:t>0 anni.</w:t>
      </w:r>
      <w:r w:rsidR="00353318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Non ci sono obiezioni per l’approvazione dal punto di vista non clinico.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CLINICI</w:t>
      </w:r>
    </w:p>
    <w:p w:rsidR="005F045D" w:rsidRPr="00325D45" w:rsidRDefault="001E6EA4" w:rsidP="00325D45">
      <w:pPr>
        <w:keepNext/>
        <w:rPr>
          <w:rFonts w:ascii="Calibri" w:eastAsia="Calibri" w:hAnsi="Calibri" w:cs="Times New Roman"/>
        </w:rPr>
      </w:pPr>
      <w:r w:rsidRPr="00EF5F0A">
        <w:rPr>
          <w:rFonts w:ascii="Calibri" w:hAnsi="Calibri"/>
        </w:rPr>
        <w:t xml:space="preserve">Non sono stati condotti specifici studi clinici, in quanto </w:t>
      </w:r>
      <w:r w:rsidR="009A1779" w:rsidRPr="00EF5F0A">
        <w:rPr>
          <w:rFonts w:ascii="Calibri" w:hAnsi="Calibri"/>
        </w:rPr>
        <w:t>MOMENT</w:t>
      </w:r>
      <w:r w:rsidRPr="00EF5F0A">
        <w:rPr>
          <w:rFonts w:ascii="Calibri" w:hAnsi="Calibri"/>
        </w:rPr>
        <w:t xml:space="preserve"> contiene un principio attivo noto</w:t>
      </w:r>
      <w:r w:rsidR="00860148">
        <w:rPr>
          <w:rFonts w:ascii="Calibri" w:hAnsi="Calibri"/>
        </w:rPr>
        <w:t xml:space="preserve"> ed</w:t>
      </w:r>
      <w:r w:rsidRPr="00EF5F0A">
        <w:rPr>
          <w:rFonts w:ascii="Calibri" w:hAnsi="Calibri"/>
        </w:rPr>
        <w:t xml:space="preserve"> è </w:t>
      </w:r>
      <w:r w:rsidR="00860148">
        <w:rPr>
          <w:rFonts w:ascii="Calibri" w:hAnsi="Calibri"/>
        </w:rPr>
        <w:t>autorizzato in Italia da oltre 3</w:t>
      </w:r>
      <w:r w:rsidRPr="00EF5F0A">
        <w:rPr>
          <w:rFonts w:ascii="Calibri" w:hAnsi="Calibri"/>
        </w:rPr>
        <w:t xml:space="preserve">0 anni. </w:t>
      </w:r>
      <w:r w:rsidR="005D13CC" w:rsidRPr="00EF5F0A">
        <w:rPr>
          <w:rFonts w:ascii="Calibri" w:eastAsia="Calibri" w:hAnsi="Calibri" w:cs="Times New Roman"/>
        </w:rPr>
        <w:t xml:space="preserve"> </w:t>
      </w:r>
    </w:p>
    <w:p w:rsidR="005F045D" w:rsidRDefault="005F045D" w:rsidP="00F22BED">
      <w:pPr>
        <w:spacing w:after="0" w:line="240" w:lineRule="auto"/>
        <w:jc w:val="both"/>
        <w:rPr>
          <w:rFonts w:ascii="Calibri" w:hAnsi="Calibri" w:cs="Arial"/>
          <w:b/>
          <w:bCs/>
        </w:rPr>
      </w:pPr>
      <w:r w:rsidRPr="005F045D">
        <w:rPr>
          <w:rFonts w:ascii="Calibri" w:hAnsi="Calibri" w:cs="Arial"/>
          <w:b/>
          <w:bCs/>
        </w:rPr>
        <w:t xml:space="preserve">Studio di </w:t>
      </w:r>
      <w:proofErr w:type="spellStart"/>
      <w:r w:rsidRPr="005F045D">
        <w:rPr>
          <w:rFonts w:ascii="Calibri" w:hAnsi="Calibri" w:cs="Arial"/>
          <w:b/>
          <w:bCs/>
        </w:rPr>
        <w:t>bioequivalenza</w:t>
      </w:r>
      <w:proofErr w:type="spellEnd"/>
    </w:p>
    <w:p w:rsidR="005F045D" w:rsidRPr="00DB70B9" w:rsidRDefault="005F045D" w:rsidP="005F045D">
      <w:pPr>
        <w:spacing w:after="0" w:line="240" w:lineRule="auto"/>
        <w:jc w:val="both"/>
        <w:rPr>
          <w:rFonts w:ascii="Calibri" w:hAnsi="Calibri" w:cs="Arial"/>
        </w:rPr>
      </w:pPr>
      <w:r w:rsidRPr="00DB70B9">
        <w:rPr>
          <w:rFonts w:ascii="Calibri" w:hAnsi="Calibri" w:cs="Arial"/>
        </w:rPr>
        <w:t xml:space="preserve">La richiesta di AIC è supportata da uno studio di </w:t>
      </w:r>
      <w:proofErr w:type="spellStart"/>
      <w:r w:rsidRPr="00DB70B9">
        <w:rPr>
          <w:rFonts w:ascii="Calibri" w:hAnsi="Calibri" w:cs="Arial"/>
        </w:rPr>
        <w:t>bioequivalenza</w:t>
      </w:r>
      <w:proofErr w:type="spellEnd"/>
      <w:r w:rsidRPr="00DB70B9">
        <w:rPr>
          <w:rFonts w:ascii="Calibri" w:hAnsi="Calibri" w:cs="Arial"/>
        </w:rPr>
        <w:t xml:space="preserve"> che ha confrontato i profili farmacocinetici di MOMNENT 200 mg mg/5 </w:t>
      </w:r>
      <w:proofErr w:type="spellStart"/>
      <w:r w:rsidRPr="00DB70B9">
        <w:rPr>
          <w:rFonts w:ascii="Calibri" w:hAnsi="Calibri" w:cs="Arial"/>
        </w:rPr>
        <w:t>mL</w:t>
      </w:r>
      <w:proofErr w:type="spellEnd"/>
      <w:r w:rsidRPr="00DB70B9">
        <w:rPr>
          <w:rFonts w:ascii="Calibri" w:hAnsi="Calibri" w:cs="Arial"/>
        </w:rPr>
        <w:t xml:space="preserve"> sospensione orale rispetto alla formulazione “</w:t>
      </w:r>
      <w:proofErr w:type="spellStart"/>
      <w:r w:rsidRPr="00DB70B9">
        <w:rPr>
          <w:rFonts w:ascii="Calibri" w:hAnsi="Calibri" w:cs="Arial"/>
        </w:rPr>
        <w:t>reference</w:t>
      </w:r>
      <w:proofErr w:type="spellEnd"/>
      <w:r w:rsidRPr="00DB70B9">
        <w:rPr>
          <w:rFonts w:ascii="Calibri" w:hAnsi="Calibri" w:cs="Arial"/>
        </w:rPr>
        <w:t>”, MOMENT 200 mg compresse rivestite.</w:t>
      </w:r>
    </w:p>
    <w:p w:rsidR="005F045D" w:rsidRPr="00DB70B9" w:rsidRDefault="005F045D" w:rsidP="005F045D">
      <w:pPr>
        <w:spacing w:after="0" w:line="240" w:lineRule="auto"/>
        <w:jc w:val="both"/>
        <w:rPr>
          <w:rFonts w:ascii="Calibri" w:hAnsi="Calibri" w:cs="Arial"/>
        </w:rPr>
      </w:pPr>
    </w:p>
    <w:p w:rsidR="005F045D" w:rsidRPr="00DB70B9" w:rsidRDefault="005F045D" w:rsidP="005F045D">
      <w:pPr>
        <w:spacing w:after="0" w:line="240" w:lineRule="auto"/>
        <w:jc w:val="both"/>
        <w:rPr>
          <w:rFonts w:ascii="Calibri" w:hAnsi="Calibri" w:cs="Arial"/>
        </w:rPr>
      </w:pPr>
      <w:r w:rsidRPr="00DB70B9">
        <w:rPr>
          <w:rFonts w:ascii="Calibri" w:hAnsi="Calibri" w:cs="Arial"/>
        </w:rPr>
        <w:t>Lo studio è caratterizzato da un appropriato disegno ed è stato condotto in accordo ai principi GCP. Sono stati forniti certificati analitici per medicinale test e medicinali di riferimento.</w:t>
      </w:r>
    </w:p>
    <w:p w:rsidR="005F045D" w:rsidRPr="00DB70B9" w:rsidRDefault="005F045D" w:rsidP="005F045D">
      <w:pPr>
        <w:spacing w:after="0" w:line="240" w:lineRule="auto"/>
        <w:jc w:val="both"/>
        <w:rPr>
          <w:rFonts w:ascii="Calibri" w:hAnsi="Calibri" w:cs="Arial"/>
        </w:rPr>
      </w:pPr>
      <w:r w:rsidRPr="00DB70B9">
        <w:rPr>
          <w:rFonts w:ascii="Calibri" w:hAnsi="Calibri" w:cs="Arial"/>
        </w:rPr>
        <w:t>Lo studi</w:t>
      </w:r>
      <w:r w:rsidR="00C07EE1" w:rsidRPr="00DB70B9">
        <w:rPr>
          <w:rFonts w:ascii="Calibri" w:hAnsi="Calibri" w:cs="Arial"/>
        </w:rPr>
        <w:t>o</w:t>
      </w:r>
      <w:r w:rsidRPr="00DB70B9">
        <w:rPr>
          <w:rFonts w:ascii="Calibri" w:hAnsi="Calibri" w:cs="Arial"/>
        </w:rPr>
        <w:t xml:space="preserve"> di </w:t>
      </w:r>
      <w:proofErr w:type="spellStart"/>
      <w:r w:rsidRPr="00DB70B9">
        <w:rPr>
          <w:rFonts w:ascii="Calibri" w:hAnsi="Calibri" w:cs="Arial"/>
        </w:rPr>
        <w:t>bioequivalenza</w:t>
      </w:r>
      <w:proofErr w:type="spellEnd"/>
      <w:r w:rsidRPr="00DB70B9">
        <w:rPr>
          <w:rFonts w:ascii="Calibri" w:hAnsi="Calibri" w:cs="Arial"/>
        </w:rPr>
        <w:t xml:space="preserve"> è uno studio comparativo, in aperto, randomizzati, a dose singola, 2-periodi, 2 sequenze e 2 trattamenti crossover condotti in 60 volontari sani con somministrazione a digiuno. È stato previsto un periodo di wash-out di </w:t>
      </w:r>
      <w:r w:rsidR="00C07EE1" w:rsidRPr="00DB70B9">
        <w:rPr>
          <w:rFonts w:ascii="Calibri" w:hAnsi="Calibri" w:cs="Arial"/>
        </w:rPr>
        <w:t>1</w:t>
      </w:r>
      <w:r w:rsidRPr="00DB70B9">
        <w:rPr>
          <w:rFonts w:ascii="Calibri" w:hAnsi="Calibri" w:cs="Arial"/>
        </w:rPr>
        <w:t>1</w:t>
      </w:r>
      <w:r w:rsidR="00C07EE1" w:rsidRPr="00DB70B9">
        <w:rPr>
          <w:rFonts w:ascii="Calibri" w:hAnsi="Calibri" w:cs="Arial"/>
        </w:rPr>
        <w:t>-13</w:t>
      </w:r>
      <w:r w:rsidRPr="00DB70B9">
        <w:rPr>
          <w:rFonts w:ascii="Calibri" w:hAnsi="Calibri" w:cs="Arial"/>
        </w:rPr>
        <w:t xml:space="preserve"> giorni tra le somministrazioni in ogni gruppo.</w:t>
      </w:r>
    </w:p>
    <w:p w:rsidR="005F045D" w:rsidRPr="00DB70B9" w:rsidRDefault="005F045D" w:rsidP="005F045D">
      <w:pPr>
        <w:spacing w:after="0" w:line="240" w:lineRule="auto"/>
        <w:jc w:val="both"/>
        <w:rPr>
          <w:rFonts w:ascii="Calibri" w:hAnsi="Calibri" w:cs="Arial"/>
        </w:rPr>
      </w:pPr>
      <w:r w:rsidRPr="00DB70B9">
        <w:rPr>
          <w:rFonts w:ascii="Calibri" w:hAnsi="Calibri" w:cs="Arial"/>
        </w:rPr>
        <w:t>Campioni di sangue sono stati prelevati al tempo zero (</w:t>
      </w:r>
      <w:proofErr w:type="spellStart"/>
      <w:r w:rsidRPr="00DB70B9">
        <w:rPr>
          <w:rFonts w:ascii="Calibri" w:hAnsi="Calibri" w:cs="Arial"/>
        </w:rPr>
        <w:t>pre-dose</w:t>
      </w:r>
      <w:proofErr w:type="spellEnd"/>
      <w:r w:rsidRPr="00DB70B9">
        <w:rPr>
          <w:rFonts w:ascii="Calibri" w:hAnsi="Calibri" w:cs="Arial"/>
        </w:rPr>
        <w:t xml:space="preserve">) e a specifici tempi fino a </w:t>
      </w:r>
      <w:r w:rsidR="00C07EE1" w:rsidRPr="00DB70B9">
        <w:rPr>
          <w:rFonts w:ascii="Calibri" w:hAnsi="Calibri" w:cs="Arial"/>
        </w:rPr>
        <w:t>24</w:t>
      </w:r>
      <w:r w:rsidRPr="00DB70B9">
        <w:rPr>
          <w:rFonts w:ascii="Calibri" w:hAnsi="Calibri" w:cs="Arial"/>
        </w:rPr>
        <w:t xml:space="preserve"> ore dopo la somministrazione. I livelli plasmatici di </w:t>
      </w:r>
      <w:r w:rsidR="001710A0" w:rsidRPr="00DB70B9">
        <w:rPr>
          <w:rFonts w:ascii="Calibri" w:hAnsi="Calibri" w:cs="Arial"/>
        </w:rPr>
        <w:t xml:space="preserve"> S ibuprofene , R ibuprofene  e ibuprofene</w:t>
      </w:r>
      <w:r w:rsidR="00C07EE1" w:rsidRPr="00DB70B9">
        <w:rPr>
          <w:rFonts w:ascii="Calibri" w:hAnsi="Calibri" w:cs="Arial"/>
        </w:rPr>
        <w:t xml:space="preserve"> racemato</w:t>
      </w:r>
      <w:r w:rsidR="001710A0" w:rsidRPr="00DB70B9">
        <w:rPr>
          <w:rFonts w:ascii="Calibri" w:hAnsi="Calibri" w:cs="Arial"/>
          <w:b/>
          <w:bCs/>
        </w:rPr>
        <w:t xml:space="preserve"> </w:t>
      </w:r>
      <w:r w:rsidRPr="00DB70B9">
        <w:rPr>
          <w:rFonts w:ascii="Calibri" w:hAnsi="Calibri" w:cs="Arial"/>
        </w:rPr>
        <w:t>sono stati determinati mediante un metodo analitico HPLC-MS opportunamente convalidato.</w:t>
      </w:r>
    </w:p>
    <w:p w:rsidR="005F045D" w:rsidRPr="00DB70B9" w:rsidRDefault="001710A0" w:rsidP="005F045D">
      <w:pPr>
        <w:spacing w:after="0" w:line="240" w:lineRule="auto"/>
        <w:jc w:val="both"/>
        <w:rPr>
          <w:rFonts w:ascii="Calibri" w:hAnsi="Calibri" w:cs="Arial"/>
        </w:rPr>
      </w:pPr>
      <w:r w:rsidRPr="00DB70B9">
        <w:rPr>
          <w:rFonts w:ascii="Calibri" w:hAnsi="Calibri" w:cs="Arial"/>
        </w:rPr>
        <w:t>Per ibuprofene sono state definite l</w:t>
      </w:r>
      <w:r w:rsidR="005F045D" w:rsidRPr="00DB70B9">
        <w:rPr>
          <w:rFonts w:ascii="Calibri" w:hAnsi="Calibri" w:cs="Arial"/>
        </w:rPr>
        <w:t xml:space="preserve">e </w:t>
      </w:r>
      <w:r w:rsidRPr="00DB70B9">
        <w:rPr>
          <w:rFonts w:ascii="Calibri" w:hAnsi="Calibri" w:cs="Arial"/>
        </w:rPr>
        <w:t xml:space="preserve">seguenti </w:t>
      </w:r>
      <w:r w:rsidR="005F045D" w:rsidRPr="00DB70B9">
        <w:rPr>
          <w:rFonts w:ascii="Calibri" w:hAnsi="Calibri" w:cs="Arial"/>
        </w:rPr>
        <w:t>variabili farmacocinetiche</w:t>
      </w:r>
      <w:r w:rsidRPr="00DB70B9">
        <w:rPr>
          <w:rFonts w:ascii="Calibri" w:hAnsi="Calibri" w:cs="Arial"/>
        </w:rPr>
        <w:t xml:space="preserve">: </w:t>
      </w:r>
      <w:r w:rsidR="005F045D" w:rsidRPr="00DB70B9">
        <w:rPr>
          <w:rFonts w:ascii="Calibri" w:hAnsi="Calibri" w:cs="Arial"/>
        </w:rPr>
        <w:t>AUC</w:t>
      </w:r>
      <w:r w:rsidR="005F045D" w:rsidRPr="00DB70B9">
        <w:rPr>
          <w:rFonts w:ascii="Calibri" w:hAnsi="Calibri" w:cs="Arial"/>
          <w:vertAlign w:val="subscript"/>
        </w:rPr>
        <w:t>0-t</w:t>
      </w:r>
      <w:r w:rsidR="005F045D" w:rsidRPr="00DB70B9">
        <w:rPr>
          <w:rFonts w:ascii="Calibri" w:hAnsi="Calibri" w:cs="Arial"/>
        </w:rPr>
        <w:t>, AUC</w:t>
      </w:r>
      <w:r w:rsidR="005F045D" w:rsidRPr="00DB70B9">
        <w:rPr>
          <w:rFonts w:ascii="Calibri" w:hAnsi="Calibri" w:cs="Arial"/>
          <w:vertAlign w:val="subscript"/>
        </w:rPr>
        <w:t>0-</w:t>
      </w:r>
      <w:r w:rsidR="005F045D" w:rsidRPr="00DB70B9">
        <w:rPr>
          <w:rFonts w:ascii="Calibri" w:hAnsi="Calibri" w:cs="Arial"/>
          <w:vertAlign w:val="subscript"/>
        </w:rPr>
        <w:sym w:font="Symbol" w:char="F0A5"/>
      </w:r>
      <w:r w:rsidR="005F045D" w:rsidRPr="00DB70B9">
        <w:rPr>
          <w:rFonts w:ascii="Calibri" w:hAnsi="Calibri" w:cs="Arial"/>
        </w:rPr>
        <w:t xml:space="preserve">, </w:t>
      </w:r>
      <w:proofErr w:type="spellStart"/>
      <w:r w:rsidR="005F045D" w:rsidRPr="00DB70B9">
        <w:rPr>
          <w:rFonts w:ascii="Calibri" w:hAnsi="Calibri" w:cs="Arial"/>
        </w:rPr>
        <w:t>Residual</w:t>
      </w:r>
      <w:proofErr w:type="spellEnd"/>
      <w:r w:rsidR="005F045D" w:rsidRPr="00DB70B9">
        <w:rPr>
          <w:rFonts w:ascii="Calibri" w:hAnsi="Calibri" w:cs="Arial"/>
        </w:rPr>
        <w:t xml:space="preserve"> Area (%),</w:t>
      </w:r>
      <w:proofErr w:type="spellStart"/>
      <w:r w:rsidR="005F045D" w:rsidRPr="00DB70B9">
        <w:rPr>
          <w:rFonts w:ascii="Calibri" w:hAnsi="Calibri" w:cs="Arial"/>
        </w:rPr>
        <w:t>C</w:t>
      </w:r>
      <w:r w:rsidR="005F045D" w:rsidRPr="00DB70B9">
        <w:rPr>
          <w:rFonts w:ascii="Calibri" w:hAnsi="Calibri" w:cs="Arial"/>
          <w:vertAlign w:val="subscript"/>
        </w:rPr>
        <w:t>max</w:t>
      </w:r>
      <w:proofErr w:type="spellEnd"/>
      <w:r w:rsidR="005F045D" w:rsidRPr="00DB70B9">
        <w:rPr>
          <w:rFonts w:ascii="Calibri" w:hAnsi="Calibri" w:cs="Arial"/>
        </w:rPr>
        <w:t xml:space="preserve">, </w:t>
      </w:r>
      <w:proofErr w:type="spellStart"/>
      <w:r w:rsidR="005F045D" w:rsidRPr="00DB70B9">
        <w:rPr>
          <w:rFonts w:ascii="Calibri" w:hAnsi="Calibri" w:cs="Arial"/>
        </w:rPr>
        <w:t>t</w:t>
      </w:r>
      <w:r w:rsidR="005F045D" w:rsidRPr="00DB70B9">
        <w:rPr>
          <w:rFonts w:ascii="Calibri" w:hAnsi="Calibri" w:cs="Arial"/>
          <w:vertAlign w:val="subscript"/>
        </w:rPr>
        <w:t>max</w:t>
      </w:r>
      <w:proofErr w:type="spellEnd"/>
      <w:r w:rsidR="005F045D" w:rsidRPr="00DB70B9">
        <w:rPr>
          <w:rFonts w:ascii="Calibri" w:hAnsi="Calibri" w:cs="Arial"/>
        </w:rPr>
        <w:t xml:space="preserve">, </w:t>
      </w:r>
      <w:proofErr w:type="spellStart"/>
      <w:r w:rsidR="005F045D" w:rsidRPr="00DB70B9">
        <w:rPr>
          <w:rFonts w:ascii="Calibri" w:hAnsi="Calibri" w:cs="Arial"/>
        </w:rPr>
        <w:t>K</w:t>
      </w:r>
      <w:r w:rsidR="005F045D" w:rsidRPr="00DB70B9">
        <w:rPr>
          <w:rFonts w:ascii="Calibri" w:hAnsi="Calibri" w:cs="Arial"/>
          <w:vertAlign w:val="subscript"/>
        </w:rPr>
        <w:t>el</w:t>
      </w:r>
      <w:proofErr w:type="spellEnd"/>
      <w:r w:rsidR="005F045D" w:rsidRPr="00DB70B9">
        <w:rPr>
          <w:rFonts w:ascii="Calibri" w:hAnsi="Calibri" w:cs="Arial"/>
        </w:rPr>
        <w:t xml:space="preserve">, </w:t>
      </w:r>
      <w:proofErr w:type="spellStart"/>
      <w:r w:rsidR="005F045D" w:rsidRPr="00DB70B9">
        <w:rPr>
          <w:rFonts w:ascii="Calibri" w:hAnsi="Calibri" w:cs="Arial"/>
        </w:rPr>
        <w:t>t</w:t>
      </w:r>
      <w:r w:rsidR="005F045D" w:rsidRPr="00DB70B9">
        <w:rPr>
          <w:rFonts w:ascii="Calibri" w:hAnsi="Calibri" w:cs="Arial"/>
          <w:vertAlign w:val="subscript"/>
        </w:rPr>
        <w:t>½</w:t>
      </w:r>
      <w:proofErr w:type="spellEnd"/>
      <w:r w:rsidR="005F045D" w:rsidRPr="00DB70B9">
        <w:rPr>
          <w:rFonts w:ascii="Calibri" w:hAnsi="Calibri" w:cs="Arial"/>
        </w:rPr>
        <w:t xml:space="preserve">. La </w:t>
      </w:r>
      <w:proofErr w:type="spellStart"/>
      <w:r w:rsidR="005F045D" w:rsidRPr="00DB70B9">
        <w:rPr>
          <w:rFonts w:ascii="Calibri" w:hAnsi="Calibri" w:cs="Arial"/>
        </w:rPr>
        <w:t>bioequivalenza</w:t>
      </w:r>
      <w:proofErr w:type="spellEnd"/>
      <w:r w:rsidR="005F045D" w:rsidRPr="00DB70B9">
        <w:rPr>
          <w:rFonts w:ascii="Calibri" w:hAnsi="Calibri" w:cs="Arial"/>
        </w:rPr>
        <w:t xml:space="preserve"> tra medicinale test e medicinale di riferimento risulta essere dimostrata se gli intervalli di confidenza al 90% per la trasformata logaritmica di C</w:t>
      </w:r>
      <w:r w:rsidR="005F045D" w:rsidRPr="00DB70B9">
        <w:rPr>
          <w:rFonts w:ascii="Calibri" w:hAnsi="Calibri" w:cs="Arial"/>
          <w:vertAlign w:val="subscript"/>
        </w:rPr>
        <w:t>max</w:t>
      </w:r>
      <w:r w:rsidR="005F045D" w:rsidRPr="00DB70B9">
        <w:rPr>
          <w:rFonts w:ascii="Calibri" w:hAnsi="Calibri" w:cs="Arial"/>
        </w:rPr>
        <w:t xml:space="preserve"> e AUC</w:t>
      </w:r>
      <w:r w:rsidR="005F045D" w:rsidRPr="00DB70B9">
        <w:rPr>
          <w:rFonts w:ascii="Calibri" w:hAnsi="Calibri" w:cs="Arial"/>
          <w:vertAlign w:val="subscript"/>
        </w:rPr>
        <w:t>0-t</w:t>
      </w:r>
      <w:r w:rsidR="005F045D" w:rsidRPr="00DB70B9">
        <w:rPr>
          <w:rFonts w:ascii="Calibri" w:hAnsi="Calibri" w:cs="Arial"/>
        </w:rPr>
        <w:t xml:space="preserve"> cadono nel range di accettabilità di 0.80-1.25 (80%-125%).</w:t>
      </w:r>
    </w:p>
    <w:p w:rsidR="005F045D" w:rsidRPr="00DB70B9" w:rsidRDefault="005F045D" w:rsidP="00F22BED">
      <w:pPr>
        <w:spacing w:after="0" w:line="240" w:lineRule="auto"/>
        <w:jc w:val="both"/>
        <w:rPr>
          <w:rFonts w:ascii="Calibri" w:hAnsi="Calibri" w:cs="Arial"/>
          <w:b/>
          <w:bCs/>
        </w:rPr>
      </w:pPr>
    </w:p>
    <w:p w:rsidR="001710A0" w:rsidRPr="00DB70B9" w:rsidRDefault="001710A0" w:rsidP="001710A0">
      <w:pPr>
        <w:spacing w:after="0" w:line="240" w:lineRule="auto"/>
        <w:jc w:val="both"/>
        <w:rPr>
          <w:rFonts w:ascii="Calibri" w:hAnsi="Calibri" w:cs="Arial"/>
          <w:b/>
          <w:bCs/>
          <w:u w:val="single"/>
        </w:rPr>
      </w:pPr>
      <w:r w:rsidRPr="00DB70B9">
        <w:rPr>
          <w:rFonts w:ascii="Calibri" w:hAnsi="Calibri" w:cs="Arial"/>
          <w:b/>
          <w:bCs/>
          <w:u w:val="single"/>
        </w:rPr>
        <w:t xml:space="preserve">Risultati </w:t>
      </w:r>
    </w:p>
    <w:p w:rsidR="00036FEE" w:rsidRPr="00036FEE" w:rsidRDefault="001710A0" w:rsidP="00036FEE">
      <w:pPr>
        <w:spacing w:after="0" w:line="240" w:lineRule="auto"/>
        <w:jc w:val="both"/>
        <w:rPr>
          <w:rFonts w:ascii="Calibri" w:hAnsi="Calibri" w:cs="Arial"/>
        </w:rPr>
      </w:pPr>
      <w:r w:rsidRPr="00DB70B9">
        <w:rPr>
          <w:rFonts w:ascii="Calibri" w:hAnsi="Calibri" w:cs="Arial"/>
        </w:rPr>
        <w:t>60 sono stati arruolati nello studio</w:t>
      </w:r>
      <w:r w:rsidR="00036FEE">
        <w:rPr>
          <w:rFonts w:ascii="Calibri" w:hAnsi="Calibri" w:cs="Arial"/>
        </w:rPr>
        <w:t xml:space="preserve">.  </w:t>
      </w:r>
      <w:r w:rsidR="00036FEE" w:rsidRPr="00036FEE">
        <w:rPr>
          <w:rFonts w:ascii="Calibri" w:hAnsi="Calibri" w:cs="Arial"/>
        </w:rPr>
        <w:t>58 soggetti hanno completato la fase clinica e sono stati inclusi nell’analisi farmacocinetica.</w:t>
      </w:r>
    </w:p>
    <w:p w:rsidR="005F045D" w:rsidRPr="00DB70B9" w:rsidRDefault="005F045D" w:rsidP="00F22BED">
      <w:pPr>
        <w:spacing w:after="0" w:line="240" w:lineRule="auto"/>
        <w:jc w:val="both"/>
        <w:rPr>
          <w:rFonts w:ascii="Calibri" w:hAnsi="Calibri" w:cs="Arial"/>
          <w:b/>
          <w:bCs/>
        </w:rPr>
      </w:pPr>
    </w:p>
    <w:p w:rsidR="001710A0" w:rsidRPr="00DB70B9" w:rsidRDefault="001710A0" w:rsidP="001710A0">
      <w:pPr>
        <w:spacing w:line="240" w:lineRule="auto"/>
        <w:rPr>
          <w:rFonts w:ascii="Calibri" w:hAnsi="Calibri"/>
          <w:b/>
          <w:bCs/>
        </w:rPr>
      </w:pPr>
      <w:r w:rsidRPr="00DB70B9">
        <w:rPr>
          <w:rFonts w:ascii="Calibri" w:hAnsi="Calibri"/>
          <w:i/>
          <w:iCs/>
        </w:rPr>
        <w:t>Sicurezza</w:t>
      </w:r>
    </w:p>
    <w:p w:rsidR="00BF3814" w:rsidRPr="00BF3814" w:rsidRDefault="00BF3814" w:rsidP="00BF3814">
      <w:pPr>
        <w:spacing w:line="240" w:lineRule="auto"/>
        <w:jc w:val="both"/>
        <w:rPr>
          <w:rFonts w:ascii="Calibri" w:hAnsi="Calibri"/>
        </w:rPr>
      </w:pPr>
      <w:r w:rsidRPr="00BF3814">
        <w:rPr>
          <w:rFonts w:ascii="Calibri" w:hAnsi="Calibri"/>
        </w:rPr>
        <w:t>Nel corso dello studio, nessun evento avverso è stato ritenuto correlato al trattamento. Non sono stati rilevati eventi avversi gravi.</w:t>
      </w:r>
    </w:p>
    <w:p w:rsidR="001710A0" w:rsidRPr="00DB70B9" w:rsidRDefault="001710A0" w:rsidP="001710A0">
      <w:pPr>
        <w:spacing w:line="240" w:lineRule="auto"/>
        <w:jc w:val="both"/>
        <w:rPr>
          <w:rFonts w:ascii="Calibri" w:hAnsi="Calibri"/>
        </w:rPr>
      </w:pPr>
    </w:p>
    <w:p w:rsidR="001710A0" w:rsidRPr="00DB70B9" w:rsidRDefault="001710A0" w:rsidP="001710A0">
      <w:pPr>
        <w:spacing w:line="240" w:lineRule="auto"/>
        <w:rPr>
          <w:rFonts w:ascii="Calibri" w:hAnsi="Calibri"/>
          <w:b/>
          <w:bCs/>
        </w:rPr>
      </w:pPr>
      <w:r w:rsidRPr="00DB70B9">
        <w:rPr>
          <w:rFonts w:ascii="Calibri" w:hAnsi="Calibri"/>
          <w:i/>
          <w:iCs/>
        </w:rPr>
        <w:t>Parametri farmacocinetici</w:t>
      </w:r>
      <w:r w:rsidRPr="00DB70B9">
        <w:rPr>
          <w:rFonts w:ascii="Calibri" w:hAnsi="Calibri"/>
        </w:rPr>
        <w:t>.</w:t>
      </w:r>
    </w:p>
    <w:p w:rsidR="001710A0" w:rsidRPr="00DB70B9" w:rsidRDefault="001710A0" w:rsidP="001710A0">
      <w:pPr>
        <w:spacing w:line="240" w:lineRule="auto"/>
        <w:rPr>
          <w:rFonts w:ascii="Calibri" w:hAnsi="Calibri"/>
          <w:b/>
          <w:bCs/>
        </w:rPr>
      </w:pPr>
      <w:r w:rsidRPr="00DB70B9">
        <w:rPr>
          <w:rFonts w:ascii="Calibri" w:hAnsi="Calibri"/>
        </w:rPr>
        <w:t xml:space="preserve">La sintesi dei risultati dello studio di </w:t>
      </w:r>
      <w:proofErr w:type="spellStart"/>
      <w:r w:rsidRPr="00DB70B9">
        <w:rPr>
          <w:rFonts w:ascii="Calibri" w:hAnsi="Calibri"/>
        </w:rPr>
        <w:t>bioequivalenza</w:t>
      </w:r>
      <w:proofErr w:type="spellEnd"/>
      <w:r w:rsidRPr="00DB70B9">
        <w:rPr>
          <w:rFonts w:ascii="Calibri" w:hAnsi="Calibri"/>
        </w:rPr>
        <w:t xml:space="preserve"> è riportata nella tabella che segue.</w:t>
      </w:r>
    </w:p>
    <w:p w:rsidR="001710A0" w:rsidRPr="00DB70B9" w:rsidRDefault="001710A0" w:rsidP="001710A0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DB70B9">
        <w:rPr>
          <w:rFonts w:ascii="Calibri" w:hAnsi="Calibri"/>
        </w:rP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898"/>
        <w:gridCol w:w="2186"/>
        <w:gridCol w:w="2418"/>
        <w:gridCol w:w="1777"/>
        <w:gridCol w:w="1815"/>
      </w:tblGrid>
      <w:tr w:rsidR="001710A0" w:rsidRPr="00836A0C" w:rsidTr="001710A0">
        <w:tc>
          <w:tcPr>
            <w:tcW w:w="10094" w:type="dxa"/>
            <w:gridSpan w:val="5"/>
            <w:shd w:val="clear" w:color="auto" w:fill="E6E6E6"/>
            <w:vAlign w:val="bottom"/>
          </w:tcPr>
          <w:p w:rsidR="001710A0" w:rsidRPr="007C5B37" w:rsidRDefault="001710A0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</w:pPr>
            <w:r w:rsidRPr="007C5B3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S </w:t>
            </w:r>
            <w:proofErr w:type="spellStart"/>
            <w:r w:rsidRPr="007C5B3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>ibuprofene</w:t>
            </w:r>
            <w:proofErr w:type="spellEnd"/>
            <w:r w:rsidRPr="007C5B3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  (1 x 200mg/5ml)</w:t>
            </w:r>
          </w:p>
        </w:tc>
      </w:tr>
      <w:tr w:rsidR="00C07EE1" w:rsidRPr="00DB70B9" w:rsidTr="00C07EE1">
        <w:tc>
          <w:tcPr>
            <w:tcW w:w="189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Parametro</w:t>
            </w:r>
          </w:p>
        </w:tc>
        <w:tc>
          <w:tcPr>
            <w:tcW w:w="2186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Test</w:t>
            </w:r>
            <w:r w:rsidRPr="00DB70B9">
              <w:rPr>
                <w:rFonts w:ascii="Calibri" w:eastAsia="Times New Roman" w:hAnsi="Calibri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241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Reference</w:t>
            </w:r>
            <w:r w:rsidRPr="00DB70B9">
              <w:rPr>
                <w:rFonts w:ascii="Calibri" w:eastAsia="Times New Roman" w:hAnsi="Calibri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1777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T/R Ratio</w:t>
            </w:r>
          </w:p>
        </w:tc>
        <w:tc>
          <w:tcPr>
            <w:tcW w:w="1815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90% C.I.</w:t>
            </w:r>
          </w:p>
        </w:tc>
      </w:tr>
      <w:tr w:rsidR="00C07EE1" w:rsidRPr="00DB70B9" w:rsidTr="00C07EE1">
        <w:tc>
          <w:tcPr>
            <w:tcW w:w="189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AUC</w:t>
            </w: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  <w:vertAlign w:val="subscript"/>
              </w:rPr>
              <w:t>0-t</w:t>
            </w:r>
          </w:p>
        </w:tc>
        <w:tc>
          <w:tcPr>
            <w:tcW w:w="2186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 xml:space="preserve">39.432 </w:t>
            </w:r>
          </w:p>
        </w:tc>
        <w:tc>
          <w:tcPr>
            <w:tcW w:w="241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35.254 </w:t>
            </w:r>
          </w:p>
        </w:tc>
        <w:tc>
          <w:tcPr>
            <w:tcW w:w="1777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 xml:space="preserve">111.95 </w:t>
            </w:r>
          </w:p>
        </w:tc>
        <w:tc>
          <w:tcPr>
            <w:tcW w:w="1815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109.75</w:t>
            </w:r>
            <w:r w:rsidRPr="00DB70B9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– </w:t>
            </w: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114.20</w:t>
            </w:r>
          </w:p>
        </w:tc>
      </w:tr>
      <w:tr w:rsidR="00C07EE1" w:rsidRPr="00DB70B9" w:rsidTr="00C07EE1">
        <w:tc>
          <w:tcPr>
            <w:tcW w:w="189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Cmax</w:t>
            </w:r>
          </w:p>
        </w:tc>
        <w:tc>
          <w:tcPr>
            <w:tcW w:w="2186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9.610</w:t>
            </w:r>
          </w:p>
        </w:tc>
        <w:tc>
          <w:tcPr>
            <w:tcW w:w="241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9.637</w:t>
            </w:r>
          </w:p>
        </w:tc>
        <w:tc>
          <w:tcPr>
            <w:tcW w:w="1777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99.68</w:t>
            </w:r>
          </w:p>
        </w:tc>
        <w:tc>
          <w:tcPr>
            <w:tcW w:w="1815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94.91– 104.69</w:t>
            </w:r>
          </w:p>
        </w:tc>
      </w:tr>
    </w:tbl>
    <w:p w:rsidR="001710A0" w:rsidRPr="00DB70B9" w:rsidRDefault="001710A0" w:rsidP="001710A0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1710A0" w:rsidRPr="00DB70B9" w:rsidRDefault="001710A0" w:rsidP="001710A0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898"/>
        <w:gridCol w:w="2186"/>
        <w:gridCol w:w="2418"/>
        <w:gridCol w:w="1777"/>
        <w:gridCol w:w="1815"/>
      </w:tblGrid>
      <w:tr w:rsidR="001710A0" w:rsidRPr="00DB70B9" w:rsidTr="001710A0">
        <w:tc>
          <w:tcPr>
            <w:tcW w:w="10094" w:type="dxa"/>
            <w:gridSpan w:val="5"/>
            <w:shd w:val="clear" w:color="auto" w:fill="E6E6E6"/>
            <w:vAlign w:val="bottom"/>
          </w:tcPr>
          <w:p w:rsidR="001710A0" w:rsidRPr="00DB70B9" w:rsidRDefault="001710A0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bookmarkStart w:id="1" w:name="_Hlk39654298"/>
            <w:r w:rsidRPr="00DB70B9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R ibuprofene</w:t>
            </w:r>
            <w:bookmarkEnd w:id="1"/>
            <w:r w:rsidRPr="00DB70B9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 (1 x 200mg/5ml)</w:t>
            </w:r>
          </w:p>
        </w:tc>
      </w:tr>
      <w:tr w:rsidR="00C07EE1" w:rsidRPr="00DB70B9" w:rsidTr="00C07EE1">
        <w:tc>
          <w:tcPr>
            <w:tcW w:w="189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Parametro</w:t>
            </w:r>
          </w:p>
        </w:tc>
        <w:tc>
          <w:tcPr>
            <w:tcW w:w="2186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Test</w:t>
            </w:r>
            <w:r w:rsidRPr="00DB70B9">
              <w:rPr>
                <w:rFonts w:ascii="Calibri" w:eastAsia="Times New Roman" w:hAnsi="Calibri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241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Reference</w:t>
            </w:r>
            <w:r w:rsidRPr="00DB70B9">
              <w:rPr>
                <w:rFonts w:ascii="Calibri" w:eastAsia="Times New Roman" w:hAnsi="Calibri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1777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T/R Ratio</w:t>
            </w:r>
          </w:p>
        </w:tc>
        <w:tc>
          <w:tcPr>
            <w:tcW w:w="1815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90% C.I.</w:t>
            </w:r>
          </w:p>
        </w:tc>
      </w:tr>
      <w:tr w:rsidR="00C07EE1" w:rsidRPr="00DB70B9" w:rsidTr="00C07EE1">
        <w:tc>
          <w:tcPr>
            <w:tcW w:w="189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AUC</w:t>
            </w: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  <w:vertAlign w:val="subscript"/>
              </w:rPr>
              <w:t>0-t</w:t>
            </w:r>
          </w:p>
        </w:tc>
        <w:tc>
          <w:tcPr>
            <w:tcW w:w="2186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 xml:space="preserve">34.664 </w:t>
            </w:r>
          </w:p>
        </w:tc>
        <w:tc>
          <w:tcPr>
            <w:tcW w:w="241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 xml:space="preserve">30.987 </w:t>
            </w:r>
          </w:p>
        </w:tc>
        <w:tc>
          <w:tcPr>
            <w:tcW w:w="1777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 xml:space="preserve">111.90 </w:t>
            </w:r>
          </w:p>
        </w:tc>
        <w:tc>
          <w:tcPr>
            <w:tcW w:w="1815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107.76</w:t>
            </w:r>
            <w:r w:rsidRPr="00DB70B9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– </w:t>
            </w: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116.20</w:t>
            </w:r>
          </w:p>
        </w:tc>
      </w:tr>
      <w:tr w:rsidR="00C07EE1" w:rsidRPr="00DB70B9" w:rsidTr="00C07EE1">
        <w:tc>
          <w:tcPr>
            <w:tcW w:w="189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Cmax</w:t>
            </w:r>
          </w:p>
        </w:tc>
        <w:tc>
          <w:tcPr>
            <w:tcW w:w="2186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9.711</w:t>
            </w:r>
          </w:p>
        </w:tc>
        <w:tc>
          <w:tcPr>
            <w:tcW w:w="241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10.097</w:t>
            </w:r>
          </w:p>
        </w:tc>
        <w:tc>
          <w:tcPr>
            <w:tcW w:w="1777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96.24</w:t>
            </w:r>
          </w:p>
        </w:tc>
        <w:tc>
          <w:tcPr>
            <w:tcW w:w="1815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91.18– 101.58</w:t>
            </w:r>
          </w:p>
        </w:tc>
      </w:tr>
    </w:tbl>
    <w:p w:rsidR="001710A0" w:rsidRPr="00DB70B9" w:rsidRDefault="001710A0" w:rsidP="001710A0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1710A0" w:rsidRPr="00DB70B9" w:rsidRDefault="001710A0" w:rsidP="001710A0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898"/>
        <w:gridCol w:w="2186"/>
        <w:gridCol w:w="2418"/>
        <w:gridCol w:w="1777"/>
        <w:gridCol w:w="1815"/>
      </w:tblGrid>
      <w:tr w:rsidR="001710A0" w:rsidRPr="00DB70B9" w:rsidTr="001710A0">
        <w:tc>
          <w:tcPr>
            <w:tcW w:w="10094" w:type="dxa"/>
            <w:gridSpan w:val="5"/>
            <w:shd w:val="clear" w:color="auto" w:fill="E6E6E6"/>
            <w:vAlign w:val="bottom"/>
          </w:tcPr>
          <w:p w:rsidR="001710A0" w:rsidRPr="00DB70B9" w:rsidRDefault="00764E86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ibuprofene racemato </w:t>
            </w:r>
            <w:r w:rsidR="001710A0" w:rsidRPr="00DB70B9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(1 x 200mg/5ml)</w:t>
            </w:r>
          </w:p>
        </w:tc>
      </w:tr>
      <w:tr w:rsidR="00C07EE1" w:rsidRPr="00DB70B9" w:rsidTr="00C07EE1">
        <w:tc>
          <w:tcPr>
            <w:tcW w:w="189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Parametro</w:t>
            </w:r>
          </w:p>
        </w:tc>
        <w:tc>
          <w:tcPr>
            <w:tcW w:w="2186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Test</w:t>
            </w:r>
            <w:r w:rsidRPr="00DB70B9">
              <w:rPr>
                <w:rFonts w:ascii="Calibri" w:eastAsia="Times New Roman" w:hAnsi="Calibri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241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Reference</w:t>
            </w:r>
            <w:r w:rsidRPr="00DB70B9">
              <w:rPr>
                <w:rFonts w:ascii="Calibri" w:eastAsia="Times New Roman" w:hAnsi="Calibri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1777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T/R Ratio</w:t>
            </w:r>
          </w:p>
        </w:tc>
        <w:tc>
          <w:tcPr>
            <w:tcW w:w="1815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90% C.I.</w:t>
            </w:r>
          </w:p>
        </w:tc>
      </w:tr>
      <w:tr w:rsidR="00C07EE1" w:rsidRPr="00DB70B9" w:rsidTr="00C07EE1">
        <w:tc>
          <w:tcPr>
            <w:tcW w:w="189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AUC</w:t>
            </w: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  <w:vertAlign w:val="subscript"/>
              </w:rPr>
              <w:t>0-t</w:t>
            </w:r>
          </w:p>
        </w:tc>
        <w:tc>
          <w:tcPr>
            <w:tcW w:w="2186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 xml:space="preserve">77.656 </w:t>
            </w:r>
          </w:p>
        </w:tc>
        <w:tc>
          <w:tcPr>
            <w:tcW w:w="241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 xml:space="preserve">68.972 </w:t>
            </w:r>
          </w:p>
        </w:tc>
        <w:tc>
          <w:tcPr>
            <w:tcW w:w="1777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 xml:space="preserve">112.66 </w:t>
            </w:r>
          </w:p>
        </w:tc>
        <w:tc>
          <w:tcPr>
            <w:tcW w:w="1815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110. 24</w:t>
            </w:r>
            <w:r w:rsidRPr="00DB70B9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– </w:t>
            </w: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115.14</w:t>
            </w:r>
          </w:p>
        </w:tc>
      </w:tr>
      <w:tr w:rsidR="00C07EE1" w:rsidRPr="00DB70B9" w:rsidTr="00C07EE1">
        <w:tc>
          <w:tcPr>
            <w:tcW w:w="189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b/>
                <w:sz w:val="24"/>
                <w:szCs w:val="24"/>
              </w:rPr>
              <w:t>Cmax</w:t>
            </w:r>
          </w:p>
        </w:tc>
        <w:tc>
          <w:tcPr>
            <w:tcW w:w="2186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20.268</w:t>
            </w:r>
          </w:p>
        </w:tc>
        <w:tc>
          <w:tcPr>
            <w:tcW w:w="2418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20.188</w:t>
            </w:r>
          </w:p>
        </w:tc>
        <w:tc>
          <w:tcPr>
            <w:tcW w:w="1777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100.58</w:t>
            </w:r>
          </w:p>
        </w:tc>
        <w:tc>
          <w:tcPr>
            <w:tcW w:w="1815" w:type="dxa"/>
            <w:vAlign w:val="bottom"/>
          </w:tcPr>
          <w:p w:rsidR="00C07EE1" w:rsidRPr="00DB70B9" w:rsidRDefault="00C07EE1" w:rsidP="00171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70B9">
              <w:rPr>
                <w:rFonts w:ascii="Calibri" w:eastAsia="Times New Roman" w:hAnsi="Calibri" w:cs="Times New Roman"/>
                <w:sz w:val="24"/>
                <w:szCs w:val="24"/>
              </w:rPr>
              <w:t>95.64– 105.77</w:t>
            </w:r>
          </w:p>
        </w:tc>
      </w:tr>
    </w:tbl>
    <w:p w:rsidR="001710A0" w:rsidRPr="00DB70B9" w:rsidRDefault="001710A0" w:rsidP="001710A0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7C68D2" w:rsidRPr="00DB70B9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1710A0" w:rsidRPr="00DB70B9" w:rsidRDefault="001710A0" w:rsidP="001710A0">
      <w:pPr>
        <w:spacing w:line="240" w:lineRule="auto"/>
        <w:jc w:val="both"/>
        <w:rPr>
          <w:rFonts w:ascii="Calibri" w:hAnsi="Calibri"/>
        </w:rPr>
      </w:pPr>
      <w:r w:rsidRPr="00DB70B9">
        <w:rPr>
          <w:rFonts w:ascii="Calibri" w:hAnsi="Calibri"/>
          <w:i/>
          <w:iCs/>
        </w:rPr>
        <w:t xml:space="preserve">Conclusioni sulla </w:t>
      </w:r>
      <w:proofErr w:type="spellStart"/>
      <w:r w:rsidRPr="00DB70B9">
        <w:rPr>
          <w:rFonts w:ascii="Calibri" w:hAnsi="Calibri"/>
          <w:i/>
          <w:iCs/>
        </w:rPr>
        <w:t>bioequivalenza</w:t>
      </w:r>
      <w:proofErr w:type="spellEnd"/>
      <w:r w:rsidRPr="00DB70B9">
        <w:rPr>
          <w:rFonts w:ascii="Calibri" w:hAnsi="Calibri"/>
        </w:rPr>
        <w:t>.</w:t>
      </w:r>
    </w:p>
    <w:p w:rsidR="001710A0" w:rsidRPr="001710A0" w:rsidRDefault="001710A0" w:rsidP="001710A0">
      <w:pPr>
        <w:spacing w:line="240" w:lineRule="auto"/>
        <w:rPr>
          <w:rFonts w:ascii="Calibri" w:hAnsi="Calibri"/>
        </w:rPr>
      </w:pPr>
      <w:r w:rsidRPr="00DB70B9">
        <w:rPr>
          <w:rFonts w:ascii="Calibri" w:hAnsi="Calibri"/>
        </w:rPr>
        <w:t xml:space="preserve">I risultati dello studio di </w:t>
      </w:r>
      <w:proofErr w:type="spellStart"/>
      <w:r w:rsidRPr="00DB70B9">
        <w:rPr>
          <w:rFonts w:ascii="Calibri" w:hAnsi="Calibri"/>
        </w:rPr>
        <w:t>bioequivalenza</w:t>
      </w:r>
      <w:proofErr w:type="spellEnd"/>
      <w:r w:rsidRPr="00DB70B9">
        <w:rPr>
          <w:rFonts w:ascii="Calibri" w:hAnsi="Calibri"/>
        </w:rPr>
        <w:t xml:space="preserve"> mostrano che gli intervalli di confidenza dei parametri farmacocinetici studiati cadono nel range di accettabilità di 80-125%, in accordo con le linee guida correnti.</w:t>
      </w:r>
    </w:p>
    <w:p w:rsidR="001710A0" w:rsidRDefault="001710A0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325D45" w:rsidRPr="00325D45" w:rsidRDefault="00325D45" w:rsidP="00325D45">
      <w:pPr>
        <w:rPr>
          <w:rFonts w:ascii="Calibri" w:hAnsi="Calibri"/>
          <w:b/>
        </w:rPr>
      </w:pPr>
      <w:r w:rsidRPr="00325D45">
        <w:rPr>
          <w:rFonts w:ascii="Calibri" w:hAnsi="Calibri"/>
          <w:b/>
        </w:rPr>
        <w:t>Efficacia e sicurezza clinica</w:t>
      </w:r>
    </w:p>
    <w:p w:rsidR="00325D45" w:rsidRPr="00325D45" w:rsidRDefault="00325D45" w:rsidP="00325D45">
      <w:pPr>
        <w:rPr>
          <w:rFonts w:ascii="Calibri" w:hAnsi="Calibri"/>
        </w:rPr>
      </w:pPr>
      <w:r w:rsidRPr="00325D45">
        <w:rPr>
          <w:rFonts w:ascii="Calibri" w:hAnsi="Calibri"/>
        </w:rPr>
        <w:t>Non sono stati presentati nuovi dati di efficacia e sicurezza clinica: il profilo di sicurezza e l’efficacia del principio attivo di MOMENT è ben conosciuto.</w:t>
      </w:r>
    </w:p>
    <w:p w:rsidR="00325D45" w:rsidRPr="00EF5F0A" w:rsidRDefault="00325D45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Piano di Valutazione del Rischio (</w:t>
      </w:r>
      <w:r w:rsidRPr="00EF5F0A">
        <w:rPr>
          <w:rFonts w:ascii="Calibri" w:hAnsi="Calibri"/>
          <w:b/>
          <w:i/>
        </w:rPr>
        <w:t>Risk Management Plan</w:t>
      </w:r>
      <w:r w:rsidRPr="00EF5F0A">
        <w:rPr>
          <w:rFonts w:ascii="Calibri" w:hAnsi="Calibri"/>
          <w:b/>
        </w:rPr>
        <w:t xml:space="preserve"> - RMP)</w:t>
      </w:r>
    </w:p>
    <w:p w:rsidR="00C051DB" w:rsidRPr="00EF5F0A" w:rsidRDefault="007C68D2" w:rsidP="00C051DB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E’ stato presentato un RMP in accordo a quanto previsto dalla Direttiva 2001/83/EU </w:t>
      </w:r>
      <w:proofErr w:type="spellStart"/>
      <w:r w:rsidRPr="00EF5F0A">
        <w:rPr>
          <w:rFonts w:ascii="Calibri" w:hAnsi="Calibri"/>
        </w:rPr>
        <w:t>s.m.i.</w:t>
      </w:r>
      <w:proofErr w:type="spellEnd"/>
      <w:r w:rsidRPr="00EF5F0A">
        <w:rPr>
          <w:rFonts w:ascii="Calibri" w:hAnsi="Calibri"/>
        </w:rPr>
        <w:t xml:space="preserve"> che descrive le attività di farmacovigilanza e gli interventi definiti al fine di identificare, caratterizzare, prevenire o minimizzare i rischi collegati all’uso di </w:t>
      </w:r>
      <w:r w:rsidR="009A1779" w:rsidRPr="00EF5F0A">
        <w:rPr>
          <w:rFonts w:ascii="Calibri" w:hAnsi="Calibri"/>
        </w:rPr>
        <w:t>MOMENT</w:t>
      </w:r>
      <w:r w:rsidRPr="00EF5F0A">
        <w:rPr>
          <w:rFonts w:ascii="Calibri" w:hAnsi="Calibri"/>
        </w:rPr>
        <w:t>.</w:t>
      </w:r>
      <w:r w:rsidR="008437AA" w:rsidRPr="00EF5F0A">
        <w:rPr>
          <w:rFonts w:ascii="Calibri" w:hAnsi="Calibri"/>
        </w:rPr>
        <w:t xml:space="preserve"> </w:t>
      </w:r>
      <w:r w:rsidR="00C051DB" w:rsidRPr="00EF5F0A">
        <w:rPr>
          <w:rFonts w:ascii="Calibri" w:hAnsi="Calibri"/>
        </w:rPr>
        <w:t xml:space="preserve">Il riassunto delle problematiche di sicurezza </w:t>
      </w:r>
      <w:r w:rsidR="005971FB" w:rsidRPr="00EF5F0A">
        <w:rPr>
          <w:rFonts w:ascii="Calibri" w:hAnsi="Calibri"/>
        </w:rPr>
        <w:t>è riportato</w:t>
      </w:r>
      <w:r w:rsidR="00C051DB" w:rsidRPr="00EF5F0A">
        <w:rPr>
          <w:rFonts w:ascii="Calibri" w:hAnsi="Calibri"/>
        </w:rPr>
        <w:t xml:space="preserve"> nella tabella seguente.</w:t>
      </w:r>
    </w:p>
    <w:p w:rsidR="00CF7CE6" w:rsidRPr="00EF5F0A" w:rsidRDefault="00CF7CE6" w:rsidP="00C051DB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293"/>
        <w:gridCol w:w="6158"/>
      </w:tblGrid>
      <w:tr w:rsidR="001C397C" w:rsidRPr="00EF5F0A" w:rsidTr="00373CE8">
        <w:trPr>
          <w:jc w:val="center"/>
        </w:trPr>
        <w:tc>
          <w:tcPr>
            <w:tcW w:w="5000" w:type="pct"/>
            <w:gridSpan w:val="2"/>
            <w:shd w:val="clear" w:color="auto" w:fill="auto"/>
          </w:tcPr>
          <w:p w:rsidR="001C397C" w:rsidRPr="003C027B" w:rsidRDefault="001C397C" w:rsidP="00373CE8">
            <w:pPr>
              <w:pStyle w:val="TabletextrowsAgency"/>
              <w:spacing w:line="240" w:lineRule="auto"/>
              <w:jc w:val="center"/>
              <w:rPr>
                <w:rFonts w:ascii="Calibri" w:hAnsi="Calibri"/>
                <w:sz w:val="22"/>
                <w:szCs w:val="22"/>
                <w:highlight w:val="yellow"/>
                <w:lang w:val="it-IT" w:eastAsia="en-GB"/>
              </w:rPr>
            </w:pPr>
            <w:r w:rsidRPr="008416AF">
              <w:rPr>
                <w:rFonts w:ascii="Calibri" w:hAnsi="Calibri"/>
                <w:sz w:val="22"/>
                <w:szCs w:val="22"/>
                <w:lang w:val="it-IT" w:eastAsia="en-GB"/>
              </w:rPr>
              <w:t>Riassunto delle problematiche di sicurezza</w:t>
            </w:r>
          </w:p>
        </w:tc>
      </w:tr>
      <w:tr w:rsidR="001C397C" w:rsidRPr="00EF5F0A" w:rsidTr="00373CE8">
        <w:trPr>
          <w:jc w:val="center"/>
        </w:trPr>
        <w:tc>
          <w:tcPr>
            <w:tcW w:w="1742" w:type="pct"/>
            <w:vMerge w:val="restart"/>
            <w:shd w:val="clear" w:color="auto" w:fill="auto"/>
          </w:tcPr>
          <w:p w:rsidR="001C397C" w:rsidRPr="00EF5F0A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eastAsia="en-GB"/>
              </w:rPr>
            </w:pPr>
            <w:proofErr w:type="spellStart"/>
            <w:r w:rsidRPr="008416AF">
              <w:rPr>
                <w:rFonts w:ascii="Calibri" w:hAnsi="Calibri"/>
                <w:sz w:val="22"/>
                <w:szCs w:val="22"/>
                <w:lang w:eastAsia="en-GB"/>
              </w:rPr>
              <w:t>Rischi</w:t>
            </w:r>
            <w:proofErr w:type="spellEnd"/>
            <w:r w:rsidRPr="008416AF">
              <w:rPr>
                <w:rFonts w:ascii="Calibri" w:hAnsi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416AF">
              <w:rPr>
                <w:rFonts w:ascii="Calibri" w:hAnsi="Calibri"/>
                <w:sz w:val="22"/>
                <w:szCs w:val="22"/>
                <w:lang w:eastAsia="en-GB"/>
              </w:rPr>
              <w:t>identificati</w:t>
            </w:r>
            <w:proofErr w:type="spellEnd"/>
            <w:r w:rsidRPr="008416AF">
              <w:rPr>
                <w:rFonts w:ascii="Calibri" w:hAnsi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416AF">
              <w:rPr>
                <w:rFonts w:ascii="Calibri" w:hAnsi="Calibri"/>
                <w:sz w:val="22"/>
                <w:szCs w:val="22"/>
                <w:lang w:eastAsia="en-GB"/>
              </w:rPr>
              <w:t>importanti</w:t>
            </w:r>
            <w:proofErr w:type="spellEnd"/>
          </w:p>
        </w:tc>
        <w:tc>
          <w:tcPr>
            <w:tcW w:w="3258" w:type="pct"/>
            <w:shd w:val="clear" w:color="auto" w:fill="auto"/>
          </w:tcPr>
          <w:p w:rsidR="001C397C" w:rsidRPr="003C027B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highlight w:val="yellow"/>
                <w:lang w:val="it-IT" w:eastAsia="en-GB"/>
              </w:rPr>
            </w:pPr>
            <w:r w:rsidRPr="008416AF">
              <w:rPr>
                <w:rFonts w:ascii="Calibri" w:hAnsi="Calibri"/>
                <w:sz w:val="22"/>
                <w:szCs w:val="22"/>
                <w:lang w:val="it-IT" w:eastAsia="en-GB"/>
              </w:rPr>
              <w:t>Ipersensibilità/reazioni allergiche</w:t>
            </w:r>
          </w:p>
        </w:tc>
      </w:tr>
      <w:tr w:rsidR="001C397C" w:rsidRPr="00EF5F0A" w:rsidTr="00373CE8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 w:rsidRPr="008416AF">
              <w:rPr>
                <w:rFonts w:ascii="Calibri" w:hAnsi="Calibri"/>
                <w:sz w:val="22"/>
                <w:szCs w:val="22"/>
                <w:lang w:val="it-IT" w:eastAsia="en-GB"/>
              </w:rPr>
              <w:t>Utilizzo durante l’ultimo trimestre di gravidanza (chiusura prematura del dotto arterioso)</w:t>
            </w:r>
          </w:p>
        </w:tc>
      </w:tr>
      <w:tr w:rsidR="001C397C" w:rsidRPr="00EF5F0A" w:rsidTr="00373CE8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Sanguinamento, ulcerazione e perforazione gastrointestinale </w:t>
            </w:r>
          </w:p>
        </w:tc>
      </w:tr>
      <w:tr w:rsidR="001C397C" w:rsidRPr="00EF5F0A" w:rsidTr="00373CE8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Eventi cardiovascolari e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>cerbrovascolari</w:t>
            </w:r>
            <w:proofErr w:type="spellEnd"/>
          </w:p>
        </w:tc>
      </w:tr>
      <w:tr w:rsidR="001C397C" w:rsidRPr="00EF5F0A" w:rsidTr="00373CE8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Eventi trombotici arteriosi (insufficienza cardiaca, ipertensione, edema, infarto miocardico, ictus)</w:t>
            </w:r>
          </w:p>
        </w:tc>
      </w:tr>
      <w:tr w:rsidR="001C397C" w:rsidRPr="00EF5F0A" w:rsidTr="00373CE8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Ipersensibilità ad altri FANS o a basse dosi di acido acetilsalicilico (a</w:t>
            </w:r>
            <w:r w:rsidRPr="00E71EC3"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umentato sanguinamento e/o ulcerazione a seguito di </w:t>
            </w: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somministrazione</w:t>
            </w:r>
            <w:r w:rsidRPr="00E71EC3"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 concomitante</w:t>
            </w: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)</w:t>
            </w:r>
          </w:p>
        </w:tc>
      </w:tr>
      <w:tr w:rsidR="001C397C" w:rsidRPr="00EF5F0A" w:rsidTr="00373CE8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E71EC3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Effetti ematologici</w:t>
            </w:r>
          </w:p>
        </w:tc>
      </w:tr>
      <w:tr w:rsidR="001C397C" w:rsidRPr="00EF5F0A" w:rsidTr="00373CE8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E71EC3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Reazioni gravi a carico della cute (Sindrome di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>Stevens-Johnson</w:t>
            </w:r>
            <w:proofErr w:type="spellEnd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it-IT" w:eastAsia="en-GB"/>
              </w:rPr>
              <w:lastRenderedPageBreak/>
              <w:t>necrolisi</w:t>
            </w:r>
            <w:proofErr w:type="spellEnd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 tossica epidermica, dermatite esfoliativa)</w:t>
            </w:r>
          </w:p>
        </w:tc>
      </w:tr>
      <w:tr w:rsidR="001C397C" w:rsidRPr="00EF5F0A" w:rsidTr="00373CE8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E71EC3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Tossicità renale </w:t>
            </w:r>
          </w:p>
        </w:tc>
      </w:tr>
      <w:tr w:rsidR="001C397C" w:rsidRPr="00EF5F0A" w:rsidTr="00373CE8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E71EC3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Malattie epatiche</w:t>
            </w:r>
          </w:p>
        </w:tc>
      </w:tr>
      <w:tr w:rsidR="001C397C" w:rsidRPr="00EF5F0A" w:rsidTr="00373CE8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E71EC3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Broncospasmo nei pazienti con asma o malattie allergiche</w:t>
            </w:r>
          </w:p>
        </w:tc>
      </w:tr>
      <w:tr w:rsidR="001C397C" w:rsidRPr="00EF5F0A" w:rsidTr="00373CE8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8416AF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E71EC3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Meningite asettica</w:t>
            </w:r>
          </w:p>
        </w:tc>
      </w:tr>
      <w:tr w:rsidR="001C397C" w:rsidRPr="00EF5F0A" w:rsidTr="00373CE8">
        <w:trPr>
          <w:trHeight w:val="380"/>
          <w:jc w:val="center"/>
        </w:trPr>
        <w:tc>
          <w:tcPr>
            <w:tcW w:w="1742" w:type="pct"/>
            <w:vMerge w:val="restart"/>
            <w:shd w:val="clear" w:color="auto" w:fill="auto"/>
          </w:tcPr>
          <w:p w:rsidR="001C397C" w:rsidRPr="00EF5F0A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 w:rsidRPr="00EF5F0A">
              <w:rPr>
                <w:rFonts w:ascii="Calibri" w:hAnsi="Calibri"/>
                <w:sz w:val="22"/>
                <w:szCs w:val="22"/>
                <w:lang w:val="it-IT" w:eastAsia="en-GB"/>
              </w:rPr>
              <w:t>Rischi potenziali importanti</w:t>
            </w:r>
          </w:p>
        </w:tc>
        <w:tc>
          <w:tcPr>
            <w:tcW w:w="3258" w:type="pct"/>
            <w:shd w:val="clear" w:color="auto" w:fill="auto"/>
          </w:tcPr>
          <w:p w:rsidR="001C397C" w:rsidRPr="00E71EC3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Fertilità femminile compromessa</w:t>
            </w:r>
          </w:p>
        </w:tc>
      </w:tr>
      <w:tr w:rsidR="001C397C" w:rsidRPr="00EF5F0A" w:rsidTr="00373CE8">
        <w:trPr>
          <w:trHeight w:val="380"/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EF5F0A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452B1B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 w:rsidRPr="00452B1B"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Influenza dei FANS </w:t>
            </w: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sul deterioramento del corso dell’infezione</w:t>
            </w:r>
          </w:p>
        </w:tc>
      </w:tr>
      <w:tr w:rsidR="001C397C" w:rsidRPr="00EF5F0A" w:rsidTr="00373CE8">
        <w:trPr>
          <w:trHeight w:val="380"/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EF5F0A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E71EC3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Uso in gravidanza (malformazione cardiaca fetale,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>gastroschisi</w:t>
            </w:r>
            <w:proofErr w:type="spellEnd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 e aborto spontaneo)</w:t>
            </w:r>
          </w:p>
        </w:tc>
      </w:tr>
      <w:tr w:rsidR="001C397C" w:rsidRPr="00EF5F0A" w:rsidTr="00373CE8">
        <w:trPr>
          <w:trHeight w:val="380"/>
          <w:jc w:val="center"/>
        </w:trPr>
        <w:tc>
          <w:tcPr>
            <w:tcW w:w="1742" w:type="pct"/>
            <w:vMerge/>
            <w:shd w:val="clear" w:color="auto" w:fill="auto"/>
          </w:tcPr>
          <w:p w:rsidR="001C397C" w:rsidRPr="00EF5F0A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1C397C" w:rsidRPr="00E71EC3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>Misuso</w:t>
            </w:r>
            <w:proofErr w:type="spellEnd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 (uso nei bambini sotto i 12 anni)</w:t>
            </w:r>
          </w:p>
        </w:tc>
      </w:tr>
      <w:tr w:rsidR="001C397C" w:rsidRPr="00EF5F0A" w:rsidTr="00373CE8">
        <w:trPr>
          <w:jc w:val="center"/>
        </w:trPr>
        <w:tc>
          <w:tcPr>
            <w:tcW w:w="1742" w:type="pct"/>
            <w:shd w:val="clear" w:color="auto" w:fill="auto"/>
          </w:tcPr>
          <w:p w:rsidR="001C397C" w:rsidRPr="00EF5F0A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eastAsia="en-GB"/>
              </w:rPr>
            </w:pPr>
            <w:proofErr w:type="spellStart"/>
            <w:r w:rsidRPr="00EF5F0A">
              <w:rPr>
                <w:rFonts w:ascii="Calibri" w:hAnsi="Calibri"/>
                <w:sz w:val="22"/>
                <w:szCs w:val="22"/>
                <w:lang w:eastAsia="en-GB"/>
              </w:rPr>
              <w:t>Informazioni</w:t>
            </w:r>
            <w:proofErr w:type="spellEnd"/>
            <w:r w:rsidRPr="00EF5F0A">
              <w:rPr>
                <w:rFonts w:ascii="Calibri" w:hAnsi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F5F0A">
              <w:rPr>
                <w:rFonts w:ascii="Calibri" w:hAnsi="Calibri"/>
                <w:sz w:val="22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258" w:type="pct"/>
            <w:shd w:val="clear" w:color="auto" w:fill="auto"/>
          </w:tcPr>
          <w:p w:rsidR="001C397C" w:rsidRPr="00E71EC3" w:rsidRDefault="001C397C" w:rsidP="00373CE8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Uso durante l’allattamento</w:t>
            </w:r>
          </w:p>
        </w:tc>
      </w:tr>
    </w:tbl>
    <w:p w:rsidR="00C051DB" w:rsidRPr="00EF5F0A" w:rsidRDefault="00C051DB" w:rsidP="00C051DB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7C68D2" w:rsidRPr="00EF5F0A" w:rsidRDefault="00B20DD0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EF5F0A">
        <w:rPr>
          <w:rFonts w:ascii="Calibri" w:hAnsi="Calibri"/>
        </w:rPr>
        <w:t>Azioni ro</w:t>
      </w:r>
      <w:r w:rsidR="007C68D2" w:rsidRPr="00EF5F0A">
        <w:rPr>
          <w:rFonts w:ascii="Calibri" w:hAnsi="Calibri"/>
        </w:rPr>
        <w:t>utinarie di farmacovigilanza e di minimizzazione del rischio sono proposte per tutte le problematiche di sicurezza.</w:t>
      </w:r>
      <w:r w:rsidR="008437AA" w:rsidRPr="00EF5F0A">
        <w:rPr>
          <w:rFonts w:ascii="Calibri" w:hAnsi="Calibri"/>
        </w:rPr>
        <w:t xml:space="preserve"> </w:t>
      </w:r>
      <w:r w:rsidR="007C68D2" w:rsidRPr="00EF5F0A">
        <w:rPr>
          <w:rFonts w:ascii="Calibri" w:hAnsi="Calibri"/>
        </w:rPr>
        <w:t>Oltre le misure previste nel Riassunto delle caratteristiche del prodotto non sono previste attività addizionali di minimizzazione del rischio</w:t>
      </w:r>
      <w:r w:rsidR="006106D5" w:rsidRPr="00EF5F0A">
        <w:rPr>
          <w:rFonts w:ascii="Calibri" w:hAnsi="Calibri"/>
        </w:rPr>
        <w:t>.</w:t>
      </w: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Conclusioni</w:t>
      </w: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Per la richiesta di AIC di </w:t>
      </w:r>
      <w:r w:rsidR="009A1779" w:rsidRPr="00EF5F0A">
        <w:rPr>
          <w:rFonts w:ascii="Calibri" w:hAnsi="Calibri"/>
        </w:rPr>
        <w:t>MOMENT</w:t>
      </w:r>
      <w:r w:rsidR="008437AA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sono state presentate sufficienti informazioni cliniche.</w:t>
      </w: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Il rapporto beneficio/rischio di </w:t>
      </w:r>
      <w:r w:rsidR="009A1779" w:rsidRPr="00EF5F0A">
        <w:rPr>
          <w:rFonts w:ascii="Calibri" w:hAnsi="Calibri"/>
        </w:rPr>
        <w:t>MOMENT</w:t>
      </w:r>
      <w:r w:rsidR="008437AA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è considerato favorevole dal punto di vista clinico.</w:t>
      </w: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CONSULTAZIONE SUL FOGLIO ILLUSTRATIVO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EF5F0A">
        <w:rPr>
          <w:rFonts w:ascii="Calibri" w:hAnsi="Calibri"/>
        </w:rPr>
        <w:t>s.m.i.</w:t>
      </w:r>
      <w:proofErr w:type="spellEnd"/>
      <w:r w:rsidRPr="00EF5F0A">
        <w:rPr>
          <w:rFonts w:ascii="Calibri" w:hAnsi="Calibri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F22BED" w:rsidRPr="00EF5F0A" w:rsidRDefault="00F22BED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CONCLUSIONI, VALUTAZIONE DEL RAPPORTO BENEFICIO/RISCHIO E RACCOMANDAZIONI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La qualità di </w:t>
      </w:r>
      <w:r w:rsidR="009A1779" w:rsidRPr="00EF5F0A">
        <w:rPr>
          <w:rFonts w:ascii="Calibri" w:hAnsi="Calibri"/>
        </w:rPr>
        <w:t>MOMENT</w:t>
      </w:r>
      <w:r w:rsidR="009E412F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è accettabile e non sono state rilevate criticità da un punto di vista non clinico e clinico.</w:t>
      </w:r>
    </w:p>
    <w:p w:rsidR="00325D45" w:rsidRDefault="00325D45" w:rsidP="00B32D81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363E9">
        <w:rPr>
          <w:rFonts w:ascii="Calibri" w:eastAsia="Calibri" w:hAnsi="Calibri" w:cs="Times New Roman"/>
        </w:rPr>
        <w:t xml:space="preserve">Lo studio di </w:t>
      </w:r>
      <w:proofErr w:type="spellStart"/>
      <w:r w:rsidRPr="002363E9">
        <w:rPr>
          <w:rFonts w:ascii="Calibri" w:eastAsia="Calibri" w:hAnsi="Calibri" w:cs="Times New Roman"/>
        </w:rPr>
        <w:t>bioequivalenza</w:t>
      </w:r>
      <w:proofErr w:type="spellEnd"/>
      <w:r w:rsidRPr="002363E9">
        <w:rPr>
          <w:rFonts w:ascii="Calibri" w:eastAsia="Calibri" w:hAnsi="Calibri" w:cs="Times New Roman"/>
        </w:rPr>
        <w:t xml:space="preserve"> e le sue conclusioni confermano che MOMENT 200 mg mg/5 </w:t>
      </w:r>
      <w:proofErr w:type="spellStart"/>
      <w:r w:rsidRPr="002363E9">
        <w:rPr>
          <w:rFonts w:ascii="Calibri" w:eastAsia="Calibri" w:hAnsi="Calibri" w:cs="Times New Roman"/>
        </w:rPr>
        <w:t>mL</w:t>
      </w:r>
      <w:proofErr w:type="spellEnd"/>
      <w:r w:rsidRPr="002363E9">
        <w:rPr>
          <w:rFonts w:ascii="Calibri" w:eastAsia="Calibri" w:hAnsi="Calibri" w:cs="Times New Roman"/>
        </w:rPr>
        <w:t xml:space="preserve"> sospensione orale ed MOMENT compresse rivestite con film sono </w:t>
      </w:r>
      <w:proofErr w:type="spellStart"/>
      <w:r w:rsidRPr="002363E9">
        <w:rPr>
          <w:rFonts w:ascii="Calibri" w:eastAsia="Calibri" w:hAnsi="Calibri" w:cs="Times New Roman"/>
        </w:rPr>
        <w:t>bioequivalenti</w:t>
      </w:r>
      <w:proofErr w:type="spellEnd"/>
      <w:r w:rsidRPr="002363E9">
        <w:rPr>
          <w:rFonts w:ascii="Calibri" w:eastAsia="Calibri" w:hAnsi="Calibri" w:cs="Times New Roman"/>
        </w:rPr>
        <w:t>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5F0A">
        <w:rPr>
          <w:rFonts w:ascii="Calibri" w:eastAsia="Calibri" w:hAnsi="Calibri" w:cs="Calibri"/>
        </w:rPr>
        <w:t>(</w:t>
      </w:r>
      <w:hyperlink r:id="rId10" w:history="1">
        <w:r w:rsidRPr="00EF5F0A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Pr="00EF5F0A">
        <w:rPr>
          <w:rFonts w:ascii="Calibri" w:eastAsia="Calibri" w:hAnsi="Calibri" w:cs="Calibri"/>
        </w:rPr>
        <w:t>).</w:t>
      </w:r>
      <w:r w:rsidRPr="00EF5F0A">
        <w:rPr>
          <w:rFonts w:ascii="Calibri" w:hAnsi="Calibri"/>
        </w:rPr>
        <w:t xml:space="preserve"> </w:t>
      </w: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sectPr w:rsidR="007C68D2" w:rsidRPr="00EF5F0A" w:rsidSect="001C7AD0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044B6"/>
    <w:multiLevelType w:val="hybridMultilevel"/>
    <w:tmpl w:val="78921E42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13020"/>
    <w:rsid w:val="00032587"/>
    <w:rsid w:val="00036FEE"/>
    <w:rsid w:val="00040526"/>
    <w:rsid w:val="00053B3F"/>
    <w:rsid w:val="00062636"/>
    <w:rsid w:val="00070A74"/>
    <w:rsid w:val="000725FF"/>
    <w:rsid w:val="00092BAB"/>
    <w:rsid w:val="000B6CEA"/>
    <w:rsid w:val="000C5705"/>
    <w:rsid w:val="000E0C85"/>
    <w:rsid w:val="00110EEB"/>
    <w:rsid w:val="00151E0A"/>
    <w:rsid w:val="00156285"/>
    <w:rsid w:val="001710A0"/>
    <w:rsid w:val="001750E4"/>
    <w:rsid w:val="00184758"/>
    <w:rsid w:val="00186D72"/>
    <w:rsid w:val="00194530"/>
    <w:rsid w:val="001A07F0"/>
    <w:rsid w:val="001B67E5"/>
    <w:rsid w:val="001C397C"/>
    <w:rsid w:val="001C7AD0"/>
    <w:rsid w:val="001E6EA4"/>
    <w:rsid w:val="001E6F35"/>
    <w:rsid w:val="00213B3A"/>
    <w:rsid w:val="0021636C"/>
    <w:rsid w:val="002349D8"/>
    <w:rsid w:val="002363E9"/>
    <w:rsid w:val="00240F4C"/>
    <w:rsid w:val="00255431"/>
    <w:rsid w:val="00256B5A"/>
    <w:rsid w:val="002833EC"/>
    <w:rsid w:val="00283953"/>
    <w:rsid w:val="00293095"/>
    <w:rsid w:val="002959E2"/>
    <w:rsid w:val="002C389F"/>
    <w:rsid w:val="002C472F"/>
    <w:rsid w:val="002C6868"/>
    <w:rsid w:val="002D71A8"/>
    <w:rsid w:val="002E1C55"/>
    <w:rsid w:val="002F0038"/>
    <w:rsid w:val="00307DD6"/>
    <w:rsid w:val="00310B73"/>
    <w:rsid w:val="003134F6"/>
    <w:rsid w:val="003167B4"/>
    <w:rsid w:val="00322BF5"/>
    <w:rsid w:val="00325D45"/>
    <w:rsid w:val="00326548"/>
    <w:rsid w:val="0032701C"/>
    <w:rsid w:val="00342A0B"/>
    <w:rsid w:val="00345502"/>
    <w:rsid w:val="00347A18"/>
    <w:rsid w:val="00353318"/>
    <w:rsid w:val="00356C29"/>
    <w:rsid w:val="0036392F"/>
    <w:rsid w:val="00364C44"/>
    <w:rsid w:val="0036781E"/>
    <w:rsid w:val="0038218C"/>
    <w:rsid w:val="0039655A"/>
    <w:rsid w:val="003A0AA5"/>
    <w:rsid w:val="003A6FA1"/>
    <w:rsid w:val="003D3860"/>
    <w:rsid w:val="003D4AC2"/>
    <w:rsid w:val="003D5E5E"/>
    <w:rsid w:val="003F4952"/>
    <w:rsid w:val="004015D9"/>
    <w:rsid w:val="004171F6"/>
    <w:rsid w:val="004241AC"/>
    <w:rsid w:val="00424DDF"/>
    <w:rsid w:val="004349A2"/>
    <w:rsid w:val="0045169D"/>
    <w:rsid w:val="00452444"/>
    <w:rsid w:val="00462CBE"/>
    <w:rsid w:val="00467B27"/>
    <w:rsid w:val="00475935"/>
    <w:rsid w:val="00494CCF"/>
    <w:rsid w:val="004960F4"/>
    <w:rsid w:val="004A3172"/>
    <w:rsid w:val="004B20A8"/>
    <w:rsid w:val="004B69C4"/>
    <w:rsid w:val="004C2B07"/>
    <w:rsid w:val="004E106E"/>
    <w:rsid w:val="00502AB1"/>
    <w:rsid w:val="00512471"/>
    <w:rsid w:val="00512522"/>
    <w:rsid w:val="00520FDC"/>
    <w:rsid w:val="005276B9"/>
    <w:rsid w:val="005368CE"/>
    <w:rsid w:val="0055120E"/>
    <w:rsid w:val="005536D0"/>
    <w:rsid w:val="00556648"/>
    <w:rsid w:val="00564F57"/>
    <w:rsid w:val="00577B78"/>
    <w:rsid w:val="005820A7"/>
    <w:rsid w:val="00587D0E"/>
    <w:rsid w:val="00590665"/>
    <w:rsid w:val="00594CD5"/>
    <w:rsid w:val="005971FB"/>
    <w:rsid w:val="005A2741"/>
    <w:rsid w:val="005A2B9B"/>
    <w:rsid w:val="005A2DC6"/>
    <w:rsid w:val="005B446C"/>
    <w:rsid w:val="005C2991"/>
    <w:rsid w:val="005D13CC"/>
    <w:rsid w:val="005D53B9"/>
    <w:rsid w:val="005E265A"/>
    <w:rsid w:val="005F045D"/>
    <w:rsid w:val="005F2D30"/>
    <w:rsid w:val="006052F1"/>
    <w:rsid w:val="006058B8"/>
    <w:rsid w:val="006063E6"/>
    <w:rsid w:val="006106D5"/>
    <w:rsid w:val="006164FC"/>
    <w:rsid w:val="0062597F"/>
    <w:rsid w:val="006312EE"/>
    <w:rsid w:val="00631675"/>
    <w:rsid w:val="00633428"/>
    <w:rsid w:val="00657141"/>
    <w:rsid w:val="00665921"/>
    <w:rsid w:val="00674664"/>
    <w:rsid w:val="0068214B"/>
    <w:rsid w:val="006831C7"/>
    <w:rsid w:val="00687567"/>
    <w:rsid w:val="006959E3"/>
    <w:rsid w:val="006B34DF"/>
    <w:rsid w:val="006B5DF8"/>
    <w:rsid w:val="006C3065"/>
    <w:rsid w:val="006E0162"/>
    <w:rsid w:val="00700F7D"/>
    <w:rsid w:val="00716EE9"/>
    <w:rsid w:val="0072796D"/>
    <w:rsid w:val="00745D5C"/>
    <w:rsid w:val="00747E5B"/>
    <w:rsid w:val="007536F5"/>
    <w:rsid w:val="00762D88"/>
    <w:rsid w:val="00764E86"/>
    <w:rsid w:val="007935FE"/>
    <w:rsid w:val="007B00CF"/>
    <w:rsid w:val="007C5380"/>
    <w:rsid w:val="007C5B37"/>
    <w:rsid w:val="007C68D2"/>
    <w:rsid w:val="007D68A8"/>
    <w:rsid w:val="0083545D"/>
    <w:rsid w:val="00836A0C"/>
    <w:rsid w:val="008437AA"/>
    <w:rsid w:val="00852838"/>
    <w:rsid w:val="008547E9"/>
    <w:rsid w:val="0085564B"/>
    <w:rsid w:val="00860148"/>
    <w:rsid w:val="00864960"/>
    <w:rsid w:val="0087132D"/>
    <w:rsid w:val="00874568"/>
    <w:rsid w:val="008845B5"/>
    <w:rsid w:val="008A24CC"/>
    <w:rsid w:val="00900DAA"/>
    <w:rsid w:val="00906180"/>
    <w:rsid w:val="00950211"/>
    <w:rsid w:val="00972C6A"/>
    <w:rsid w:val="00972D9D"/>
    <w:rsid w:val="00982EDD"/>
    <w:rsid w:val="009A1779"/>
    <w:rsid w:val="009A1E3E"/>
    <w:rsid w:val="009A260F"/>
    <w:rsid w:val="009A3BA6"/>
    <w:rsid w:val="009B280E"/>
    <w:rsid w:val="009C0926"/>
    <w:rsid w:val="009C5CC3"/>
    <w:rsid w:val="009E412F"/>
    <w:rsid w:val="009F0F0B"/>
    <w:rsid w:val="00A048B7"/>
    <w:rsid w:val="00A05A98"/>
    <w:rsid w:val="00A12670"/>
    <w:rsid w:val="00A15887"/>
    <w:rsid w:val="00A23A95"/>
    <w:rsid w:val="00A434C6"/>
    <w:rsid w:val="00A52DC4"/>
    <w:rsid w:val="00A642C7"/>
    <w:rsid w:val="00A668D0"/>
    <w:rsid w:val="00A719C2"/>
    <w:rsid w:val="00A90BD3"/>
    <w:rsid w:val="00AB02E2"/>
    <w:rsid w:val="00AD2871"/>
    <w:rsid w:val="00AD4E22"/>
    <w:rsid w:val="00AE3426"/>
    <w:rsid w:val="00AE7A98"/>
    <w:rsid w:val="00AF171E"/>
    <w:rsid w:val="00AF5735"/>
    <w:rsid w:val="00B07EF8"/>
    <w:rsid w:val="00B11622"/>
    <w:rsid w:val="00B12DF7"/>
    <w:rsid w:val="00B20DD0"/>
    <w:rsid w:val="00B27FD9"/>
    <w:rsid w:val="00B30CB8"/>
    <w:rsid w:val="00B329D4"/>
    <w:rsid w:val="00B32D81"/>
    <w:rsid w:val="00B35BAB"/>
    <w:rsid w:val="00B362D7"/>
    <w:rsid w:val="00B53B58"/>
    <w:rsid w:val="00B5510E"/>
    <w:rsid w:val="00B70D8F"/>
    <w:rsid w:val="00B7408C"/>
    <w:rsid w:val="00B75D1D"/>
    <w:rsid w:val="00B75EA4"/>
    <w:rsid w:val="00B8240C"/>
    <w:rsid w:val="00B82FD1"/>
    <w:rsid w:val="00B96AB1"/>
    <w:rsid w:val="00B96D89"/>
    <w:rsid w:val="00BB16C2"/>
    <w:rsid w:val="00BB79B9"/>
    <w:rsid w:val="00BD1173"/>
    <w:rsid w:val="00BD1200"/>
    <w:rsid w:val="00BF3814"/>
    <w:rsid w:val="00C00425"/>
    <w:rsid w:val="00C051DB"/>
    <w:rsid w:val="00C07EE1"/>
    <w:rsid w:val="00C31AF0"/>
    <w:rsid w:val="00C33A16"/>
    <w:rsid w:val="00C51F0A"/>
    <w:rsid w:val="00C55B9A"/>
    <w:rsid w:val="00C630E2"/>
    <w:rsid w:val="00C75C50"/>
    <w:rsid w:val="00C8171A"/>
    <w:rsid w:val="00C87C2E"/>
    <w:rsid w:val="00CA29BF"/>
    <w:rsid w:val="00CB5FF8"/>
    <w:rsid w:val="00CC7AFF"/>
    <w:rsid w:val="00CE5C72"/>
    <w:rsid w:val="00CE61AE"/>
    <w:rsid w:val="00CF7CE6"/>
    <w:rsid w:val="00D07C5C"/>
    <w:rsid w:val="00D103AB"/>
    <w:rsid w:val="00D16510"/>
    <w:rsid w:val="00D172B7"/>
    <w:rsid w:val="00D20170"/>
    <w:rsid w:val="00D2188F"/>
    <w:rsid w:val="00D416F1"/>
    <w:rsid w:val="00D419A0"/>
    <w:rsid w:val="00D47411"/>
    <w:rsid w:val="00D57289"/>
    <w:rsid w:val="00D57567"/>
    <w:rsid w:val="00D745C6"/>
    <w:rsid w:val="00D8197E"/>
    <w:rsid w:val="00D92C93"/>
    <w:rsid w:val="00D97736"/>
    <w:rsid w:val="00DA08C4"/>
    <w:rsid w:val="00DA1945"/>
    <w:rsid w:val="00DA4C20"/>
    <w:rsid w:val="00DB70B9"/>
    <w:rsid w:val="00DC0AB6"/>
    <w:rsid w:val="00DC5BE2"/>
    <w:rsid w:val="00DD07C0"/>
    <w:rsid w:val="00DE2447"/>
    <w:rsid w:val="00DE79A0"/>
    <w:rsid w:val="00DF3857"/>
    <w:rsid w:val="00DF7220"/>
    <w:rsid w:val="00E14380"/>
    <w:rsid w:val="00E176BF"/>
    <w:rsid w:val="00E21095"/>
    <w:rsid w:val="00E214BB"/>
    <w:rsid w:val="00E22AEF"/>
    <w:rsid w:val="00E25334"/>
    <w:rsid w:val="00E30CBC"/>
    <w:rsid w:val="00E311A6"/>
    <w:rsid w:val="00E43089"/>
    <w:rsid w:val="00E543A8"/>
    <w:rsid w:val="00E579BC"/>
    <w:rsid w:val="00E61896"/>
    <w:rsid w:val="00E65810"/>
    <w:rsid w:val="00E74440"/>
    <w:rsid w:val="00E7486A"/>
    <w:rsid w:val="00E752F3"/>
    <w:rsid w:val="00E927A4"/>
    <w:rsid w:val="00E95CA3"/>
    <w:rsid w:val="00EB16E6"/>
    <w:rsid w:val="00EB1B6D"/>
    <w:rsid w:val="00EE1FA2"/>
    <w:rsid w:val="00EF096A"/>
    <w:rsid w:val="00EF5F0A"/>
    <w:rsid w:val="00F01566"/>
    <w:rsid w:val="00F01FB3"/>
    <w:rsid w:val="00F021C7"/>
    <w:rsid w:val="00F2215C"/>
    <w:rsid w:val="00F22BED"/>
    <w:rsid w:val="00F4168A"/>
    <w:rsid w:val="00F5278E"/>
    <w:rsid w:val="00F80DE9"/>
    <w:rsid w:val="00F9209F"/>
    <w:rsid w:val="00FA2702"/>
    <w:rsid w:val="00FA53E0"/>
    <w:rsid w:val="00FA55B0"/>
    <w:rsid w:val="00FC188F"/>
    <w:rsid w:val="00FD45E3"/>
    <w:rsid w:val="00FE143C"/>
    <w:rsid w:val="00FE17AD"/>
    <w:rsid w:val="00FF3972"/>
    <w:rsid w:val="00FF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1622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deltesto">
    <w:name w:val="Body Text"/>
    <w:basedOn w:val="Normale"/>
    <w:link w:val="Corpodel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Testodelblocco">
    <w:name w:val="Block Text"/>
    <w:basedOn w:val="Normale"/>
    <w:rsid w:val="00AD4E22"/>
    <w:pPr>
      <w:spacing w:after="0" w:line="240" w:lineRule="auto"/>
      <w:ind w:left="709" w:right="-1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chnZchnCharZchnZchn">
    <w:name w:val="Zchn Zchn Char Zchn Zchn"/>
    <w:basedOn w:val="Normale"/>
    <w:next w:val="Normale"/>
    <w:rsid w:val="005A2DC6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ientronormale">
    <w:name w:val="Normal Indent"/>
    <w:basedOn w:val="Normale"/>
    <w:rsid w:val="008547E9"/>
    <w:pPr>
      <w:spacing w:after="0" w:line="240" w:lineRule="auto"/>
      <w:ind w:left="1304"/>
    </w:pPr>
    <w:rPr>
      <w:rFonts w:ascii="Times New Roman" w:eastAsia="Times New Roman" w:hAnsi="Times New Roman" w:cs="Times New Roman"/>
      <w:sz w:val="24"/>
      <w:szCs w:val="20"/>
      <w:lang w:val="fi-FI" w:eastAsia="fi-FI"/>
    </w:rPr>
  </w:style>
  <w:style w:type="paragraph" w:customStyle="1" w:styleId="ZchnZchnCharZchnZchnZchnZchnChar">
    <w:name w:val="Zchn Zchn Char Zchn Zchn Zchn Zchn Char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hnZchnCharZchnZchn0">
    <w:name w:val="Zchn Zchn Char Zchn Zchn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gliatabella">
    <w:name w:val="Table Grid"/>
    <w:basedOn w:val="Tabellanormale"/>
    <w:uiPriority w:val="59"/>
    <w:rsid w:val="00AE3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6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0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82BD3-5E54-4BC8-A269-1B77DC715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2787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vitocolonnam</cp:lastModifiedBy>
  <cp:revision>4</cp:revision>
  <dcterms:created xsi:type="dcterms:W3CDTF">2020-05-25T11:49:00Z</dcterms:created>
  <dcterms:modified xsi:type="dcterms:W3CDTF">2020-05-25T11:51:00Z</dcterms:modified>
</cp:coreProperties>
</file>