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AD4493" w:rsidP="004241AC">
      <w:pPr>
        <w:spacing w:after="0" w:line="240" w:lineRule="auto"/>
        <w:jc w:val="center"/>
        <w:rPr>
          <w:lang w:val="en-US"/>
        </w:rPr>
      </w:pPr>
      <w:r w:rsidRPr="00AD4493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BC6F1B" w:rsidRDefault="00BC6F1B" w:rsidP="0045224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C6F1B" w:rsidRDefault="00BC6F1B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C69A7" w:rsidRDefault="009C69A7" w:rsidP="0045224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C69A7" w:rsidRPr="009C69A7" w:rsidRDefault="001B63CC" w:rsidP="009C69A7">
      <w:pPr>
        <w:spacing w:after="0" w:line="24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PANTOFLUX</w:t>
      </w:r>
    </w:p>
    <w:p w:rsidR="009C69A7" w:rsidRDefault="004241AC" w:rsidP="009C69A7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</w:t>
      </w:r>
    </w:p>
    <w:p w:rsidR="004241AC" w:rsidRPr="003A3FEB" w:rsidRDefault="004241AC" w:rsidP="009C69A7">
      <w:pPr>
        <w:widowControl w:val="0"/>
        <w:spacing w:after="0" w:line="240" w:lineRule="auto"/>
        <w:jc w:val="center"/>
        <w:rPr>
          <w:snapToGrid w:val="0"/>
        </w:rPr>
      </w:pPr>
      <w:r w:rsidRPr="00826703">
        <w:rPr>
          <w:snapToGrid w:val="0"/>
        </w:rPr>
        <w:t>(</w:t>
      </w:r>
      <w:r w:rsidR="00826703" w:rsidRPr="00826703">
        <w:rPr>
          <w:snapToGrid w:val="0"/>
        </w:rPr>
        <w:t>Pantoprazolo</w:t>
      </w:r>
      <w:r w:rsidRPr="003A3FEB">
        <w:rPr>
          <w:snapToGrid w:val="0"/>
        </w:rPr>
        <w:t>)</w:t>
      </w:r>
    </w:p>
    <w:p w:rsidR="004241AC" w:rsidRDefault="004241AC" w:rsidP="009C69A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C69A7" w:rsidRDefault="009C69A7" w:rsidP="009C69A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1B63CC" w:rsidP="009C69A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Pensa Pharma </w:t>
      </w:r>
    </w:p>
    <w:p w:rsidR="004241AC" w:rsidRDefault="004241AC" w:rsidP="009C69A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76ADA" w:rsidRPr="00062636" w:rsidRDefault="00076ADA" w:rsidP="009C69A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9C69A7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216A47">
        <w:rPr>
          <w:rFonts w:cs="Helvetica"/>
          <w:b/>
        </w:rPr>
        <w:t>04</w:t>
      </w:r>
      <w:r w:rsidR="00493A55">
        <w:rPr>
          <w:rFonts w:cs="Helvetica"/>
          <w:b/>
        </w:rPr>
        <w:t>5056</w:t>
      </w:r>
    </w:p>
    <w:p w:rsidR="004241AC" w:rsidRPr="00062636" w:rsidRDefault="004241AC" w:rsidP="009C69A7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5D40D3" w:rsidRDefault="005D40D3" w:rsidP="009C69A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9C69A7" w:rsidRDefault="009C69A7" w:rsidP="009C69A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5D40D3" w:rsidRPr="00452241" w:rsidRDefault="005D40D3" w:rsidP="009C69A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452241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5D40D3" w:rsidRPr="00452241" w:rsidRDefault="005D40D3" w:rsidP="009C69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9C69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 xml:space="preserve">Questa è la sintesi del </w:t>
      </w:r>
      <w:r w:rsidRPr="00452241">
        <w:rPr>
          <w:rFonts w:eastAsia="Calibri" w:cs="Calibri"/>
          <w:i/>
          <w:color w:val="000000"/>
          <w:lang w:eastAsia="it-IT"/>
        </w:rPr>
        <w:t>Public Assessment Report</w:t>
      </w:r>
      <w:r w:rsidRPr="00452241">
        <w:rPr>
          <w:rFonts w:eastAsia="Calibri" w:cs="Calibri"/>
          <w:color w:val="000000"/>
          <w:lang w:eastAsia="it-IT"/>
        </w:rPr>
        <w:t xml:space="preserve"> (PAR) per </w:t>
      </w:r>
      <w:r w:rsidR="00493A55">
        <w:rPr>
          <w:rFonts w:eastAsia="Calibri" w:cs="Calibri"/>
          <w:color w:val="000000"/>
          <w:lang w:eastAsia="it-IT"/>
        </w:rPr>
        <w:t>Pantoflux</w:t>
      </w:r>
      <w:r w:rsidR="00F15D64" w:rsidRPr="00452241">
        <w:rPr>
          <w:rFonts w:eastAsia="Calibri" w:cs="Calibri"/>
          <w:color w:val="000000"/>
          <w:lang w:eastAsia="it-IT"/>
        </w:rPr>
        <w:t>.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Esso spiega come </w:t>
      </w:r>
      <w:r w:rsidR="00493A55">
        <w:rPr>
          <w:rFonts w:eastAsia="Calibri" w:cs="Calibri"/>
          <w:color w:val="000000"/>
          <w:lang w:eastAsia="it-IT"/>
        </w:rPr>
        <w:t>Pantoflux</w:t>
      </w:r>
      <w:r w:rsidR="00062636"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9B4C3D" w:rsidRPr="00452241">
        <w:rPr>
          <w:rFonts w:eastAsia="Calibri" w:cs="Calibri"/>
          <w:color w:val="000000"/>
          <w:lang w:eastAsia="it-IT"/>
        </w:rPr>
        <w:t>e le sue condizioni di impiego</w:t>
      </w:r>
      <w:r w:rsidRPr="00452241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493A55">
        <w:rPr>
          <w:rFonts w:eastAsia="Calibri" w:cs="Calibri"/>
          <w:color w:val="000000"/>
          <w:lang w:eastAsia="it-IT"/>
        </w:rPr>
        <w:t>Pantoflux</w:t>
      </w:r>
      <w:r w:rsidRPr="00452241">
        <w:rPr>
          <w:rFonts w:eastAsia="Calibri" w:cs="Calibri"/>
          <w:bCs/>
          <w:color w:val="000000"/>
          <w:lang w:eastAsia="it-IT"/>
        </w:rPr>
        <w:t>.</w:t>
      </w:r>
    </w:p>
    <w:p w:rsidR="004241AC" w:rsidRPr="00452241" w:rsidRDefault="004241AC" w:rsidP="009C69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color w:val="000000"/>
          <w:lang w:eastAsia="it-IT"/>
        </w:rPr>
        <w:t>Per informazioni pratiche sull'utilizzo di</w:t>
      </w:r>
      <w:r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="00120AB2">
        <w:rPr>
          <w:rFonts w:eastAsia="Calibri" w:cs="Calibri"/>
          <w:color w:val="000000"/>
          <w:lang w:eastAsia="it-IT"/>
        </w:rPr>
        <w:t>Pantoflux</w:t>
      </w:r>
      <w:r w:rsidR="00062636" w:rsidRPr="00452241">
        <w:rPr>
          <w:rFonts w:eastAsia="Calibri" w:cs="Calibri"/>
          <w:color w:val="000000"/>
          <w:lang w:eastAsia="it-IT"/>
        </w:rPr>
        <w:t xml:space="preserve"> </w:t>
      </w:r>
      <w:r w:rsidRPr="0045224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52241">
        <w:rPr>
          <w:rFonts w:eastAsia="Calibri" w:cs="Calibri"/>
          <w:color w:val="000000"/>
          <w:lang w:eastAsia="it-IT"/>
        </w:rPr>
        <w:t xml:space="preserve">il </w:t>
      </w:r>
      <w:r w:rsidRPr="0045224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52241" w:rsidRDefault="004241AC" w:rsidP="009C69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9C69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52241">
        <w:rPr>
          <w:rFonts w:eastAsia="Calibri" w:cs="Calibri"/>
          <w:b/>
          <w:bCs/>
          <w:color w:val="000000"/>
          <w:lang w:eastAsia="it-IT"/>
        </w:rPr>
        <w:t xml:space="preserve">1) CHE </w:t>
      </w:r>
      <w:r w:rsidRPr="00F15D64">
        <w:rPr>
          <w:rFonts w:eastAsia="Calibri" w:cs="Calibri"/>
          <w:b/>
          <w:bCs/>
          <w:color w:val="000000"/>
          <w:lang w:eastAsia="it-IT"/>
        </w:rPr>
        <w:t xml:space="preserve">COS’È </w:t>
      </w:r>
      <w:r w:rsidR="00120AB2">
        <w:rPr>
          <w:rFonts w:eastAsia="Calibri" w:cs="Calibri"/>
          <w:b/>
          <w:color w:val="000000"/>
          <w:lang w:eastAsia="it-IT"/>
        </w:rPr>
        <w:t>Pantoflux</w:t>
      </w:r>
      <w:r w:rsidR="00E83F8D" w:rsidRPr="00F15D6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E4351" w:rsidRPr="00F15D64">
        <w:rPr>
          <w:rFonts w:eastAsia="Calibri" w:cs="Calibri"/>
          <w:b/>
          <w:bCs/>
          <w:color w:val="000000"/>
          <w:lang w:eastAsia="it-IT"/>
        </w:rPr>
        <w:t>E A</w:t>
      </w:r>
      <w:r w:rsidR="00AE4351" w:rsidRPr="00452241">
        <w:rPr>
          <w:rFonts w:eastAsia="Calibri" w:cs="Calibri"/>
          <w:b/>
          <w:bCs/>
          <w:color w:val="000000"/>
          <w:lang w:eastAsia="it-IT"/>
        </w:rPr>
        <w:t xml:space="preserve"> COSA SERVE</w:t>
      </w:r>
      <w:r w:rsidRPr="0045224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452241" w:rsidRDefault="00120AB2" w:rsidP="0045224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Pantoflux</w:t>
      </w:r>
      <w:r w:rsidR="00F15D64" w:rsidRPr="00452241">
        <w:rPr>
          <w:rFonts w:eastAsia="Calibri" w:cs="Calibri"/>
          <w:color w:val="000000"/>
          <w:lang w:eastAsia="it-IT"/>
        </w:rPr>
        <w:t xml:space="preserve"> </w:t>
      </w:r>
      <w:r w:rsidR="004241AC" w:rsidRPr="0045224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452241">
        <w:rPr>
          <w:rFonts w:eastAsia="Calibri" w:cs="Calibri"/>
          <w:color w:val="000000"/>
          <w:lang w:eastAsia="it-IT"/>
        </w:rPr>
        <w:t>i</w:t>
      </w:r>
      <w:r w:rsidR="00E83F8D" w:rsidRPr="00452241">
        <w:rPr>
          <w:rFonts w:eastAsia="Calibri" w:cs="Calibri"/>
          <w:color w:val="000000"/>
          <w:lang w:eastAsia="it-IT"/>
        </w:rPr>
        <w:t>l</w:t>
      </w:r>
      <w:r w:rsidR="004241AC" w:rsidRPr="00452241">
        <w:rPr>
          <w:rFonts w:eastAsia="Calibri" w:cs="Calibri"/>
          <w:color w:val="000000"/>
          <w:lang w:eastAsia="it-IT"/>
        </w:rPr>
        <w:t xml:space="preserve"> principi</w:t>
      </w:r>
      <w:r w:rsidR="00E83F8D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attiv</w:t>
      </w:r>
      <w:r w:rsidR="00E83F8D" w:rsidRPr="00452241">
        <w:rPr>
          <w:rFonts w:eastAsia="Calibri" w:cs="Calibri"/>
          <w:color w:val="000000"/>
          <w:lang w:eastAsia="it-IT"/>
        </w:rPr>
        <w:t>o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r w:rsidR="00F730DA" w:rsidRPr="00452241">
        <w:rPr>
          <w:rFonts w:eastAsia="Calibri" w:cs="Calibri"/>
          <w:color w:val="000000"/>
          <w:lang w:eastAsia="it-IT"/>
        </w:rPr>
        <w:t>pantoprazolo</w:t>
      </w:r>
      <w:r w:rsidR="00076ADA" w:rsidRPr="00452241">
        <w:rPr>
          <w:rFonts w:eastAsia="Calibri" w:cs="Calibri"/>
          <w:color w:val="000000"/>
          <w:lang w:eastAsia="it-IT"/>
        </w:rPr>
        <w:t xml:space="preserve"> ed </w:t>
      </w:r>
      <w:r w:rsidR="004241AC" w:rsidRPr="00452241">
        <w:rPr>
          <w:rFonts w:eastAsia="Calibri" w:cs="Calibri"/>
          <w:color w:val="000000"/>
          <w:lang w:eastAsia="it-IT"/>
        </w:rPr>
        <w:t xml:space="preserve">è disponibile in </w:t>
      </w:r>
      <w:r w:rsidR="00452241" w:rsidRPr="00452241">
        <w:rPr>
          <w:rFonts w:eastAsia="Calibri" w:cs="Calibri"/>
          <w:color w:val="000000"/>
          <w:lang w:eastAsia="it-IT"/>
        </w:rPr>
        <w:t>co</w:t>
      </w:r>
      <w:r w:rsidR="00F730DA" w:rsidRPr="00452241">
        <w:rPr>
          <w:rFonts w:eastAsia="Calibri" w:cs="Calibri"/>
          <w:color w:val="000000"/>
          <w:lang w:eastAsia="it-IT"/>
        </w:rPr>
        <w:t>mpresse</w:t>
      </w:r>
      <w:r w:rsidR="004241AC" w:rsidRPr="00452241">
        <w:rPr>
          <w:rFonts w:eastAsia="Calibri" w:cs="Calibri"/>
          <w:color w:val="000000"/>
          <w:lang w:eastAsia="it-IT"/>
        </w:rPr>
        <w:t xml:space="preserve"> </w:t>
      </w:r>
      <w:r w:rsidR="00874733" w:rsidRPr="00452241">
        <w:rPr>
          <w:rFonts w:eastAsia="Calibri" w:cs="Calibri"/>
          <w:color w:val="000000"/>
          <w:lang w:eastAsia="it-IT"/>
        </w:rPr>
        <w:t xml:space="preserve">gastroresistenti </w:t>
      </w:r>
      <w:r w:rsidR="004241AC" w:rsidRPr="00452241">
        <w:rPr>
          <w:rFonts w:eastAsia="Calibri" w:cs="Calibri"/>
          <w:color w:val="000000"/>
          <w:lang w:eastAsia="it-IT"/>
        </w:rPr>
        <w:t xml:space="preserve">contenenti </w:t>
      </w:r>
      <w:r w:rsidR="00452364" w:rsidRPr="00452241">
        <w:rPr>
          <w:rFonts w:cs="Helvetica"/>
        </w:rPr>
        <w:t>2</w:t>
      </w:r>
      <w:r w:rsidR="00E83F8D" w:rsidRPr="00452241">
        <w:rPr>
          <w:rFonts w:cs="Helvetica"/>
        </w:rPr>
        <w:t>0</w:t>
      </w:r>
      <w:r w:rsidR="00452364" w:rsidRPr="00452241">
        <w:rPr>
          <w:rFonts w:cs="Helvetica"/>
        </w:rPr>
        <w:t xml:space="preserve"> mg</w:t>
      </w:r>
      <w:r w:rsidR="00F730DA" w:rsidRPr="00452241">
        <w:rPr>
          <w:rFonts w:cs="Helvetica"/>
        </w:rPr>
        <w:t xml:space="preserve"> </w:t>
      </w:r>
      <w:r w:rsidR="00216A47">
        <w:rPr>
          <w:rFonts w:cs="Helvetica"/>
        </w:rPr>
        <w:t>di principio attivo</w:t>
      </w:r>
      <w:r w:rsidR="004241AC" w:rsidRPr="00452241">
        <w:t>.</w:t>
      </w:r>
    </w:p>
    <w:p w:rsidR="00E92E3C" w:rsidRPr="00C348C5" w:rsidRDefault="00120AB2" w:rsidP="00E92E3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Pantoflux</w:t>
      </w:r>
      <w:r w:rsidR="00EF351A" w:rsidRPr="00452241">
        <w:rPr>
          <w:rFonts w:eastAsia="Calibri" w:cs="Calibri"/>
          <w:color w:val="000000"/>
          <w:lang w:eastAsia="it-IT"/>
        </w:rPr>
        <w:t xml:space="preserve"> </w:t>
      </w:r>
      <w:r w:rsidR="00417711" w:rsidRPr="00452241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0A4FD2">
        <w:rPr>
          <w:rFonts w:eastAsia="Calibri" w:cs="Calibri"/>
          <w:color w:val="000000"/>
          <w:lang w:eastAsia="it-IT"/>
        </w:rPr>
        <w:t>Pant</w:t>
      </w:r>
      <w:r>
        <w:rPr>
          <w:rFonts w:eastAsia="Calibri" w:cs="Calibri"/>
          <w:color w:val="000000"/>
          <w:lang w:eastAsia="it-IT"/>
        </w:rPr>
        <w:t>ecta</w:t>
      </w:r>
      <w:r w:rsidR="00452241" w:rsidRPr="00452241">
        <w:rPr>
          <w:rFonts w:eastAsia="Calibri" w:cs="Calibri"/>
          <w:color w:val="000000"/>
          <w:lang w:eastAsia="it-IT"/>
        </w:rPr>
        <w:t xml:space="preserve">, </w:t>
      </w:r>
      <w:r w:rsidRPr="00452241">
        <w:rPr>
          <w:rFonts w:eastAsia="Calibri" w:cs="Calibri"/>
          <w:color w:val="000000"/>
          <w:lang w:eastAsia="it-IT"/>
        </w:rPr>
        <w:t xml:space="preserve">già autorizzato in Italia con procedura </w:t>
      </w:r>
      <w:r>
        <w:rPr>
          <w:rFonts w:eastAsia="Calibri" w:cs="Calibri"/>
          <w:color w:val="000000"/>
          <w:lang w:eastAsia="it-IT"/>
        </w:rPr>
        <w:t>di mutuo riconoscimento</w:t>
      </w:r>
      <w:r w:rsidRPr="00452241">
        <w:rPr>
          <w:rFonts w:eastAsia="Calibri" w:cs="Calibri"/>
          <w:color w:val="000000"/>
          <w:lang w:eastAsia="it-IT"/>
        </w:rPr>
        <w:t xml:space="preserve"> con la Germania come stato di riferimento (</w:t>
      </w:r>
      <w:hyperlink r:id="rId6" w:history="1">
        <w:r w:rsidRPr="00452241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2F7159">
        <w:rPr>
          <w:rFonts w:eastAsia="Calibri" w:cs="Calibri"/>
          <w:color w:val="000000"/>
          <w:lang w:eastAsia="it-IT"/>
        </w:rPr>
        <w:t>)</w:t>
      </w:r>
      <w:r w:rsidR="00F730DA" w:rsidRPr="00452241">
        <w:rPr>
          <w:rFonts w:eastAsia="Calibri" w:cs="Calibri"/>
          <w:color w:val="000000"/>
          <w:lang w:eastAsia="it-IT"/>
        </w:rPr>
        <w:t xml:space="preserve">. Sul sito dell’Agenzia Italiana del </w:t>
      </w:r>
      <w:r w:rsidR="00F730DA" w:rsidRPr="000A4FD2">
        <w:rPr>
          <w:rFonts w:eastAsia="Calibri" w:cs="Calibri"/>
          <w:color w:val="000000"/>
          <w:lang w:eastAsia="it-IT"/>
        </w:rPr>
        <w:t>Farmaco (AIFA) (</w:t>
      </w:r>
      <w:hyperlink r:id="rId7" w:history="1">
        <w:r w:rsidR="00F730DA" w:rsidRPr="000A4FD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730DA" w:rsidRPr="000A4FD2">
        <w:rPr>
          <w:rFonts w:eastAsia="Calibri" w:cs="Calibri"/>
          <w:lang w:eastAsia="it-IT"/>
        </w:rPr>
        <w:t>)</w:t>
      </w:r>
      <w:r w:rsidR="00F730DA" w:rsidRPr="000A4FD2">
        <w:t xml:space="preserve"> </w:t>
      </w:r>
      <w:r w:rsidR="00F730DA" w:rsidRPr="000A4FD2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r>
        <w:rPr>
          <w:rFonts w:eastAsia="Calibri" w:cs="Calibri"/>
          <w:color w:val="000000"/>
          <w:lang w:eastAsia="it-IT"/>
        </w:rPr>
        <w:t>Pantecta</w:t>
      </w:r>
      <w:r w:rsidR="00417711" w:rsidRPr="000A4FD2">
        <w:rPr>
          <w:rFonts w:eastAsia="Calibri" w:cs="Calibri"/>
          <w:color w:val="000000"/>
          <w:lang w:eastAsia="it-IT"/>
        </w:rPr>
        <w:t>.</w:t>
      </w:r>
      <w:r w:rsidR="00E92E3C" w:rsidRPr="000A4FD2">
        <w:rPr>
          <w:rFonts w:eastAsia="Calibri" w:cs="Calibri"/>
          <w:color w:val="000000"/>
          <w:lang w:eastAsia="it-IT"/>
        </w:rPr>
        <w:t xml:space="preserve"> </w:t>
      </w:r>
      <w:r w:rsidR="00E92E3C" w:rsidRPr="00C348C5">
        <w:rPr>
          <w:rFonts w:eastAsia="Calibri" w:cs="Calibri"/>
          <w:color w:val="000000"/>
          <w:lang w:eastAsia="it-IT"/>
        </w:rPr>
        <w:t xml:space="preserve">Inoltre, il titolare del medicinale </w:t>
      </w:r>
      <w:r w:rsidR="00C348C5" w:rsidRPr="00C348C5">
        <w:rPr>
          <w:rFonts w:eastAsia="Calibri" w:cs="Calibri"/>
          <w:color w:val="000000"/>
          <w:lang w:eastAsia="it-IT"/>
        </w:rPr>
        <w:t>Pantecta</w:t>
      </w:r>
      <w:r w:rsidR="00E92E3C" w:rsidRPr="00C348C5">
        <w:rPr>
          <w:rFonts w:eastAsia="Calibri" w:cs="Calibri"/>
          <w:color w:val="000000"/>
          <w:lang w:eastAsia="it-IT"/>
        </w:rPr>
        <w:t xml:space="preserve"> ha autorizzato con procedura centralizzata il medicinale </w:t>
      </w:r>
      <w:r w:rsidR="00C348C5" w:rsidRPr="00C348C5">
        <w:rPr>
          <w:rFonts w:eastAsia="Calibri" w:cs="Calibri"/>
          <w:color w:val="000000"/>
          <w:lang w:eastAsia="it-IT"/>
        </w:rPr>
        <w:t>Pantecta</w:t>
      </w:r>
      <w:r w:rsidR="00E92E3C" w:rsidRPr="00C348C5">
        <w:rPr>
          <w:rFonts w:eastAsia="Calibri" w:cs="Calibri"/>
          <w:color w:val="000000"/>
          <w:lang w:eastAsia="it-IT"/>
        </w:rPr>
        <w:t xml:space="preserve"> Control</w:t>
      </w:r>
      <w:r w:rsidR="00EF351A" w:rsidRPr="00C348C5">
        <w:rPr>
          <w:rFonts w:eastAsia="Calibri" w:cs="Calibri"/>
          <w:color w:val="000000"/>
          <w:lang w:eastAsia="it-IT"/>
        </w:rPr>
        <w:t xml:space="preserve"> nel dosaggio da 20 mg</w:t>
      </w:r>
      <w:r w:rsidR="00E92E3C" w:rsidRPr="00C348C5">
        <w:rPr>
          <w:rFonts w:eastAsia="Calibri" w:cs="Calibri"/>
          <w:color w:val="000000"/>
          <w:lang w:eastAsia="it-IT"/>
        </w:rPr>
        <w:t>, modificando le indicazioni terapeutiche per ottenere lo status di OTC. L’</w:t>
      </w:r>
      <w:r w:rsidR="00E92E3C" w:rsidRPr="00C348C5">
        <w:rPr>
          <w:rFonts w:eastAsia="Calibri" w:cs="Calibri"/>
          <w:i/>
          <w:color w:val="000000"/>
          <w:lang w:eastAsia="it-IT"/>
        </w:rPr>
        <w:t>European</w:t>
      </w:r>
      <w:r w:rsidR="00E92E3C" w:rsidRPr="00C348C5">
        <w:rPr>
          <w:rFonts w:eastAsia="Calibri" w:cs="Calibri"/>
          <w:color w:val="000000"/>
          <w:lang w:eastAsia="it-IT"/>
        </w:rPr>
        <w:t xml:space="preserve"> </w:t>
      </w:r>
      <w:r w:rsidR="00E92E3C" w:rsidRPr="00C348C5">
        <w:rPr>
          <w:rFonts w:eastAsia="Calibri" w:cs="Calibri"/>
          <w:i/>
          <w:color w:val="000000"/>
          <w:lang w:eastAsia="it-IT"/>
        </w:rPr>
        <w:t>Public Assessment Report</w:t>
      </w:r>
      <w:r w:rsidR="00E92E3C" w:rsidRPr="00C348C5">
        <w:rPr>
          <w:rFonts w:eastAsia="Calibri" w:cs="Calibri"/>
          <w:color w:val="000000"/>
          <w:lang w:eastAsia="it-IT"/>
        </w:rPr>
        <w:t xml:space="preserve"> (EPAR) di Pant</w:t>
      </w:r>
      <w:r w:rsidR="00C348C5" w:rsidRPr="00C348C5">
        <w:rPr>
          <w:rFonts w:eastAsia="Calibri" w:cs="Calibri"/>
          <w:color w:val="000000"/>
          <w:lang w:eastAsia="it-IT"/>
        </w:rPr>
        <w:t>ecta</w:t>
      </w:r>
      <w:r w:rsidR="00E92E3C" w:rsidRPr="00C348C5">
        <w:rPr>
          <w:rFonts w:eastAsia="Calibri" w:cs="Calibri"/>
          <w:color w:val="000000"/>
          <w:lang w:eastAsia="it-IT"/>
        </w:rPr>
        <w:t xml:space="preserve"> Control può essere consultato sul sito dell’Agenzia Europea dei medicinali (</w:t>
      </w:r>
      <w:r w:rsidR="00E92E3C" w:rsidRPr="00C348C5">
        <w:rPr>
          <w:rFonts w:eastAsia="Calibri" w:cs="Calibri"/>
          <w:i/>
          <w:color w:val="000000"/>
          <w:lang w:eastAsia="it-IT"/>
        </w:rPr>
        <w:t>European Medicinal Agency</w:t>
      </w:r>
      <w:r w:rsidR="00E92E3C" w:rsidRPr="00C348C5">
        <w:rPr>
          <w:rFonts w:eastAsia="Calibri" w:cs="Calibri"/>
          <w:color w:val="000000"/>
          <w:lang w:eastAsia="it-IT"/>
        </w:rPr>
        <w:t xml:space="preserve"> – EMA) </w:t>
      </w:r>
    </w:p>
    <w:p w:rsidR="00C348C5" w:rsidRDefault="00E92E3C" w:rsidP="00E92E3C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C348C5">
        <w:rPr>
          <w:rFonts w:eastAsia="Calibri" w:cs="Calibri"/>
          <w:color w:val="000000"/>
          <w:lang w:eastAsia="it-IT"/>
        </w:rPr>
        <w:t>(</w:t>
      </w:r>
      <w:hyperlink r:id="rId8" w:history="1">
        <w:r w:rsidRPr="00C348C5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Pr="00C348C5">
        <w:rPr>
          <w:rFonts w:eastAsia="Calibri" w:cs="Calibri"/>
          <w:bCs/>
          <w:color w:val="000000"/>
          <w:lang w:eastAsia="it-IT"/>
        </w:rPr>
        <w:t>)</w:t>
      </w:r>
      <w:r w:rsidR="00C348C5">
        <w:rPr>
          <w:rFonts w:eastAsia="Calibri" w:cs="Calibri"/>
          <w:bCs/>
          <w:color w:val="000000"/>
          <w:lang w:eastAsia="it-IT"/>
        </w:rPr>
        <w:t>, sebbene questo medicinale non è più commercializzato per motivi puramente commerciali</w:t>
      </w:r>
      <w:r w:rsidRPr="00C348C5">
        <w:rPr>
          <w:rFonts w:eastAsia="Calibri" w:cs="Calibri"/>
          <w:bCs/>
          <w:color w:val="000000"/>
          <w:lang w:eastAsia="it-IT"/>
        </w:rPr>
        <w:t>.</w:t>
      </w:r>
      <w:r w:rsidR="00BF5ECD" w:rsidRPr="000A4FD2">
        <w:rPr>
          <w:rFonts w:eastAsia="Calibri" w:cs="Calibri"/>
          <w:bCs/>
          <w:color w:val="000000"/>
          <w:lang w:eastAsia="it-IT"/>
        </w:rPr>
        <w:t xml:space="preserve"> </w:t>
      </w:r>
    </w:p>
    <w:p w:rsidR="00417711" w:rsidRPr="000A4FD2" w:rsidRDefault="00C348C5" w:rsidP="00E92E3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Pantoflux</w:t>
      </w:r>
      <w:r w:rsidR="00EF351A" w:rsidRPr="000A4FD2">
        <w:rPr>
          <w:rFonts w:eastAsia="Calibri" w:cs="Calibri"/>
          <w:bCs/>
          <w:color w:val="000000"/>
          <w:lang w:eastAsia="it-IT"/>
        </w:rPr>
        <w:t xml:space="preserve"> </w:t>
      </w:r>
      <w:r w:rsidR="00BF5ECD" w:rsidRPr="000A4FD2">
        <w:rPr>
          <w:rFonts w:eastAsia="Calibri" w:cs="Calibri"/>
          <w:bCs/>
          <w:color w:val="000000"/>
          <w:lang w:eastAsia="it-IT"/>
        </w:rPr>
        <w:t>fa riferimento per le indicazioni terapeutiche a</w:t>
      </w:r>
      <w:r w:rsidR="000A4FD2" w:rsidRPr="000A4FD2">
        <w:rPr>
          <w:rFonts w:eastAsia="Calibri" w:cs="Calibri"/>
          <w:bCs/>
          <w:color w:val="000000"/>
          <w:lang w:eastAsia="it-IT"/>
        </w:rPr>
        <w:t>l medicinale</w:t>
      </w:r>
      <w:r w:rsidR="00BF5ECD" w:rsidRPr="000A4FD2">
        <w:rPr>
          <w:rFonts w:eastAsia="Calibri" w:cs="Calibri"/>
          <w:bCs/>
          <w:color w:val="000000"/>
          <w:lang w:eastAsia="it-IT"/>
        </w:rPr>
        <w:t xml:space="preserve"> Pant</w:t>
      </w:r>
      <w:r>
        <w:rPr>
          <w:rFonts w:eastAsia="Calibri" w:cs="Calibri"/>
          <w:bCs/>
          <w:color w:val="000000"/>
          <w:lang w:eastAsia="it-IT"/>
        </w:rPr>
        <w:t>ecta</w:t>
      </w:r>
      <w:r w:rsidR="00BF5ECD" w:rsidRPr="000A4FD2">
        <w:rPr>
          <w:rFonts w:eastAsia="Calibri" w:cs="Calibri"/>
          <w:bCs/>
          <w:color w:val="000000"/>
          <w:lang w:eastAsia="it-IT"/>
        </w:rPr>
        <w:t xml:space="preserve"> Control.</w:t>
      </w:r>
    </w:p>
    <w:p w:rsidR="00452241" w:rsidRPr="000A4FD2" w:rsidRDefault="00C348C5" w:rsidP="00BF5ECD">
      <w:pPr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Pantoflux</w:t>
      </w:r>
      <w:r w:rsidR="00EF351A" w:rsidRPr="000A4FD2">
        <w:t xml:space="preserve"> </w:t>
      </w:r>
      <w:r w:rsidR="00984E3F" w:rsidRPr="000A4FD2">
        <w:t xml:space="preserve">è usato per il </w:t>
      </w:r>
      <w:r w:rsidR="00BF5ECD" w:rsidRPr="000A4FD2">
        <w:t>trattamento a breve termine dei sintomi da reflusso (ad esempio bruciore di stomaco, rigurgito acido) negli adulti.</w:t>
      </w:r>
    </w:p>
    <w:p w:rsidR="00E92E3C" w:rsidRPr="000A4FD2" w:rsidRDefault="00E92E3C" w:rsidP="00E92E3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0A4FD2" w:rsidRPr="000A4FD2" w:rsidRDefault="000A4FD2" w:rsidP="00E92E3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A4FD2" w:rsidRDefault="004241AC" w:rsidP="00E92E3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4FD2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r w:rsidR="005F0934">
        <w:rPr>
          <w:rFonts w:eastAsia="Calibri" w:cs="Calibri"/>
          <w:b/>
          <w:color w:val="000000"/>
          <w:lang w:eastAsia="it-IT"/>
        </w:rPr>
        <w:t>Pantoflux</w:t>
      </w:r>
      <w:r w:rsidRPr="000A4FD2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0A4FD2" w:rsidRDefault="005F0934" w:rsidP="00E92E3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Pantoflux</w:t>
      </w:r>
      <w:r w:rsidR="00EF351A" w:rsidRPr="000A4FD2">
        <w:rPr>
          <w:rFonts w:eastAsia="Calibri" w:cs="Calibri"/>
          <w:color w:val="000000"/>
          <w:lang w:eastAsia="it-IT"/>
        </w:rPr>
        <w:t xml:space="preserve"> </w:t>
      </w:r>
      <w:r w:rsidR="00E92E3C" w:rsidRPr="000A4FD2">
        <w:rPr>
          <w:rFonts w:eastAsia="Calibri" w:cs="Calibri"/>
          <w:color w:val="000000"/>
          <w:lang w:eastAsia="it-IT"/>
        </w:rPr>
        <w:t>è un medicinale di automedicazione (OTC) e non necessita di prescrizione del medico</w:t>
      </w:r>
      <w:r w:rsidR="004241AC" w:rsidRPr="000A4FD2">
        <w:rPr>
          <w:rFonts w:eastAsia="Calibri" w:cs="Calibri"/>
          <w:color w:val="000000"/>
          <w:lang w:eastAsia="it-IT"/>
        </w:rPr>
        <w:t>.</w:t>
      </w:r>
    </w:p>
    <w:p w:rsidR="00984E3F" w:rsidRPr="000A4FD2" w:rsidRDefault="00E92E3C" w:rsidP="00E92E3C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0A4FD2">
        <w:rPr>
          <w:lang w:eastAsia="it-IT"/>
        </w:rPr>
        <w:t>L</w:t>
      </w:r>
      <w:r w:rsidR="00984E3F" w:rsidRPr="000A4FD2">
        <w:rPr>
          <w:lang w:eastAsia="it-IT"/>
        </w:rPr>
        <w:t>a dose raccomandata negli a</w:t>
      </w:r>
      <w:r w:rsidR="00984E3F" w:rsidRPr="000A4FD2">
        <w:rPr>
          <w:iCs/>
          <w:lang w:eastAsia="it-IT"/>
        </w:rPr>
        <w:t xml:space="preserve">dulti </w:t>
      </w:r>
      <w:r w:rsidRPr="000A4FD2">
        <w:rPr>
          <w:iCs/>
          <w:lang w:eastAsia="it-IT"/>
        </w:rPr>
        <w:t>è</w:t>
      </w:r>
      <w:r w:rsidR="00984E3F" w:rsidRPr="000A4FD2">
        <w:rPr>
          <w:lang w:eastAsia="it-IT"/>
        </w:rPr>
        <w:t xml:space="preserve"> una compressa al giorno. </w:t>
      </w:r>
      <w:r w:rsidR="000A4FD2" w:rsidRPr="000A4FD2">
        <w:rPr>
          <w:lang w:eastAsia="it-IT"/>
        </w:rPr>
        <w:t>Potrebbe essere necessario assumere le compresse per 2-3 giorni consecutivi per raggiungere un miglioramento dei sintomi. Una volta raggiunta la completa guarigione dei sintomi, il trattamento deve essere sospeso.</w:t>
      </w:r>
    </w:p>
    <w:p w:rsidR="00E92E3C" w:rsidRPr="000A4FD2" w:rsidRDefault="00E92E3C" w:rsidP="00452241">
      <w:pPr>
        <w:autoSpaceDE w:val="0"/>
        <w:autoSpaceDN w:val="0"/>
        <w:adjustRightInd w:val="0"/>
        <w:spacing w:after="0" w:line="240" w:lineRule="auto"/>
        <w:jc w:val="both"/>
      </w:pPr>
      <w:r w:rsidRPr="000A4FD2">
        <w:t xml:space="preserve">L’uso di questo medicinale non è raccomandato nei bambini ed adolescenti al di sotto di 18 anni a causa della </w:t>
      </w:r>
      <w:r w:rsidR="005F0934">
        <w:t>mancanza</w:t>
      </w:r>
      <w:r w:rsidRPr="000A4FD2">
        <w:t xml:space="preserve"> di dati sulla sicurezza e sull’efficacia in questa fascia di età. </w:t>
      </w:r>
    </w:p>
    <w:p w:rsidR="004241AC" w:rsidRPr="000A4FD2" w:rsidRDefault="00E92E3C" w:rsidP="00452241">
      <w:pPr>
        <w:autoSpaceDE w:val="0"/>
        <w:autoSpaceDN w:val="0"/>
        <w:adjustRightInd w:val="0"/>
        <w:spacing w:after="0" w:line="240" w:lineRule="auto"/>
        <w:jc w:val="both"/>
      </w:pPr>
      <w:r w:rsidRPr="000A4FD2">
        <w:t xml:space="preserve">Le compresse non devono essere masticate o frantumate, e devono essere deglutite intere </w:t>
      </w:r>
      <w:r w:rsidR="005F0934">
        <w:t>bevendo</w:t>
      </w:r>
      <w:r w:rsidRPr="000A4FD2">
        <w:t xml:space="preserve"> </w:t>
      </w:r>
      <w:r w:rsidR="005F0934">
        <w:t>acqua</w:t>
      </w:r>
      <w:r w:rsidRPr="000A4FD2">
        <w:t xml:space="preserve"> prima del pasto.</w:t>
      </w:r>
    </w:p>
    <w:p w:rsidR="00E92E3C" w:rsidRPr="000A4FD2" w:rsidRDefault="00E92E3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84E3F" w:rsidRPr="000A4FD2" w:rsidRDefault="00984E3F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A4FD2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5F0934">
        <w:rPr>
          <w:rFonts w:eastAsia="Calibri" w:cs="Calibri"/>
          <w:b/>
          <w:color w:val="000000"/>
          <w:lang w:eastAsia="it-IT"/>
        </w:rPr>
        <w:t>Pantoflux</w:t>
      </w:r>
      <w:r w:rsidRPr="000A4FD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0A4FD2" w:rsidRDefault="005F0934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eastAsia="Calibri" w:cs="Calibri"/>
          <w:color w:val="000000"/>
          <w:lang w:eastAsia="it-IT"/>
        </w:rPr>
        <w:t>Pantoflux</w:t>
      </w:r>
      <w:r w:rsidR="006E45EF" w:rsidRPr="000A4FD2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EA6DE1" w:rsidRPr="000A4FD2">
        <w:t>A02BC02</w:t>
      </w:r>
      <w:r w:rsidR="006E45EF" w:rsidRPr="000A4FD2">
        <w:rPr>
          <w:rFonts w:eastAsia="DejaVuSans" w:cs="DejaVuSans"/>
        </w:rPr>
        <w:t>,</w:t>
      </w:r>
      <w:r w:rsidR="00E43089" w:rsidRPr="000A4FD2">
        <w:rPr>
          <w:rFonts w:eastAsia="DejaVuSans" w:cs="DejaVuSans"/>
        </w:rPr>
        <w:t xml:space="preserve"> </w:t>
      </w:r>
      <w:r w:rsidR="004241AC" w:rsidRPr="000A4FD2">
        <w:rPr>
          <w:rFonts w:eastAsia="Calibri" w:cs="Calibri"/>
          <w:color w:val="000000"/>
          <w:lang w:eastAsia="it-IT"/>
        </w:rPr>
        <w:t>contiene i</w:t>
      </w:r>
      <w:r w:rsidR="00EF062E" w:rsidRPr="000A4FD2">
        <w:rPr>
          <w:rFonts w:eastAsia="Calibri" w:cs="Calibri"/>
          <w:color w:val="000000"/>
          <w:lang w:eastAsia="it-IT"/>
        </w:rPr>
        <w:t>l</w:t>
      </w:r>
      <w:r w:rsidR="004241AC" w:rsidRPr="000A4FD2">
        <w:rPr>
          <w:rFonts w:eastAsia="Calibri" w:cs="Calibri"/>
          <w:color w:val="000000"/>
          <w:lang w:eastAsia="it-IT"/>
        </w:rPr>
        <w:t xml:space="preserve"> principi</w:t>
      </w:r>
      <w:r w:rsidR="00EF062E" w:rsidRPr="000A4FD2">
        <w:rPr>
          <w:rFonts w:eastAsia="Calibri" w:cs="Calibri"/>
          <w:color w:val="000000"/>
          <w:lang w:eastAsia="it-IT"/>
        </w:rPr>
        <w:t>o</w:t>
      </w:r>
      <w:r w:rsidR="004241AC" w:rsidRPr="000A4FD2">
        <w:rPr>
          <w:rFonts w:eastAsia="Calibri" w:cs="Calibri"/>
          <w:color w:val="000000"/>
          <w:lang w:eastAsia="it-IT"/>
        </w:rPr>
        <w:t xml:space="preserve"> attiv</w:t>
      </w:r>
      <w:r w:rsidR="00EF062E" w:rsidRPr="000A4FD2">
        <w:rPr>
          <w:rFonts w:eastAsia="Calibri" w:cs="Calibri"/>
          <w:color w:val="000000"/>
          <w:lang w:eastAsia="it-IT"/>
        </w:rPr>
        <w:t>o</w:t>
      </w:r>
      <w:r w:rsidR="004241AC" w:rsidRPr="000A4FD2">
        <w:rPr>
          <w:rFonts w:eastAsia="Calibri" w:cs="Calibri"/>
          <w:color w:val="000000"/>
          <w:lang w:eastAsia="it-IT"/>
        </w:rPr>
        <w:t xml:space="preserve"> </w:t>
      </w:r>
      <w:r w:rsidR="00F730DA" w:rsidRPr="000A4FD2">
        <w:rPr>
          <w:rFonts w:eastAsia="Calibri" w:cs="Calibri"/>
          <w:color w:val="000000"/>
          <w:lang w:eastAsia="it-IT"/>
        </w:rPr>
        <w:t>pantoprazolo</w:t>
      </w:r>
      <w:r w:rsidR="006E45EF" w:rsidRPr="000A4FD2">
        <w:rPr>
          <w:rFonts w:eastAsia="Calibri" w:cs="Calibri"/>
          <w:color w:val="000000"/>
          <w:lang w:eastAsia="it-IT"/>
        </w:rPr>
        <w:t xml:space="preserve"> che </w:t>
      </w:r>
      <w:r w:rsidR="00BA7D67" w:rsidRPr="000A4FD2">
        <w:rPr>
          <w:rFonts w:eastAsia="DejaVuSans" w:cs="DejaVuSans"/>
        </w:rPr>
        <w:t>appartiene alla classe dei composti antisecretori</w:t>
      </w:r>
      <w:r w:rsidR="00076ADA" w:rsidRPr="000A4FD2">
        <w:rPr>
          <w:rFonts w:eastAsia="DejaVuSans" w:cs="DejaVuSans"/>
        </w:rPr>
        <w:t>, cioè</w:t>
      </w:r>
      <w:r w:rsidR="00BA7D67" w:rsidRPr="000A4FD2">
        <w:rPr>
          <w:rFonts w:eastAsia="DejaVuSans" w:cs="DejaVuSans"/>
        </w:rPr>
        <w:t xml:space="preserve"> che sopprimono la secrezione acida </w:t>
      </w:r>
      <w:r w:rsidR="00076ADA" w:rsidRPr="000A4FD2">
        <w:rPr>
          <w:rFonts w:eastAsia="DejaVuSans" w:cs="DejaVuSans"/>
        </w:rPr>
        <w:t>dello stomaco</w:t>
      </w:r>
      <w:r w:rsidR="00BA7D67" w:rsidRPr="000A4FD2">
        <w:rPr>
          <w:rFonts w:eastAsia="DejaVuSans" w:cs="DejaVuSans"/>
        </w:rPr>
        <w:t xml:space="preserve"> per inibizione specifica di un enzima che attiva la pompa acida o protonica.</w:t>
      </w:r>
    </w:p>
    <w:p w:rsidR="004241AC" w:rsidRPr="000A4FD2" w:rsidRDefault="004241AC" w:rsidP="0045224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0A4FD2" w:rsidRDefault="00BA7D67" w:rsidP="0045224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A4FD2">
        <w:rPr>
          <w:rFonts w:eastAsia="Calibri" w:cs="Calibri"/>
          <w:b/>
          <w:bCs/>
          <w:lang w:eastAsia="it-IT"/>
        </w:rPr>
        <w:t xml:space="preserve">4) COME È STATO STUDIATO </w:t>
      </w:r>
      <w:r w:rsidR="005F0934">
        <w:rPr>
          <w:rFonts w:eastAsia="Calibri" w:cs="Calibri"/>
          <w:b/>
          <w:color w:val="000000"/>
          <w:lang w:eastAsia="it-IT"/>
        </w:rPr>
        <w:t>Pantoflux</w:t>
      </w:r>
      <w:r w:rsidRPr="000A4FD2">
        <w:rPr>
          <w:rFonts w:eastAsia="Calibri" w:cs="Calibri"/>
          <w:b/>
          <w:bCs/>
          <w:lang w:eastAsia="it-IT"/>
        </w:rPr>
        <w:t xml:space="preserve">? </w:t>
      </w:r>
    </w:p>
    <w:p w:rsidR="00AD4493" w:rsidRPr="00233AF5" w:rsidRDefault="00AD4493" w:rsidP="00AD4493">
      <w:pPr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>Poiché Panto</w:t>
      </w:r>
      <w:r>
        <w:rPr>
          <w:rFonts w:cs="Arial"/>
        </w:rPr>
        <w:t xml:space="preserve">flux </w:t>
      </w:r>
      <w:r w:rsidRPr="00233AF5">
        <w:rPr>
          <w:rFonts w:cs="Arial"/>
        </w:rPr>
        <w:t>è un medicinale generico, è stato sufficiente effettuare prove cliniche per determinare</w:t>
      </w:r>
      <w:r w:rsidRPr="00233AF5">
        <w:rPr>
          <w:rFonts w:cs="Arial"/>
          <w:b/>
        </w:rPr>
        <w:t xml:space="preserve"> </w:t>
      </w:r>
      <w:r w:rsidRPr="00233AF5">
        <w:rPr>
          <w:rFonts w:cs="Arial"/>
        </w:rPr>
        <w:t xml:space="preserve">la bioequivalenza rispetto al medicinale </w:t>
      </w:r>
      <w:r>
        <w:rPr>
          <w:rFonts w:cs="Arial"/>
        </w:rPr>
        <w:t>Eupantol</w:t>
      </w:r>
      <w:r w:rsidRPr="00233AF5">
        <w:rPr>
          <w:rFonts w:cs="Arial"/>
        </w:rPr>
        <w:t xml:space="preserve"> (medicinale autorizzato in </w:t>
      </w:r>
      <w:r>
        <w:rPr>
          <w:rFonts w:cs="Arial"/>
        </w:rPr>
        <w:t>Francia</w:t>
      </w:r>
      <w:r w:rsidRPr="00233AF5">
        <w:rPr>
          <w:rFonts w:cs="Arial"/>
        </w:rPr>
        <w:t xml:space="preserve"> corrispondente in Italia al medicinale di riferimento Pantecta). Due medicinali sono bioequivalenti quando producono gli stessi livelli di principio attivo nell’organismo. </w:t>
      </w: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A4FD2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AD4493">
        <w:rPr>
          <w:rFonts w:eastAsia="Calibri" w:cs="Calibri"/>
          <w:b/>
          <w:color w:val="000000"/>
          <w:lang w:eastAsia="it-IT"/>
        </w:rPr>
        <w:t>Pantoflux</w:t>
      </w:r>
      <w:r w:rsidRPr="000A4FD2">
        <w:rPr>
          <w:rFonts w:eastAsia="Calibri" w:cs="Calibri"/>
          <w:b/>
          <w:lang w:eastAsia="it-IT"/>
        </w:rPr>
        <w:t>?</w:t>
      </w:r>
      <w:r w:rsidRPr="000A4FD2">
        <w:rPr>
          <w:rFonts w:eastAsia="Calibri" w:cs="Calibri"/>
          <w:lang w:eastAsia="it-IT"/>
        </w:rPr>
        <w:t xml:space="preserve"> </w:t>
      </w:r>
    </w:p>
    <w:p w:rsidR="004241AC" w:rsidRPr="000A4FD2" w:rsidRDefault="00AD4493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Pantoflux</w:t>
      </w:r>
      <w:r w:rsidR="009B03DB" w:rsidRPr="000A4FD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A4FD2">
        <w:rPr>
          <w:rFonts w:eastAsia="Calibri" w:cs="Calibri"/>
          <w:lang w:eastAsia="it-IT"/>
        </w:rPr>
        <w:t xml:space="preserve">è un medicinale </w:t>
      </w:r>
      <w:r w:rsidR="00013020" w:rsidRPr="000A4FD2">
        <w:rPr>
          <w:rFonts w:eastAsia="Calibri" w:cs="Calibri"/>
          <w:lang w:eastAsia="it-IT"/>
        </w:rPr>
        <w:t>generico ed è bioequivale</w:t>
      </w:r>
      <w:r w:rsidR="009B03DB" w:rsidRPr="000A4FD2">
        <w:rPr>
          <w:rFonts w:eastAsia="Calibri" w:cs="Calibri"/>
          <w:lang w:eastAsia="it-IT"/>
        </w:rPr>
        <w:t>n</w:t>
      </w:r>
      <w:r w:rsidR="00013020" w:rsidRPr="000A4FD2">
        <w:rPr>
          <w:rFonts w:eastAsia="Calibri" w:cs="Calibri"/>
          <w:lang w:eastAsia="it-IT"/>
        </w:rPr>
        <w:t>te al medicinale di riferimento</w:t>
      </w:r>
      <w:r w:rsidR="00BA7D67" w:rsidRPr="000A4FD2">
        <w:rPr>
          <w:rFonts w:eastAsia="Calibri" w:cs="Calibri"/>
          <w:lang w:eastAsia="it-IT"/>
        </w:rPr>
        <w:t xml:space="preserve">; pertanto, </w:t>
      </w:r>
      <w:r w:rsidR="00013020" w:rsidRPr="000A4FD2">
        <w:rPr>
          <w:rFonts w:eastAsia="Calibri" w:cs="Calibri"/>
          <w:lang w:eastAsia="it-IT"/>
        </w:rPr>
        <w:t>i suoi</w:t>
      </w:r>
      <w:r w:rsidR="004241AC" w:rsidRPr="000A4FD2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0A4FD2">
        <w:rPr>
          <w:rFonts w:eastAsia="Calibri" w:cs="Calibri"/>
          <w:lang w:eastAsia="it-IT"/>
        </w:rPr>
        <w:t>l</w:t>
      </w:r>
      <w:r w:rsidR="004241AC" w:rsidRPr="000A4FD2">
        <w:rPr>
          <w:rFonts w:eastAsia="Calibri" w:cs="Calibri"/>
          <w:lang w:eastAsia="it-IT"/>
        </w:rPr>
        <w:t xml:space="preserve"> medicinal</w:t>
      </w:r>
      <w:r w:rsidR="00013020" w:rsidRPr="000A4FD2">
        <w:rPr>
          <w:rFonts w:eastAsia="Calibri" w:cs="Calibri"/>
          <w:lang w:eastAsia="it-IT"/>
        </w:rPr>
        <w:t>e</w:t>
      </w:r>
      <w:r w:rsidR="004241AC" w:rsidRPr="000A4FD2">
        <w:rPr>
          <w:rFonts w:eastAsia="Calibri" w:cs="Calibri"/>
          <w:lang w:eastAsia="it-IT"/>
        </w:rPr>
        <w:t xml:space="preserve"> di riferimento. </w:t>
      </w: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52241" w:rsidRPr="000A4FD2" w:rsidRDefault="00452241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A4FD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A4FD2">
        <w:rPr>
          <w:rFonts w:eastAsia="Calibri" w:cs="Calibri"/>
          <w:b/>
          <w:bCs/>
          <w:lang w:eastAsia="it-IT"/>
        </w:rPr>
        <w:t xml:space="preserve">6) PERCHE’ </w:t>
      </w:r>
      <w:r w:rsidR="00AD4493">
        <w:rPr>
          <w:rFonts w:eastAsia="Calibri" w:cs="Calibri"/>
          <w:b/>
          <w:color w:val="000000"/>
          <w:lang w:eastAsia="it-IT"/>
        </w:rPr>
        <w:t>Pantoflux</w:t>
      </w:r>
      <w:r w:rsidR="00EF351A" w:rsidRPr="000A4FD2">
        <w:rPr>
          <w:rFonts w:eastAsia="Calibri" w:cs="Calibri"/>
          <w:b/>
          <w:bCs/>
          <w:lang w:eastAsia="it-IT"/>
        </w:rPr>
        <w:t xml:space="preserve"> </w:t>
      </w:r>
      <w:r w:rsidRPr="000A4FD2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A4FD2">
        <w:rPr>
          <w:rFonts w:eastAsia="Calibri" w:cs="Calibri"/>
          <w:lang w:eastAsia="it-IT"/>
        </w:rPr>
        <w:t xml:space="preserve">La Commissione Tecnico Scientifica (CTS), nella </w:t>
      </w:r>
      <w:r w:rsidRPr="009C69A7">
        <w:rPr>
          <w:rFonts w:eastAsia="Calibri" w:cs="Calibri"/>
          <w:lang w:eastAsia="it-IT"/>
        </w:rPr>
        <w:t xml:space="preserve">seduta del </w:t>
      </w:r>
      <w:r w:rsidR="00AD4493">
        <w:rPr>
          <w:rFonts w:eastAsia="Calibri" w:cs="Calibri"/>
          <w:lang w:eastAsia="it-IT"/>
        </w:rPr>
        <w:t>5-8</w:t>
      </w:r>
      <w:r w:rsidR="009C69A7" w:rsidRPr="009C69A7">
        <w:rPr>
          <w:rFonts w:eastAsia="Calibri" w:cs="Calibri"/>
          <w:lang w:eastAsia="it-IT"/>
        </w:rPr>
        <w:t xml:space="preserve"> ma</w:t>
      </w:r>
      <w:r w:rsidR="00AD4493">
        <w:rPr>
          <w:rFonts w:eastAsia="Calibri" w:cs="Calibri"/>
          <w:lang w:eastAsia="it-IT"/>
        </w:rPr>
        <w:t>rz</w:t>
      </w:r>
      <w:r w:rsidR="009C69A7" w:rsidRPr="009C69A7">
        <w:rPr>
          <w:rFonts w:eastAsia="Calibri" w:cs="Calibri"/>
          <w:lang w:eastAsia="it-IT"/>
        </w:rPr>
        <w:t>o</w:t>
      </w:r>
      <w:r w:rsidR="00A810A3" w:rsidRPr="009C69A7">
        <w:rPr>
          <w:rFonts w:eastAsia="Calibri" w:cs="Calibri"/>
          <w:lang w:eastAsia="it-IT"/>
        </w:rPr>
        <w:t xml:space="preserve"> 201</w:t>
      </w:r>
      <w:r w:rsidR="00AD4493">
        <w:rPr>
          <w:rFonts w:eastAsia="Calibri" w:cs="Calibri"/>
          <w:lang w:eastAsia="it-IT"/>
        </w:rPr>
        <w:t>9</w:t>
      </w:r>
      <w:r w:rsidRPr="009C69A7">
        <w:rPr>
          <w:rFonts w:eastAsia="Calibri" w:cs="Calibri"/>
          <w:lang w:eastAsia="it-IT"/>
        </w:rPr>
        <w:t>, ha</w:t>
      </w:r>
      <w:r w:rsidRPr="000A4FD2">
        <w:rPr>
          <w:rFonts w:eastAsia="Calibri" w:cs="Calibri"/>
          <w:lang w:eastAsia="it-IT"/>
        </w:rPr>
        <w:t xml:space="preserve"> concluso che, conformemente ai requisiti della normativa vigente, come nel caso </w:t>
      </w:r>
      <w:r w:rsidR="00D20170" w:rsidRPr="000A4FD2">
        <w:rPr>
          <w:rFonts w:eastAsia="Calibri" w:cs="Calibri"/>
          <w:lang w:eastAsia="it-IT"/>
        </w:rPr>
        <w:t>del</w:t>
      </w:r>
      <w:r w:rsidRPr="000A4FD2">
        <w:rPr>
          <w:rFonts w:eastAsia="Calibri" w:cs="Calibri"/>
          <w:lang w:eastAsia="it-IT"/>
        </w:rPr>
        <w:t xml:space="preserve"> medicinal</w:t>
      </w:r>
      <w:r w:rsidR="00D20170" w:rsidRPr="000A4FD2">
        <w:rPr>
          <w:rFonts w:eastAsia="Calibri" w:cs="Calibri"/>
          <w:lang w:eastAsia="it-IT"/>
        </w:rPr>
        <w:t>e</w:t>
      </w:r>
      <w:r w:rsidRPr="000A4FD2">
        <w:rPr>
          <w:rFonts w:eastAsia="Calibri" w:cs="Calibri"/>
          <w:lang w:eastAsia="it-IT"/>
        </w:rPr>
        <w:t xml:space="preserve"> di riferimento </w:t>
      </w:r>
      <w:r w:rsidR="00F730DA" w:rsidRPr="000A4FD2">
        <w:rPr>
          <w:rFonts w:eastAsia="Calibri" w:cs="Calibri"/>
          <w:lang w:eastAsia="it-IT"/>
        </w:rPr>
        <w:t>Pant</w:t>
      </w:r>
      <w:r w:rsidR="00AD4493">
        <w:rPr>
          <w:rFonts w:eastAsia="Calibri" w:cs="Calibri"/>
          <w:lang w:eastAsia="it-IT"/>
        </w:rPr>
        <w:t>ecta</w:t>
      </w:r>
      <w:r w:rsidRPr="000A4FD2">
        <w:rPr>
          <w:rFonts w:eastAsia="Calibri" w:cs="Calibri"/>
          <w:lang w:eastAsia="it-IT"/>
        </w:rPr>
        <w:t xml:space="preserve">, i benefici di </w:t>
      </w:r>
      <w:r w:rsidR="00AD4493">
        <w:rPr>
          <w:rFonts w:eastAsia="Calibri" w:cs="Calibri"/>
          <w:lang w:eastAsia="it-IT"/>
        </w:rPr>
        <w:t>Pantoflux</w:t>
      </w:r>
      <w:r w:rsidR="009B03DB" w:rsidRPr="000A4FD2">
        <w:rPr>
          <w:rFonts w:eastAsia="Calibri" w:cs="Calibri"/>
          <w:lang w:eastAsia="it-IT"/>
        </w:rPr>
        <w:t xml:space="preserve"> </w:t>
      </w:r>
      <w:r w:rsidR="00F97B34" w:rsidRPr="000A4FD2">
        <w:rPr>
          <w:rFonts w:eastAsia="Calibri" w:cs="Calibri"/>
          <w:lang w:eastAsia="it-IT"/>
        </w:rPr>
        <w:t>sono</w:t>
      </w:r>
      <w:r w:rsidRPr="000A4FD2">
        <w:rPr>
          <w:rFonts w:eastAsia="Calibri" w:cs="Calibri"/>
          <w:lang w:eastAsia="it-IT"/>
        </w:rPr>
        <w:t xml:space="preserve"> superiori ai rischi individuati. La CTS ha, inoltre, definito le modalità di prescrizione di c</w:t>
      </w:r>
      <w:r w:rsidR="00076ADA" w:rsidRPr="000A4FD2">
        <w:rPr>
          <w:rFonts w:eastAsia="Calibri" w:cs="Calibri"/>
          <w:lang w:eastAsia="it-IT"/>
        </w:rPr>
        <w:t>ui</w:t>
      </w:r>
      <w:r w:rsidR="00076ADA" w:rsidRPr="00676B8A">
        <w:rPr>
          <w:rFonts w:eastAsia="Calibri" w:cs="Calibri"/>
          <w:lang w:eastAsia="it-IT"/>
        </w:rPr>
        <w:t xml:space="preserve"> al punto </w:t>
      </w:r>
      <w:r w:rsidRPr="00676B8A">
        <w:rPr>
          <w:rFonts w:eastAsia="Calibri" w:cs="Calibri"/>
          <w:lang w:eastAsia="it-IT"/>
        </w:rPr>
        <w:t>2) di questo Riassunto e la classe di rimborsabilità del medicinale</w:t>
      </w:r>
      <w:r w:rsidR="00D20170" w:rsidRPr="00676B8A">
        <w:rPr>
          <w:rFonts w:eastAsia="Calibri" w:cs="Calibri"/>
          <w:lang w:eastAsia="it-IT"/>
        </w:rPr>
        <w:t xml:space="preserve"> </w:t>
      </w:r>
      <w:r w:rsidRPr="00676B8A">
        <w:rPr>
          <w:rFonts w:eastAsia="Calibri" w:cs="Calibri"/>
          <w:lang w:eastAsia="it-IT"/>
        </w:rPr>
        <w:t>(</w:t>
      </w:r>
      <w:r w:rsidR="00BF5ECD">
        <w:rPr>
          <w:rFonts w:eastAsia="Calibri" w:cs="Calibri"/>
          <w:lang w:eastAsia="it-IT"/>
        </w:rPr>
        <w:t>Cbis</w:t>
      </w:r>
      <w:r w:rsidRPr="00452241">
        <w:rPr>
          <w:rFonts w:eastAsia="Calibri" w:cs="Calibri"/>
          <w:lang w:eastAsia="it-IT"/>
        </w:rPr>
        <w:t xml:space="preserve">). </w:t>
      </w:r>
    </w:p>
    <w:p w:rsidR="00874CF7" w:rsidRPr="00452241" w:rsidRDefault="00874CF7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AD4493">
        <w:rPr>
          <w:rFonts w:eastAsia="Calibri" w:cs="Calibri"/>
          <w:b/>
          <w:color w:val="000000"/>
          <w:lang w:eastAsia="it-IT"/>
        </w:rPr>
        <w:t>Pantoflux</w:t>
      </w:r>
      <w:r w:rsidRPr="0045224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52241" w:rsidRDefault="005E7072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Il titolare </w:t>
      </w:r>
      <w:r w:rsidR="004241AC" w:rsidRPr="00452241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AD4493">
        <w:rPr>
          <w:rFonts w:eastAsia="Calibri" w:cs="Calibri"/>
          <w:color w:val="000000"/>
          <w:lang w:eastAsia="it-IT"/>
        </w:rPr>
        <w:t>Pantoflux</w:t>
      </w:r>
      <w:r w:rsidR="004241AC" w:rsidRPr="00452241">
        <w:rPr>
          <w:rFonts w:eastAsia="Calibri" w:cs="Calibri"/>
          <w:lang w:eastAsia="it-IT"/>
        </w:rPr>
        <w:t>.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023C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23C2">
        <w:rPr>
          <w:rFonts w:eastAsia="Calibri" w:cs="Calibri"/>
          <w:b/>
          <w:bCs/>
          <w:lang w:eastAsia="it-IT"/>
        </w:rPr>
        <w:t xml:space="preserve">8) ALTRE INFORMAZIONI RELATIVE A </w:t>
      </w:r>
      <w:r w:rsidR="00AD4493">
        <w:rPr>
          <w:rFonts w:eastAsia="Calibri" w:cs="Calibri"/>
          <w:b/>
          <w:color w:val="000000"/>
          <w:lang w:eastAsia="it-IT"/>
        </w:rPr>
        <w:t>Pantoflux</w:t>
      </w:r>
    </w:p>
    <w:p w:rsidR="004241AC" w:rsidRPr="008023C2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023C2">
        <w:rPr>
          <w:rFonts w:eastAsia="Calibri" w:cs="Calibri"/>
          <w:bCs/>
          <w:iCs/>
          <w:lang w:eastAsia="it-IT"/>
        </w:rPr>
        <w:t xml:space="preserve">Il </w:t>
      </w:r>
      <w:r w:rsidR="00B440A5" w:rsidRPr="00B440A5">
        <w:rPr>
          <w:rFonts w:eastAsia="Calibri" w:cs="Calibri"/>
          <w:b/>
          <w:bCs/>
          <w:iCs/>
          <w:lang w:eastAsia="it-IT"/>
        </w:rPr>
        <w:t>16.07.2019</w:t>
      </w:r>
      <w:r w:rsidR="00B440A5">
        <w:rPr>
          <w:rFonts w:eastAsia="Calibri" w:cs="Calibri"/>
          <w:bCs/>
          <w:iCs/>
          <w:lang w:eastAsia="it-IT"/>
        </w:rPr>
        <w:t xml:space="preserve"> </w:t>
      </w:r>
      <w:r w:rsidRPr="008023C2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r w:rsidR="00AD4493">
        <w:rPr>
          <w:rFonts w:eastAsia="Calibri" w:cs="Calibri"/>
          <w:color w:val="000000"/>
          <w:lang w:eastAsia="it-IT"/>
        </w:rPr>
        <w:t>Pantoflux</w:t>
      </w:r>
      <w:r w:rsidRPr="008023C2">
        <w:rPr>
          <w:rFonts w:eastAsia="Calibri" w:cs="Calibri"/>
          <w:bCs/>
          <w:lang w:eastAsia="it-IT"/>
        </w:rPr>
        <w:t xml:space="preserve">. </w:t>
      </w:r>
    </w:p>
    <w:p w:rsidR="005D40D3" w:rsidRPr="008023C2" w:rsidRDefault="005D40D3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D40D3" w:rsidRPr="00452241" w:rsidRDefault="005D40D3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23C2">
        <w:rPr>
          <w:rFonts w:eastAsia="Calibri" w:cs="Calibri"/>
          <w:lang w:eastAsia="it-IT"/>
        </w:rPr>
        <w:t>La Relazione Pub</w:t>
      </w:r>
      <w:r w:rsidRPr="00452241">
        <w:rPr>
          <w:rFonts w:eastAsia="Calibri" w:cs="Calibri"/>
          <w:lang w:eastAsia="it-IT"/>
        </w:rPr>
        <w:t xml:space="preserve">blica di Valutazione completa segue questo Riassunto. </w:t>
      </w:r>
    </w:p>
    <w:p w:rsidR="004241AC" w:rsidRPr="00452241" w:rsidRDefault="004241AC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Per maggiori informazioni riguardo il trattamento con </w:t>
      </w:r>
      <w:r w:rsidR="00AD4493">
        <w:rPr>
          <w:rFonts w:eastAsia="Calibri" w:cs="Calibri"/>
          <w:color w:val="000000"/>
          <w:lang w:eastAsia="it-IT"/>
        </w:rPr>
        <w:t>Pantoflux</w:t>
      </w:r>
      <w:r w:rsidR="00EF351A" w:rsidRPr="00452241">
        <w:rPr>
          <w:rFonts w:eastAsia="Calibri" w:cs="Calibri"/>
          <w:lang w:eastAsia="it-IT"/>
        </w:rPr>
        <w:t xml:space="preserve"> </w:t>
      </w:r>
      <w:r w:rsidRPr="00452241">
        <w:rPr>
          <w:rFonts w:eastAsia="Calibri" w:cs="Calibri"/>
          <w:lang w:eastAsia="it-IT"/>
        </w:rPr>
        <w:t>si può leggere il foglio illustrativo</w:t>
      </w:r>
      <w:r w:rsidR="00D20170" w:rsidRPr="00452241">
        <w:rPr>
          <w:rFonts w:eastAsia="Calibri" w:cs="Calibri"/>
          <w:lang w:eastAsia="it-IT"/>
        </w:rPr>
        <w:t xml:space="preserve"> </w:t>
      </w:r>
      <w:r w:rsidR="00BB7C7D" w:rsidRPr="00452241">
        <w:rPr>
          <w:rFonts w:eastAsia="Calibri" w:cs="Calibri"/>
          <w:lang w:eastAsia="it-IT"/>
        </w:rPr>
        <w:t>(</w:t>
      </w:r>
      <w:hyperlink r:id="rId9" w:history="1">
        <w:r w:rsidR="00BB7C7D" w:rsidRPr="004522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7C7D" w:rsidRPr="00452241">
        <w:rPr>
          <w:rFonts w:eastAsia="Calibri" w:cs="Calibri"/>
          <w:lang w:eastAsia="it-IT"/>
        </w:rPr>
        <w:t xml:space="preserve">) </w:t>
      </w:r>
      <w:r w:rsidRPr="00452241">
        <w:rPr>
          <w:rFonts w:eastAsia="Calibri" w:cs="Calibri"/>
          <w:lang w:eastAsia="it-IT"/>
        </w:rPr>
        <w:t xml:space="preserve">o contattare il medico o </w:t>
      </w:r>
      <w:r w:rsidR="009B03DB" w:rsidRPr="00452241">
        <w:rPr>
          <w:rFonts w:eastAsia="Calibri" w:cs="Calibri"/>
          <w:lang w:eastAsia="it-IT"/>
        </w:rPr>
        <w:t xml:space="preserve">il </w:t>
      </w:r>
      <w:r w:rsidRPr="00452241">
        <w:rPr>
          <w:rFonts w:eastAsia="Calibri" w:cs="Calibri"/>
          <w:lang w:eastAsia="it-IT"/>
        </w:rPr>
        <w:t xml:space="preserve">farmacista. </w:t>
      </w:r>
    </w:p>
    <w:p w:rsidR="004241AC" w:rsidRPr="00452241" w:rsidRDefault="004241AC" w:rsidP="0045224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52241" w:rsidRDefault="004241AC" w:rsidP="0045224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lang w:eastAsia="it-IT"/>
        </w:rPr>
        <w:t xml:space="preserve">Questo riassunto è stato redatto in data </w:t>
      </w:r>
      <w:r w:rsidR="00AD4493">
        <w:rPr>
          <w:rFonts w:eastAsia="Calibri" w:cs="Calibri"/>
          <w:lang w:eastAsia="it-IT"/>
        </w:rPr>
        <w:t>13</w:t>
      </w:r>
      <w:r w:rsidR="009C69A7">
        <w:rPr>
          <w:rFonts w:eastAsia="Calibri" w:cs="Calibri"/>
          <w:lang w:eastAsia="it-IT"/>
        </w:rPr>
        <w:t>.</w:t>
      </w:r>
      <w:r w:rsidR="00AD4493">
        <w:rPr>
          <w:rFonts w:eastAsia="Calibri" w:cs="Calibri"/>
          <w:lang w:eastAsia="it-IT"/>
        </w:rPr>
        <w:t>11</w:t>
      </w:r>
      <w:r w:rsidR="009C69A7">
        <w:rPr>
          <w:rFonts w:eastAsia="Calibri" w:cs="Calibri"/>
          <w:lang w:eastAsia="it-IT"/>
        </w:rPr>
        <w:t>.201</w:t>
      </w:r>
      <w:r w:rsidR="00AD4493">
        <w:rPr>
          <w:rFonts w:eastAsia="Calibri" w:cs="Calibri"/>
          <w:lang w:eastAsia="it-IT"/>
        </w:rPr>
        <w:t>9</w:t>
      </w:r>
      <w:r w:rsidRPr="00452241">
        <w:rPr>
          <w:rFonts w:eastAsia="Calibri" w:cs="Calibri"/>
          <w:lang w:eastAsia="it-IT"/>
        </w:rPr>
        <w:t xml:space="preserve">. </w:t>
      </w:r>
    </w:p>
    <w:p w:rsidR="005D40D3" w:rsidRPr="00452241" w:rsidRDefault="005D40D3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874CF7" w:rsidRPr="00452241" w:rsidRDefault="00874CF7" w:rsidP="00452241">
      <w:pPr>
        <w:spacing w:after="0" w:line="240" w:lineRule="auto"/>
        <w:jc w:val="center"/>
        <w:rPr>
          <w:b/>
        </w:rPr>
      </w:pPr>
    </w:p>
    <w:p w:rsidR="00BF5ECD" w:rsidRDefault="00BF5ECD" w:rsidP="00452241">
      <w:pPr>
        <w:spacing w:after="0" w:line="240" w:lineRule="auto"/>
        <w:jc w:val="center"/>
        <w:rPr>
          <w:b/>
          <w:sz w:val="28"/>
        </w:rPr>
      </w:pPr>
    </w:p>
    <w:p w:rsidR="005D40D3" w:rsidRDefault="005D40D3" w:rsidP="0045224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Default="005D40D3" w:rsidP="00452241">
      <w:pPr>
        <w:spacing w:after="0" w:line="240" w:lineRule="auto"/>
        <w:jc w:val="center"/>
        <w:rPr>
          <w:b/>
        </w:rPr>
      </w:pPr>
    </w:p>
    <w:p w:rsidR="005D40D3" w:rsidRPr="0033523E" w:rsidRDefault="005D40D3" w:rsidP="00452241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5D40D3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Pr="008206E7" w:rsidRDefault="005D40D3" w:rsidP="00452241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5D40D3" w:rsidRPr="002A3F14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5D40D3" w:rsidRPr="0033523E" w:rsidRDefault="005D40D3" w:rsidP="00452241">
      <w:pPr>
        <w:pStyle w:val="Paragrafoelenco"/>
        <w:spacing w:after="0" w:line="240" w:lineRule="auto"/>
        <w:rPr>
          <w:b/>
        </w:rPr>
      </w:pPr>
    </w:p>
    <w:p w:rsidR="005D40D3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Pr="0033523E" w:rsidRDefault="005D40D3" w:rsidP="00452241">
      <w:pPr>
        <w:pStyle w:val="Paragrafoelenco"/>
        <w:spacing w:after="0" w:line="240" w:lineRule="auto"/>
        <w:rPr>
          <w:b/>
        </w:rPr>
      </w:pPr>
    </w:p>
    <w:p w:rsidR="005D40D3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5D40D3" w:rsidRPr="0033523E" w:rsidRDefault="005D40D3" w:rsidP="00452241">
      <w:pPr>
        <w:pStyle w:val="Paragrafoelenco"/>
        <w:spacing w:after="0" w:line="240" w:lineRule="auto"/>
        <w:rPr>
          <w:b/>
        </w:rPr>
      </w:pPr>
    </w:p>
    <w:p w:rsidR="005D40D3" w:rsidRPr="002E4DCB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45224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5D40D3" w:rsidRPr="00BC23ED" w:rsidRDefault="005D40D3" w:rsidP="0045224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452241" w:rsidRDefault="00452241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5D40D3" w:rsidRDefault="005D40D3" w:rsidP="00452241">
      <w:pPr>
        <w:spacing w:after="0" w:line="240" w:lineRule="auto"/>
      </w:pPr>
    </w:p>
    <w:p w:rsidR="00676B8A" w:rsidRDefault="00676B8A" w:rsidP="00452241">
      <w:pPr>
        <w:spacing w:after="0" w:line="240" w:lineRule="auto"/>
      </w:pPr>
    </w:p>
    <w:p w:rsidR="00BF5ECD" w:rsidRDefault="00BF5ECD" w:rsidP="00452241">
      <w:pPr>
        <w:spacing w:after="0" w:line="240" w:lineRule="auto"/>
      </w:pPr>
    </w:p>
    <w:p w:rsidR="00AD4493" w:rsidRDefault="00AD4493" w:rsidP="00452241">
      <w:pPr>
        <w:spacing w:after="0" w:line="240" w:lineRule="auto"/>
      </w:pPr>
    </w:p>
    <w:p w:rsidR="00AD4493" w:rsidRDefault="00AD4493" w:rsidP="00452241">
      <w:pPr>
        <w:spacing w:after="0" w:line="240" w:lineRule="auto"/>
      </w:pPr>
    </w:p>
    <w:p w:rsidR="005D40D3" w:rsidRPr="008206E7" w:rsidRDefault="005D40D3" w:rsidP="00452241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5D40D3" w:rsidRPr="008023C2" w:rsidRDefault="005D40D3" w:rsidP="0045224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AD4493">
        <w:t>Pensa Pharma</w:t>
      </w:r>
      <w:r w:rsidRPr="008023C2">
        <w:t xml:space="preserve"> l’autorizzazione all’immissione in commercio (AIC) per il medicinale </w:t>
      </w:r>
      <w:r w:rsidR="00AD4493">
        <w:rPr>
          <w:rFonts w:eastAsia="Calibri" w:cs="Calibri"/>
          <w:color w:val="000000"/>
          <w:lang w:eastAsia="it-IT"/>
        </w:rPr>
        <w:t>Pantoflux</w:t>
      </w:r>
      <w:r w:rsidR="00EF351A" w:rsidRPr="008023C2">
        <w:rPr>
          <w:rFonts w:eastAsia="Calibri" w:cs="Calibri"/>
          <w:bCs/>
          <w:iCs/>
          <w:lang w:eastAsia="it-IT"/>
        </w:rPr>
        <w:t xml:space="preserve"> </w:t>
      </w:r>
      <w:r w:rsidRPr="008023C2">
        <w:rPr>
          <w:rFonts w:eastAsia="Calibri" w:cs="Calibri"/>
          <w:bCs/>
          <w:iCs/>
          <w:lang w:eastAsia="it-IT"/>
        </w:rPr>
        <w:t xml:space="preserve">il </w:t>
      </w:r>
      <w:r w:rsidR="00B440A5" w:rsidRPr="00B440A5">
        <w:rPr>
          <w:rFonts w:eastAsia="Calibri" w:cs="Calibri"/>
          <w:b/>
          <w:bCs/>
          <w:iCs/>
          <w:lang w:eastAsia="it-IT"/>
        </w:rPr>
        <w:t>16.07.2019</w:t>
      </w:r>
      <w:r w:rsidR="00B440A5">
        <w:rPr>
          <w:rFonts w:eastAsia="Calibri" w:cs="Calibri"/>
          <w:b/>
          <w:bCs/>
          <w:iCs/>
          <w:lang w:eastAsia="it-IT"/>
        </w:rPr>
        <w:t>.</w:t>
      </w:r>
    </w:p>
    <w:p w:rsidR="005D40D3" w:rsidRPr="008023C2" w:rsidRDefault="005D40D3" w:rsidP="00452241">
      <w:pPr>
        <w:spacing w:after="0" w:line="240" w:lineRule="auto"/>
        <w:jc w:val="both"/>
      </w:pPr>
    </w:p>
    <w:p w:rsidR="005D40D3" w:rsidRPr="007461B9" w:rsidRDefault="00C66F6E" w:rsidP="0045224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Pantoflux</w:t>
      </w:r>
      <w:r w:rsidR="00EF351A" w:rsidRPr="008023C2">
        <w:rPr>
          <w:rFonts w:eastAsia="Calibri" w:cs="Calibri"/>
          <w:color w:val="000000"/>
          <w:lang w:eastAsia="it-IT"/>
        </w:rPr>
        <w:t xml:space="preserve"> </w:t>
      </w:r>
      <w:r w:rsidR="00BF5ECD" w:rsidRPr="008023C2">
        <w:rPr>
          <w:rFonts w:eastAsia="Calibri" w:cs="Calibri"/>
          <w:color w:val="000000"/>
          <w:lang w:eastAsia="it-IT"/>
        </w:rPr>
        <w:t>è un medicinale di automedicazione (OTC) e non necessita di</w:t>
      </w:r>
      <w:r w:rsidR="00BF5ECD" w:rsidRPr="00E92E3C">
        <w:rPr>
          <w:rFonts w:eastAsia="Calibri" w:cs="Calibri"/>
          <w:color w:val="000000"/>
          <w:lang w:eastAsia="it-IT"/>
        </w:rPr>
        <w:t xml:space="preserve"> prescrizione del medico</w:t>
      </w:r>
      <w:r w:rsidR="005D40D3" w:rsidRPr="007461B9">
        <w:rPr>
          <w:rFonts w:eastAsia="Calibri" w:cs="Calibri"/>
          <w:color w:val="000000"/>
          <w:lang w:eastAsia="it-IT"/>
        </w:rPr>
        <w:t>.</w:t>
      </w:r>
    </w:p>
    <w:p w:rsidR="005D40D3" w:rsidRPr="007461B9" w:rsidRDefault="005D40D3" w:rsidP="00452241">
      <w:pPr>
        <w:spacing w:after="0" w:line="240" w:lineRule="auto"/>
        <w:jc w:val="both"/>
      </w:pPr>
    </w:p>
    <w:p w:rsidR="005D40D3" w:rsidRPr="00C608F7" w:rsidRDefault="005D40D3" w:rsidP="00452241">
      <w:pPr>
        <w:spacing w:after="0" w:line="240" w:lineRule="auto"/>
        <w:jc w:val="both"/>
      </w:pPr>
      <w:r w:rsidRPr="00C608F7">
        <w:t>Questa procedura è stata presentata ai sensi dell’art. 10(1) della Direttiva 2001/83/EU s.m.i.</w:t>
      </w:r>
    </w:p>
    <w:p w:rsidR="005D40D3" w:rsidRPr="00EA6DE1" w:rsidRDefault="005D40D3" w:rsidP="0045224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5D40D3" w:rsidRPr="00EA6DE1" w:rsidRDefault="00C66F6E" w:rsidP="0045224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Pantoflux</w:t>
      </w:r>
      <w:r w:rsidR="00EF351A" w:rsidRPr="00EA6DE1">
        <w:rPr>
          <w:rFonts w:eastAsia="Calibri" w:cs="Calibri"/>
          <w:color w:val="000000"/>
          <w:lang w:eastAsia="it-IT"/>
        </w:rPr>
        <w:t xml:space="preserve"> </w:t>
      </w:r>
      <w:r w:rsidR="005D40D3" w:rsidRPr="00EA6DE1">
        <w:rPr>
          <w:rFonts w:eastAsia="Calibri" w:cs="Calibri"/>
          <w:color w:val="000000"/>
          <w:lang w:eastAsia="it-IT"/>
        </w:rPr>
        <w:t xml:space="preserve">è un medicinale </w:t>
      </w:r>
      <w:r w:rsidR="006E45EF" w:rsidRPr="00EA6DE1">
        <w:rPr>
          <w:rFonts w:eastAsia="Calibri" w:cs="Calibri"/>
          <w:color w:val="000000"/>
          <w:lang w:eastAsia="it-IT"/>
        </w:rPr>
        <w:t xml:space="preserve">generico </w:t>
      </w:r>
      <w:r w:rsidR="005D40D3" w:rsidRPr="00EA6DE1">
        <w:rPr>
          <w:rFonts w:eastAsia="Calibri" w:cs="Calibri"/>
          <w:color w:val="000000"/>
          <w:lang w:eastAsia="it-IT"/>
        </w:rPr>
        <w:t xml:space="preserve">contenente il principio attivo </w:t>
      </w:r>
      <w:r w:rsidR="00F730DA" w:rsidRPr="00EA6DE1">
        <w:rPr>
          <w:rFonts w:eastAsia="Calibri" w:cs="Calibri"/>
          <w:color w:val="000000"/>
          <w:lang w:eastAsia="it-IT"/>
        </w:rPr>
        <w:t>pantoprazolo</w:t>
      </w:r>
      <w:r w:rsidR="005D40D3" w:rsidRPr="00EA6DE1">
        <w:rPr>
          <w:rFonts w:eastAsia="Calibri" w:cs="Calibri"/>
          <w:color w:val="000000"/>
          <w:lang w:eastAsia="it-IT"/>
        </w:rPr>
        <w:t xml:space="preserve"> presente nel medicinale di riferimento </w:t>
      </w:r>
      <w:r w:rsidR="00F730DA" w:rsidRPr="00EA6DE1">
        <w:rPr>
          <w:rFonts w:eastAsia="Calibri" w:cs="Calibri"/>
          <w:color w:val="000000"/>
          <w:lang w:eastAsia="it-IT"/>
        </w:rPr>
        <w:t>Pant</w:t>
      </w:r>
      <w:r>
        <w:rPr>
          <w:rFonts w:eastAsia="Calibri" w:cs="Calibri"/>
          <w:color w:val="000000"/>
          <w:lang w:eastAsia="it-IT"/>
        </w:rPr>
        <w:t>ecta</w:t>
      </w:r>
      <w:r w:rsidR="005D40D3" w:rsidRPr="00EA6DE1">
        <w:rPr>
          <w:rFonts w:eastAsia="Calibri" w:cs="Calibri"/>
          <w:color w:val="000000"/>
          <w:lang w:eastAsia="it-IT"/>
        </w:rPr>
        <w:t>, autorizzato in Italia da più di 10 anni.</w:t>
      </w:r>
    </w:p>
    <w:p w:rsidR="005D40D3" w:rsidRPr="00EA6DE1" w:rsidRDefault="005D40D3" w:rsidP="00452241">
      <w:pPr>
        <w:spacing w:after="0" w:line="240" w:lineRule="auto"/>
        <w:jc w:val="both"/>
      </w:pPr>
    </w:p>
    <w:p w:rsidR="00412D3F" w:rsidRPr="00EA6DE1" w:rsidRDefault="00C66F6E" w:rsidP="0045224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Pantoflux</w:t>
      </w:r>
      <w:r w:rsidR="005D40D3" w:rsidRPr="00EA6DE1">
        <w:rPr>
          <w:rFonts w:eastAsia="Calibri" w:cs="Calibri"/>
          <w:bCs/>
          <w:color w:val="000000"/>
          <w:lang w:eastAsia="it-IT"/>
        </w:rPr>
        <w:t xml:space="preserve">, </w:t>
      </w:r>
      <w:r w:rsidR="005D40D3" w:rsidRPr="00EA6DE1">
        <w:rPr>
          <w:color w:val="000000"/>
        </w:rPr>
        <w:t>il cui c</w:t>
      </w:r>
      <w:r w:rsidR="005D40D3" w:rsidRPr="00EA6DE1">
        <w:rPr>
          <w:iCs/>
        </w:rPr>
        <w:t xml:space="preserve">odice ATC è </w:t>
      </w:r>
      <w:r w:rsidR="00EA6DE1" w:rsidRPr="00EA6DE1">
        <w:t>A02BC02</w:t>
      </w:r>
      <w:r w:rsidR="005D40D3" w:rsidRPr="00EA6DE1">
        <w:rPr>
          <w:rFonts w:eastAsia="DejaVuSans" w:cs="DejaVuSans"/>
        </w:rPr>
        <w:t>,</w:t>
      </w:r>
      <w:r w:rsidR="005D40D3" w:rsidRPr="00EA6DE1">
        <w:rPr>
          <w:rFonts w:eastAsia="Calibri" w:cs="Calibri"/>
          <w:bCs/>
          <w:color w:val="000000"/>
          <w:lang w:eastAsia="it-IT"/>
        </w:rPr>
        <w:t xml:space="preserve"> </w:t>
      </w:r>
      <w:r w:rsidR="005D40D3" w:rsidRPr="00EA6DE1">
        <w:rPr>
          <w:rFonts w:eastAsia="Calibri" w:cs="Calibri"/>
          <w:color w:val="000000"/>
          <w:lang w:eastAsia="it-IT"/>
        </w:rPr>
        <w:t xml:space="preserve">contiene il principio attivo </w:t>
      </w:r>
      <w:r w:rsidR="00F730DA" w:rsidRPr="00EA6DE1">
        <w:rPr>
          <w:rFonts w:eastAsia="Calibri" w:cs="Calibri"/>
          <w:color w:val="000000"/>
          <w:lang w:eastAsia="it-IT"/>
        </w:rPr>
        <w:t>pantoprazolo</w:t>
      </w:r>
      <w:r w:rsidR="00412D3F" w:rsidRPr="00EA6DE1">
        <w:t>,</w:t>
      </w:r>
      <w:r w:rsidR="00412D3F" w:rsidRPr="00EA6DE1">
        <w:rPr>
          <w:rFonts w:eastAsia="Times New Roman"/>
          <w:lang w:eastAsia="it-IT"/>
        </w:rPr>
        <w:t xml:space="preserve"> appartenente alla classe </w:t>
      </w:r>
      <w:r w:rsidR="00412D3F" w:rsidRPr="00EA6DE1">
        <w:rPr>
          <w:rFonts w:ascii="Calibri" w:hAnsi="Calibri"/>
          <w:color w:val="000000"/>
        </w:rPr>
        <w:t>dei composti antisecretori benzimidazoli sostituiti</w:t>
      </w:r>
      <w:r w:rsidR="00EA6DE1" w:rsidRPr="00EA6DE1">
        <w:t>: il principio attivo</w:t>
      </w:r>
      <w:r w:rsidR="00412D3F" w:rsidRPr="00EA6DE1">
        <w:t xml:space="preserve"> riduce la secrezione acida gastrica mediante un meccanismo di azione altamente specializzato. </w:t>
      </w:r>
      <w:r w:rsidR="00F730DA" w:rsidRPr="00EA6DE1">
        <w:t>Pantoprazolo</w:t>
      </w:r>
      <w:r w:rsidR="00412D3F" w:rsidRPr="00EA6DE1">
        <w:t xml:space="preserve"> è un inibitore specifico di pompa protonica a livello delle cellule parietali gastriche</w:t>
      </w:r>
      <w:r w:rsidR="00EA6DE1" w:rsidRPr="00EA6DE1">
        <w:rPr>
          <w:lang w:eastAsia="ar-SA"/>
        </w:rPr>
        <w:t xml:space="preserve"> dove inibisce l’enzima H</w:t>
      </w:r>
      <w:r w:rsidR="00EA6DE1" w:rsidRPr="00EA6DE1">
        <w:rPr>
          <w:vertAlign w:val="superscript"/>
          <w:lang w:eastAsia="ar-SA"/>
        </w:rPr>
        <w:t>+</w:t>
      </w:r>
      <w:r w:rsidR="00EA6DE1" w:rsidRPr="00EA6DE1">
        <w:rPr>
          <w:lang w:eastAsia="ar-SA"/>
        </w:rPr>
        <w:t>, K</w:t>
      </w:r>
      <w:r w:rsidR="00EA6DE1" w:rsidRPr="00EA6DE1">
        <w:rPr>
          <w:vertAlign w:val="superscript"/>
          <w:lang w:eastAsia="ar-SA"/>
        </w:rPr>
        <w:t>+</w:t>
      </w:r>
      <w:r w:rsidR="00EA6DE1" w:rsidRPr="00EA6DE1">
        <w:rPr>
          <w:lang w:eastAsia="ar-SA"/>
        </w:rPr>
        <w:t xml:space="preserve">-ATPasi, cioè lo stadio finale della produzione dell’acido cloridrico nello stomaco. </w:t>
      </w:r>
      <w:r w:rsidR="00412D3F" w:rsidRPr="00EA6DE1">
        <w:t>Quest’azione sull'ultima tappa del processo di formazione dell'acido gastrico è dose-dipendente e provoca un'inibizione altamente efficace della secrezione acida, sia di quella basale, sia di quella stimolata, indipendentemente dallo stimolo utilizzato.</w:t>
      </w:r>
    </w:p>
    <w:p w:rsidR="005D40D3" w:rsidRPr="00EA6DE1" w:rsidRDefault="005D40D3" w:rsidP="00452241">
      <w:pPr>
        <w:spacing w:after="0" w:line="240" w:lineRule="auto"/>
        <w:jc w:val="both"/>
        <w:rPr>
          <w:rFonts w:ascii="Calibri" w:hAnsi="Calibri"/>
          <w:color w:val="000000"/>
        </w:rPr>
      </w:pPr>
    </w:p>
    <w:p w:rsidR="00BF5ECD" w:rsidRPr="00E92E3C" w:rsidRDefault="00C66F6E" w:rsidP="00BF5ECD">
      <w:pPr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Pantoflux</w:t>
      </w:r>
      <w:r w:rsidR="00EF351A" w:rsidRPr="00EA6DE1">
        <w:rPr>
          <w:rFonts w:eastAsia="Calibri" w:cs="Calibri"/>
          <w:color w:val="000000"/>
          <w:lang w:eastAsia="it-IT"/>
        </w:rPr>
        <w:t xml:space="preserve"> </w:t>
      </w:r>
      <w:r w:rsidR="00412D3F" w:rsidRPr="00EA6DE1">
        <w:rPr>
          <w:rFonts w:eastAsia="Calibri" w:cs="Calibri"/>
          <w:color w:val="000000"/>
          <w:lang w:eastAsia="it-IT"/>
        </w:rPr>
        <w:t>si usa</w:t>
      </w:r>
      <w:r w:rsidR="00BF5ECD">
        <w:rPr>
          <w:rFonts w:eastAsia="Calibri" w:cs="Calibri"/>
          <w:color w:val="000000"/>
          <w:lang w:eastAsia="it-IT"/>
        </w:rPr>
        <w:t xml:space="preserve"> per il</w:t>
      </w:r>
      <w:r w:rsidR="00BF5ECD" w:rsidRPr="00BF5ECD">
        <w:rPr>
          <w:szCs w:val="24"/>
        </w:rPr>
        <w:t xml:space="preserve"> </w:t>
      </w:r>
      <w:r w:rsidR="00BF5ECD">
        <w:rPr>
          <w:szCs w:val="24"/>
        </w:rPr>
        <w:t>t</w:t>
      </w:r>
      <w:r w:rsidR="00BF5ECD" w:rsidRPr="00E92E3C">
        <w:rPr>
          <w:szCs w:val="24"/>
        </w:rPr>
        <w:t>rattamento a breve termine dei sintomi da reflusso (ad es. pirosi, rigurgito acido) negli adulti.</w:t>
      </w:r>
    </w:p>
    <w:p w:rsidR="005D40D3" w:rsidRPr="00EA6DE1" w:rsidRDefault="005D40D3" w:rsidP="00BF5EC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5D40D3" w:rsidRDefault="005D40D3" w:rsidP="00452241">
      <w:pPr>
        <w:spacing w:after="0" w:line="240" w:lineRule="auto"/>
        <w:jc w:val="both"/>
      </w:pPr>
      <w:r w:rsidRPr="00EA6DE1">
        <w:t xml:space="preserve">Poiché </w:t>
      </w:r>
      <w:r w:rsidR="00C66F6E">
        <w:rPr>
          <w:rFonts w:eastAsia="Calibri" w:cs="Calibri"/>
          <w:color w:val="000000"/>
          <w:lang w:eastAsia="it-IT"/>
        </w:rPr>
        <w:t>Pantoflux</w:t>
      </w:r>
      <w:r w:rsidR="00EF351A" w:rsidRPr="00EA6DE1">
        <w:t xml:space="preserve"> </w:t>
      </w:r>
      <w:r w:rsidRPr="00EA6DE1">
        <w:t xml:space="preserve">contiene un principio attivo noto non sono stati forniti nuovi dati non clinici e clinici: questo approccio è accettabile poiché il medicinale di riferimento </w:t>
      </w:r>
      <w:r w:rsidR="00F730DA" w:rsidRPr="00EA6DE1">
        <w:t>Pant</w:t>
      </w:r>
      <w:r w:rsidR="00C66F6E">
        <w:t>ecta</w:t>
      </w:r>
      <w:r w:rsidRPr="00EA6DE1">
        <w:t xml:space="preserve"> è autorizzato in Italia da oltre 10 anni.</w:t>
      </w:r>
    </w:p>
    <w:p w:rsidR="00BF5ECD" w:rsidRPr="00EA6DE1" w:rsidRDefault="00BF5ECD" w:rsidP="00452241">
      <w:pPr>
        <w:spacing w:after="0" w:line="240" w:lineRule="auto"/>
        <w:jc w:val="both"/>
      </w:pPr>
    </w:p>
    <w:p w:rsidR="005D40D3" w:rsidRPr="00EA6DE1" w:rsidRDefault="005D40D3" w:rsidP="00452241">
      <w:pPr>
        <w:spacing w:after="0" w:line="240" w:lineRule="auto"/>
        <w:jc w:val="both"/>
      </w:pPr>
      <w:r w:rsidRPr="00EA6DE1">
        <w:t xml:space="preserve">La richiesta di AIC è supportata da </w:t>
      </w:r>
      <w:r w:rsidR="00175D6E">
        <w:t>tre studi</w:t>
      </w:r>
      <w:r w:rsidRPr="00EA6DE1">
        <w:t xml:space="preserve"> di bioequivalenza che ha</w:t>
      </w:r>
      <w:r w:rsidR="00175D6E">
        <w:t>nno</w:t>
      </w:r>
      <w:r w:rsidRPr="00EA6DE1">
        <w:t xml:space="preserve"> confrontato i profili farmacocinetici del medicinale test </w:t>
      </w:r>
      <w:r w:rsidR="00C66F6E">
        <w:rPr>
          <w:rFonts w:eastAsia="Calibri" w:cs="Calibri"/>
          <w:color w:val="000000"/>
          <w:lang w:eastAsia="it-IT"/>
        </w:rPr>
        <w:t>Pantoflux</w:t>
      </w:r>
      <w:r w:rsidR="00EF351A" w:rsidRPr="00EA6DE1">
        <w:t xml:space="preserve"> </w:t>
      </w:r>
      <w:r w:rsidRPr="00EA6DE1">
        <w:t xml:space="preserve">e quelli del medicinale </w:t>
      </w:r>
      <w:r w:rsidR="00C66F6E">
        <w:rPr>
          <w:rFonts w:ascii="Calibri" w:hAnsi="Calibri" w:cs="Arial"/>
        </w:rPr>
        <w:t>Eupantol</w:t>
      </w:r>
      <w:r w:rsidR="007537BE" w:rsidRPr="00EA6DE1">
        <w:rPr>
          <w:rFonts w:ascii="Calibri" w:hAnsi="Calibri" w:cs="Arial"/>
        </w:rPr>
        <w:t xml:space="preserve"> (medicinale autorizzato in </w:t>
      </w:r>
      <w:r w:rsidR="00C66F6E">
        <w:rPr>
          <w:rFonts w:ascii="Calibri" w:hAnsi="Calibri" w:cs="Arial"/>
        </w:rPr>
        <w:t>Francia</w:t>
      </w:r>
      <w:r w:rsidR="007537BE" w:rsidRPr="00EA6DE1">
        <w:rPr>
          <w:rFonts w:ascii="Calibri" w:hAnsi="Calibri" w:cs="Arial"/>
        </w:rPr>
        <w:t xml:space="preserve"> corrispondente in Italia al medicinale di riferimento Pant</w:t>
      </w:r>
      <w:r w:rsidR="00C66F6E">
        <w:rPr>
          <w:rFonts w:ascii="Calibri" w:hAnsi="Calibri" w:cs="Arial"/>
        </w:rPr>
        <w:t>ecta</w:t>
      </w:r>
      <w:r w:rsidR="007537BE" w:rsidRPr="00EA6DE1">
        <w:rPr>
          <w:rFonts w:ascii="Calibri" w:hAnsi="Calibri" w:cs="Arial"/>
        </w:rPr>
        <w:t>)</w:t>
      </w:r>
      <w:r w:rsidR="007537BE" w:rsidRPr="00EA6DE1">
        <w:rPr>
          <w:rFonts w:cs="Arial"/>
        </w:rPr>
        <w:t>.</w:t>
      </w:r>
    </w:p>
    <w:p w:rsidR="005D40D3" w:rsidRPr="00EA6DE1" w:rsidRDefault="00175D6E" w:rsidP="00452241">
      <w:pPr>
        <w:spacing w:after="0" w:line="240" w:lineRule="auto"/>
        <w:jc w:val="both"/>
      </w:pPr>
      <w:r>
        <w:t>Gli studi</w:t>
      </w:r>
      <w:r w:rsidR="005D40D3" w:rsidRPr="00EA6DE1">
        <w:t xml:space="preserve"> di bioequivalenza </w:t>
      </w:r>
      <w:r>
        <w:t>sono stati condotti</w:t>
      </w:r>
      <w:r w:rsidR="005D40D3" w:rsidRPr="00EA6DE1">
        <w:t xml:space="preserve"> in conformità alle linee guida di Buona Pratica Clinica (</w:t>
      </w:r>
      <w:r w:rsidR="005D40D3" w:rsidRPr="00EA6DE1">
        <w:rPr>
          <w:i/>
        </w:rPr>
        <w:t>Good Clinical Practice</w:t>
      </w:r>
      <w:r w:rsidR="005D40D3" w:rsidRPr="00EA6DE1">
        <w:t xml:space="preserve"> - GCP).</w:t>
      </w:r>
    </w:p>
    <w:p w:rsidR="005D40D3" w:rsidRPr="00EA6DE1" w:rsidRDefault="005D40D3" w:rsidP="00452241">
      <w:pPr>
        <w:spacing w:after="0" w:line="240" w:lineRule="auto"/>
        <w:jc w:val="both"/>
      </w:pPr>
    </w:p>
    <w:p w:rsidR="002457BF" w:rsidRPr="00EA6DE1" w:rsidRDefault="005D40D3" w:rsidP="00452241">
      <w:pPr>
        <w:spacing w:after="0" w:line="240" w:lineRule="auto"/>
        <w:jc w:val="both"/>
      </w:pPr>
      <w:r w:rsidRPr="00EA6DE1">
        <w:t>Le officine coinvolte nella produzione sono conformi alle linee guida di Buona Pratica di Fabbricazione (</w:t>
      </w:r>
      <w:r w:rsidRPr="00EA6DE1">
        <w:rPr>
          <w:i/>
        </w:rPr>
        <w:t>Good Manufacturing Practice</w:t>
      </w:r>
      <w:r w:rsidRPr="00EA6DE1">
        <w:t xml:space="preserve"> - GMP). </w:t>
      </w:r>
      <w:r w:rsidR="002457BF" w:rsidRPr="00EA6DE1">
        <w:t xml:space="preserve">Le autorità </w:t>
      </w:r>
      <w:r w:rsidR="002D14D6" w:rsidRPr="00EA6DE1">
        <w:t>regolatorie</w:t>
      </w:r>
      <w:r w:rsidR="002457BF" w:rsidRPr="00EA6DE1">
        <w:t xml:space="preserve"> europee competenti hanno rilasciato i certificati GMP per i siti di produzione.</w:t>
      </w:r>
    </w:p>
    <w:p w:rsidR="005D40D3" w:rsidRPr="00EA6DE1" w:rsidRDefault="005D40D3" w:rsidP="00452241">
      <w:pPr>
        <w:spacing w:after="0" w:line="240" w:lineRule="auto"/>
        <w:jc w:val="both"/>
        <w:rPr>
          <w:highlight w:val="yellow"/>
        </w:rPr>
      </w:pPr>
    </w:p>
    <w:p w:rsidR="005D40D3" w:rsidRPr="00900C91" w:rsidRDefault="005D40D3" w:rsidP="00452241">
      <w:pPr>
        <w:spacing w:after="0" w:line="240" w:lineRule="auto"/>
        <w:jc w:val="both"/>
      </w:pPr>
      <w:r w:rsidRPr="00EA6DE1">
        <w:t>Il sistema di Farmacovigilanza descritto dal titolare dell’AIC è conforme ai requisiti previsti dalla normativa</w:t>
      </w:r>
      <w:r w:rsidRPr="00900C91">
        <w:t xml:space="preserve"> corrente. E’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:rsidR="005D40D3" w:rsidRPr="00900C91" w:rsidRDefault="005D40D3" w:rsidP="00452241">
      <w:pPr>
        <w:spacing w:after="0" w:line="240" w:lineRule="auto"/>
        <w:jc w:val="both"/>
      </w:pPr>
    </w:p>
    <w:p w:rsidR="00C66F6E" w:rsidRDefault="00C66F6E" w:rsidP="00C66F6E">
      <w:pPr>
        <w:spacing w:after="0" w:line="240" w:lineRule="auto"/>
        <w:jc w:val="both"/>
      </w:pPr>
      <w:r w:rsidRPr="00233AF5">
        <w:t xml:space="preserve">Il titolare di AIC ha presentato una Valutazione del Rischio ambientale per il medicinale generico </w:t>
      </w:r>
      <w:r>
        <w:t>Pantoflux</w:t>
      </w:r>
      <w:r w:rsidRPr="00233AF5">
        <w:t xml:space="preserve">; sebbene la concentrazione di pantoprazolo che si prevede sia rilasciata nell’ambiente (PEC) sia superiore ai limiti della linea guida EMA di riferimento, non è stato considerato necessario alcun ulteriore test sul rischio ambientale sulla base del metabolismo e dell’escrezione del pantoprazolo e sulla base dei dati di tossicità. </w:t>
      </w:r>
      <w:r>
        <w:t>Pantoflux</w:t>
      </w:r>
      <w:r w:rsidRPr="00233AF5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5D40D3" w:rsidRDefault="005D40D3" w:rsidP="00452241">
      <w:pPr>
        <w:spacing w:after="0" w:line="240" w:lineRule="auto"/>
        <w:jc w:val="both"/>
      </w:pPr>
    </w:p>
    <w:p w:rsidR="00F730DA" w:rsidRDefault="00F730DA" w:rsidP="00452241">
      <w:pPr>
        <w:spacing w:after="0" w:line="240" w:lineRule="auto"/>
        <w:jc w:val="both"/>
      </w:pPr>
    </w:p>
    <w:p w:rsidR="005D40D3" w:rsidRPr="00CD103F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CD103F">
        <w:rPr>
          <w:b/>
        </w:rPr>
        <w:t>ASPETTI DI QUALITA’</w:t>
      </w:r>
    </w:p>
    <w:p w:rsidR="005D40D3" w:rsidRPr="00CD103F" w:rsidRDefault="005D40D3" w:rsidP="00452241">
      <w:pPr>
        <w:spacing w:after="0" w:line="240" w:lineRule="auto"/>
        <w:jc w:val="both"/>
      </w:pPr>
      <w:r w:rsidRPr="00CD103F">
        <w:rPr>
          <w:b/>
        </w:rPr>
        <w:t xml:space="preserve">II.1 PRINCIPIO ATTIVO </w:t>
      </w:r>
      <w:r w:rsidR="00F730DA" w:rsidRPr="00CD103F">
        <w:rPr>
          <w:b/>
        </w:rPr>
        <w:t>PANTOPRAZOLO</w:t>
      </w:r>
      <w:r w:rsidR="00CD103F" w:rsidRPr="00CD103F">
        <w:rPr>
          <w:b/>
        </w:rPr>
        <w:t xml:space="preserve"> SODIO SESQUIDRATO</w:t>
      </w:r>
    </w:p>
    <w:p w:rsidR="006E45EF" w:rsidRDefault="005D40D3" w:rsidP="0045224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CD103F">
        <w:rPr>
          <w:u w:val="single"/>
        </w:rPr>
        <w:t>Nome chimico</w:t>
      </w:r>
      <w:r w:rsidRPr="00CD103F">
        <w:t>:</w:t>
      </w:r>
      <w:r w:rsidR="00FE0038" w:rsidRPr="00CD103F">
        <w:t xml:space="preserve"> </w:t>
      </w:r>
      <w:r w:rsidR="00CD103F" w:rsidRPr="00CD103F">
        <w:rPr>
          <w:rStyle w:val="s1"/>
          <w:rFonts w:asciiTheme="minorHAnsi" w:hAnsiTheme="minorHAnsi"/>
        </w:rPr>
        <w:t>Sodium 5-(difluoromethoxy)-2-[(</w:t>
      </w:r>
      <w:r w:rsidR="00CD103F" w:rsidRPr="00CD103F">
        <w:rPr>
          <w:rStyle w:val="s1"/>
          <w:rFonts w:asciiTheme="minorHAnsi" w:hAnsiTheme="minorHAnsi"/>
          <w:i/>
          <w:iCs/>
        </w:rPr>
        <w:t>RS</w:t>
      </w:r>
      <w:r w:rsidR="00CD103F" w:rsidRPr="00CD103F">
        <w:rPr>
          <w:rStyle w:val="s1"/>
          <w:rFonts w:asciiTheme="minorHAnsi" w:hAnsiTheme="minorHAnsi"/>
        </w:rPr>
        <w:t>)-[(3,4-dimethoxypyridin-2-yl)methyl]sulfinyl]benzimidazol-1-ide sesquihydrate</w:t>
      </w:r>
    </w:p>
    <w:p w:rsidR="009C69A7" w:rsidRDefault="009C69A7" w:rsidP="0045224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9C69A7" w:rsidRDefault="009C69A7" w:rsidP="0045224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9C69A7" w:rsidRDefault="009C69A7" w:rsidP="0045224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9C69A7" w:rsidRDefault="009C69A7" w:rsidP="0045224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5D40D3" w:rsidRPr="00CD103F" w:rsidRDefault="005D40D3" w:rsidP="00452241">
      <w:pPr>
        <w:spacing w:after="0" w:line="240" w:lineRule="auto"/>
        <w:jc w:val="both"/>
        <w:rPr>
          <w:noProof/>
          <w:lang w:eastAsia="it-IT"/>
        </w:rPr>
      </w:pPr>
      <w:r w:rsidRPr="00CD103F">
        <w:rPr>
          <w:u w:val="single"/>
        </w:rPr>
        <w:t>Struttura</w:t>
      </w:r>
      <w:r w:rsidRPr="00CD103F">
        <w:t>:</w:t>
      </w:r>
      <w:r w:rsidR="00CD103F" w:rsidRPr="00CD103F">
        <w:rPr>
          <w:rFonts w:cs="Arial"/>
        </w:rPr>
        <w:t xml:space="preserve"> </w:t>
      </w:r>
    </w:p>
    <w:p w:rsidR="00CD103F" w:rsidRPr="00CD103F" w:rsidRDefault="00CD103F" w:rsidP="00452241">
      <w:pPr>
        <w:spacing w:after="0" w:line="240" w:lineRule="auto"/>
        <w:jc w:val="center"/>
      </w:pPr>
      <w:r w:rsidRPr="00CD103F">
        <w:rPr>
          <w:rFonts w:cs="Arial"/>
          <w:noProof/>
          <w:lang w:eastAsia="it-IT"/>
        </w:rPr>
        <w:drawing>
          <wp:inline distT="0" distB="0" distL="0" distR="0">
            <wp:extent cx="2503170" cy="690530"/>
            <wp:effectExtent l="19050" t="0" r="0" b="0"/>
            <wp:docPr id="5" name="Immagine 1" descr="P:\_dp\804\XML-IN\Images\cf2296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296-e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079" cy="690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9A7" w:rsidRDefault="009C69A7" w:rsidP="00452241">
      <w:pPr>
        <w:spacing w:after="0" w:line="240" w:lineRule="auto"/>
        <w:jc w:val="both"/>
        <w:rPr>
          <w:u w:val="single"/>
        </w:rPr>
      </w:pPr>
    </w:p>
    <w:p w:rsidR="00CD103F" w:rsidRPr="00CD103F" w:rsidRDefault="005D40D3" w:rsidP="0045224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D103F">
        <w:rPr>
          <w:u w:val="single"/>
        </w:rPr>
        <w:t>Formula molecolare</w:t>
      </w:r>
      <w:r w:rsidRPr="00CD103F">
        <w:t>:</w:t>
      </w:r>
      <w:r w:rsidR="00A074BE" w:rsidRPr="00CD103F">
        <w:rPr>
          <w:rFonts w:cs="Arial"/>
          <w:color w:val="252525"/>
          <w:shd w:val="clear" w:color="auto" w:fill="F9F9F9"/>
          <w:vertAlign w:val="subscript"/>
        </w:rPr>
        <w:t xml:space="preserve"> </w:t>
      </w:r>
      <w:r w:rsidR="00CD103F" w:rsidRPr="00CD103F">
        <w:rPr>
          <w:rStyle w:val="s1"/>
          <w:rFonts w:asciiTheme="minorHAnsi" w:hAnsiTheme="minorHAnsi"/>
        </w:rPr>
        <w:t>C</w:t>
      </w:r>
      <w:r w:rsidR="00CD103F" w:rsidRPr="00CD103F">
        <w:rPr>
          <w:rStyle w:val="s1"/>
          <w:rFonts w:asciiTheme="minorHAnsi" w:hAnsiTheme="minorHAnsi"/>
          <w:vertAlign w:val="subscript"/>
        </w:rPr>
        <w:t>16</w:t>
      </w:r>
      <w:r w:rsidR="00CD103F" w:rsidRPr="00CD103F">
        <w:rPr>
          <w:rStyle w:val="s1"/>
          <w:rFonts w:asciiTheme="minorHAnsi" w:hAnsiTheme="minorHAnsi"/>
        </w:rPr>
        <w:t>H</w:t>
      </w:r>
      <w:r w:rsidR="00CD103F" w:rsidRPr="00CD103F">
        <w:rPr>
          <w:rStyle w:val="s1"/>
          <w:rFonts w:asciiTheme="minorHAnsi" w:hAnsiTheme="minorHAnsi"/>
          <w:vertAlign w:val="subscript"/>
        </w:rPr>
        <w:t>14</w:t>
      </w:r>
      <w:r w:rsidR="00CD103F" w:rsidRPr="00CD103F">
        <w:rPr>
          <w:rStyle w:val="s1"/>
          <w:rFonts w:asciiTheme="minorHAnsi" w:hAnsiTheme="minorHAnsi"/>
        </w:rPr>
        <w:t>F</w:t>
      </w:r>
      <w:r w:rsidR="00CD103F" w:rsidRPr="00CD103F">
        <w:rPr>
          <w:rStyle w:val="s1"/>
          <w:rFonts w:asciiTheme="minorHAnsi" w:hAnsiTheme="minorHAnsi"/>
          <w:vertAlign w:val="subscript"/>
        </w:rPr>
        <w:t>2</w:t>
      </w:r>
      <w:r w:rsidR="00CD103F" w:rsidRPr="00CD103F">
        <w:rPr>
          <w:rStyle w:val="s1"/>
          <w:rFonts w:asciiTheme="minorHAnsi" w:hAnsiTheme="minorHAnsi"/>
        </w:rPr>
        <w:t>N</w:t>
      </w:r>
      <w:r w:rsidR="00CD103F" w:rsidRPr="00CD103F">
        <w:rPr>
          <w:rStyle w:val="s1"/>
          <w:rFonts w:asciiTheme="minorHAnsi" w:hAnsiTheme="minorHAnsi"/>
          <w:vertAlign w:val="subscript"/>
        </w:rPr>
        <w:t>3</w:t>
      </w:r>
      <w:r w:rsidR="00CD103F" w:rsidRPr="00CD103F">
        <w:rPr>
          <w:rStyle w:val="s1"/>
          <w:rFonts w:asciiTheme="minorHAnsi" w:hAnsiTheme="minorHAnsi"/>
        </w:rPr>
        <w:t>NaO</w:t>
      </w:r>
      <w:r w:rsidR="00CD103F" w:rsidRPr="00CD103F">
        <w:rPr>
          <w:rStyle w:val="s1"/>
          <w:rFonts w:asciiTheme="minorHAnsi" w:hAnsiTheme="minorHAnsi"/>
          <w:vertAlign w:val="subscript"/>
        </w:rPr>
        <w:t>4</w:t>
      </w:r>
      <w:r w:rsidR="00CD103F" w:rsidRPr="00CD103F">
        <w:rPr>
          <w:rStyle w:val="s1"/>
          <w:rFonts w:asciiTheme="minorHAnsi" w:hAnsiTheme="minorHAnsi"/>
        </w:rPr>
        <w:t>S,1½H</w:t>
      </w:r>
      <w:r w:rsidR="00CD103F" w:rsidRPr="00CD103F">
        <w:rPr>
          <w:rStyle w:val="s1"/>
          <w:rFonts w:asciiTheme="minorHAnsi" w:hAnsiTheme="minorHAnsi"/>
          <w:vertAlign w:val="subscript"/>
        </w:rPr>
        <w:t>2</w:t>
      </w:r>
      <w:r w:rsidR="00CD103F" w:rsidRPr="00CD103F">
        <w:rPr>
          <w:rStyle w:val="s1"/>
          <w:rFonts w:asciiTheme="minorHAnsi" w:hAnsiTheme="minorHAnsi"/>
        </w:rPr>
        <w:t>O</w:t>
      </w:r>
    </w:p>
    <w:p w:rsidR="005D40D3" w:rsidRPr="00CD103F" w:rsidRDefault="005D40D3" w:rsidP="00452241">
      <w:pPr>
        <w:spacing w:after="0" w:line="240" w:lineRule="auto"/>
        <w:jc w:val="both"/>
      </w:pPr>
      <w:r w:rsidRPr="00CD103F">
        <w:rPr>
          <w:u w:val="single"/>
        </w:rPr>
        <w:t>Peso molecolare</w:t>
      </w:r>
      <w:r w:rsidRPr="00CD103F">
        <w:t>:</w:t>
      </w:r>
      <w:r w:rsidRPr="00CD103F">
        <w:rPr>
          <w:rFonts w:cs="Arial"/>
          <w:color w:val="252525"/>
          <w:shd w:val="clear" w:color="auto" w:fill="F9F9F9"/>
        </w:rPr>
        <w:t xml:space="preserve"> </w:t>
      </w:r>
      <w:r w:rsidR="00CD103F" w:rsidRPr="00CD103F">
        <w:rPr>
          <w:rStyle w:val="s1"/>
          <w:rFonts w:asciiTheme="minorHAnsi" w:hAnsiTheme="minorHAnsi"/>
        </w:rPr>
        <w:t>432.4</w:t>
      </w:r>
      <w:r w:rsidR="00412D3F" w:rsidRPr="00CD103F">
        <w:rPr>
          <w:rStyle w:val="s1"/>
          <w:rFonts w:asciiTheme="minorHAnsi" w:hAnsiTheme="minorHAnsi"/>
        </w:rPr>
        <w:t xml:space="preserve"> </w:t>
      </w:r>
      <w:r w:rsidRPr="00CD103F">
        <w:rPr>
          <w:rStyle w:val="s1"/>
          <w:rFonts w:asciiTheme="minorHAnsi" w:hAnsiTheme="minorHAnsi"/>
        </w:rPr>
        <w:t>g/mol</w:t>
      </w:r>
    </w:p>
    <w:p w:rsidR="00A074BE" w:rsidRPr="00CD103F" w:rsidRDefault="005D40D3" w:rsidP="00452241">
      <w:pPr>
        <w:pStyle w:val="Titolo1"/>
        <w:shd w:val="clear" w:color="auto" w:fill="FFFFFF"/>
        <w:spacing w:before="0" w:beforeAutospacing="0" w:after="0" w:afterAutospacing="0"/>
        <w:rPr>
          <w:rStyle w:val="s1"/>
          <w:rFonts w:asciiTheme="minorHAnsi" w:hAnsiTheme="minorHAnsi"/>
          <w:b w:val="0"/>
          <w:sz w:val="22"/>
          <w:szCs w:val="22"/>
        </w:rPr>
      </w:pPr>
      <w:r w:rsidRPr="00CD103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CD103F">
        <w:rPr>
          <w:rFonts w:asciiTheme="minorHAnsi" w:hAnsiTheme="minorHAnsi"/>
          <w:b w:val="0"/>
          <w:sz w:val="22"/>
          <w:szCs w:val="22"/>
        </w:rPr>
        <w:t xml:space="preserve">: </w:t>
      </w:r>
      <w:r w:rsidR="00A074BE" w:rsidRPr="00CD103F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CD103F" w:rsidRPr="00CD103F">
        <w:rPr>
          <w:rStyle w:val="s1"/>
          <w:rFonts w:asciiTheme="minorHAnsi" w:hAnsiTheme="minorHAnsi"/>
          <w:b w:val="0"/>
          <w:sz w:val="22"/>
          <w:szCs w:val="22"/>
        </w:rPr>
        <w:t>164579-32-2</w:t>
      </w:r>
      <w:r w:rsidR="00A074BE" w:rsidRPr="00CD103F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5D40D3" w:rsidRPr="00CD103F" w:rsidRDefault="005D40D3" w:rsidP="0045224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CD103F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CD103F">
        <w:rPr>
          <w:rFonts w:asciiTheme="minorHAnsi" w:hAnsiTheme="minorHAnsi"/>
          <w:b w:val="0"/>
          <w:sz w:val="22"/>
          <w:szCs w:val="22"/>
        </w:rPr>
        <w:t>: polvere bianca o quasi bianca</w:t>
      </w:r>
    </w:p>
    <w:p w:rsidR="006E45EF" w:rsidRPr="00CD103F" w:rsidRDefault="005D40D3" w:rsidP="00452241">
      <w:pPr>
        <w:spacing w:after="0" w:line="240" w:lineRule="auto"/>
        <w:jc w:val="both"/>
      </w:pPr>
      <w:r w:rsidRPr="00CD103F">
        <w:rPr>
          <w:u w:val="single"/>
        </w:rPr>
        <w:t>Solubilità</w:t>
      </w:r>
      <w:r w:rsidRPr="00CD103F">
        <w:t xml:space="preserve">: </w:t>
      </w:r>
      <w:r w:rsidR="006E45EF" w:rsidRPr="00CD103F">
        <w:t>molto</w:t>
      </w:r>
      <w:r w:rsidR="00412D3F" w:rsidRPr="00CD103F">
        <w:t xml:space="preserve"> </w:t>
      </w:r>
      <w:r w:rsidR="00EF4889" w:rsidRPr="00CD103F">
        <w:t>solubile in acqua</w:t>
      </w:r>
      <w:r w:rsidR="00CD103F" w:rsidRPr="00CD103F">
        <w:t xml:space="preserve"> e in etanolo 96%</w:t>
      </w:r>
      <w:r w:rsidR="00EF4889" w:rsidRPr="00CD103F">
        <w:t xml:space="preserve">, </w:t>
      </w:r>
      <w:r w:rsidR="00CD103F" w:rsidRPr="00CD103F">
        <w:t>praticamente in</w:t>
      </w:r>
      <w:r w:rsidR="00EF4889" w:rsidRPr="00CD103F">
        <w:t>s</w:t>
      </w:r>
      <w:r w:rsidR="006E45EF" w:rsidRPr="00CD103F">
        <w:t>olubile in</w:t>
      </w:r>
      <w:r w:rsidR="00412D3F" w:rsidRPr="00CD103F">
        <w:t xml:space="preserve"> </w:t>
      </w:r>
      <w:r w:rsidR="00CD103F" w:rsidRPr="00CD103F">
        <w:t>esano.</w:t>
      </w:r>
    </w:p>
    <w:p w:rsidR="00CD103F" w:rsidRPr="00BE0B11" w:rsidRDefault="00CD103F" w:rsidP="00452241">
      <w:pPr>
        <w:spacing w:after="0" w:line="240" w:lineRule="auto"/>
        <w:jc w:val="both"/>
      </w:pPr>
    </w:p>
    <w:p w:rsidR="002F7159" w:rsidRDefault="00DC2C55" w:rsidP="00DC2C55">
      <w:pPr>
        <w:spacing w:after="0" w:line="240" w:lineRule="auto"/>
        <w:jc w:val="both"/>
      </w:pPr>
      <w:r w:rsidRPr="00CD103F">
        <w:t>Il principio attivo pantoprazolo è presente in Farmacopea Europea e il Direttorato Europeo per la Qualità dei Medicinali (</w:t>
      </w:r>
      <w:r w:rsidRPr="00CD103F">
        <w:rPr>
          <w:i/>
        </w:rPr>
        <w:t>European Directorate for Quality of Medicnals</w:t>
      </w:r>
      <w:r>
        <w:t xml:space="preserve"> – EDQM) ha rilasciato ai produttori</w:t>
      </w:r>
      <w:r w:rsidRPr="00CD103F">
        <w:t xml:space="preserve"> il certificato di conformità alla Farmacopea Europea.  </w:t>
      </w:r>
    </w:p>
    <w:p w:rsidR="00DC2C55" w:rsidRPr="00CD103F" w:rsidRDefault="00DC2C55" w:rsidP="00DC2C55">
      <w:pPr>
        <w:spacing w:after="0" w:line="240" w:lineRule="auto"/>
        <w:jc w:val="both"/>
      </w:pPr>
      <w:r w:rsidRPr="00CD103F">
        <w:t>Tutti gli aspetti di qualità sono coperti</w:t>
      </w:r>
      <w:r w:rsidR="002F7159">
        <w:t xml:space="preserve"> dal certificato di conformità; </w:t>
      </w:r>
      <w:r>
        <w:t>a seconda del produttore,</w:t>
      </w:r>
      <w:r w:rsidR="002F7159">
        <w:t xml:space="preserve"> </w:t>
      </w:r>
      <w:r>
        <w:t>il principio attivo può essere</w:t>
      </w:r>
      <w:r w:rsidRPr="00CD103F">
        <w:t xml:space="preserve"> confezionato </w:t>
      </w:r>
      <w:r>
        <w:t xml:space="preserve">a 2-8°C </w:t>
      </w:r>
      <w:r w:rsidRPr="00CD103F">
        <w:t xml:space="preserve">in una doppia </w:t>
      </w:r>
      <w:r>
        <w:t>busta</w:t>
      </w:r>
      <w:r w:rsidRPr="00CD103F">
        <w:t xml:space="preserve"> di polietilene posizionata in un contenitore </w:t>
      </w:r>
      <w:r>
        <w:t>di metallo</w:t>
      </w:r>
      <w:r w:rsidRPr="00CD103F">
        <w:t xml:space="preserve"> </w:t>
      </w:r>
      <w:r>
        <w:t>con un</w:t>
      </w:r>
      <w:r w:rsidRPr="00CD103F">
        <w:t xml:space="preserve"> re-test è fissato in </w:t>
      </w:r>
      <w:r>
        <w:t>4</w:t>
      </w:r>
      <w:r w:rsidRPr="00CD103F">
        <w:t xml:space="preserve"> anni</w:t>
      </w:r>
      <w:r>
        <w:t>, oppure</w:t>
      </w:r>
      <w:r w:rsidRPr="003754D4">
        <w:t xml:space="preserve"> </w:t>
      </w:r>
      <w:r w:rsidRPr="00CD103F">
        <w:t xml:space="preserve">in una doppia </w:t>
      </w:r>
      <w:r>
        <w:t>busta</w:t>
      </w:r>
      <w:r w:rsidRPr="00CD103F">
        <w:t xml:space="preserve"> di polietilene posizionata in un contenitore</w:t>
      </w:r>
      <w:r>
        <w:t xml:space="preserve"> in fibra con un retest period di 5 anni</w:t>
      </w:r>
      <w:r w:rsidRPr="00CD103F">
        <w:t>.</w:t>
      </w:r>
    </w:p>
    <w:p w:rsidR="00A810A3" w:rsidRDefault="00A810A3" w:rsidP="00452241">
      <w:pPr>
        <w:spacing w:after="0" w:line="240" w:lineRule="auto"/>
        <w:jc w:val="both"/>
      </w:pPr>
    </w:p>
    <w:p w:rsidR="00CD103F" w:rsidRPr="00CD103F" w:rsidRDefault="00CD103F" w:rsidP="00452241">
      <w:pPr>
        <w:spacing w:after="0" w:line="240" w:lineRule="auto"/>
        <w:jc w:val="both"/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CD103F">
        <w:rPr>
          <w:b/>
        </w:rPr>
        <w:t>II.2 PRODOTTO FINITO</w:t>
      </w: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t>Descrizione e composizione</w:t>
      </w:r>
    </w:p>
    <w:p w:rsidR="005D40D3" w:rsidRPr="00FF3A76" w:rsidRDefault="00DC2C55" w:rsidP="0045224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Pantoflux</w:t>
      </w:r>
      <w:r w:rsidR="00EF351A" w:rsidRPr="00FF3A76">
        <w:rPr>
          <w:rFonts w:eastAsia="Calibri" w:cs="Calibri"/>
          <w:color w:val="000000"/>
          <w:lang w:eastAsia="it-IT"/>
        </w:rPr>
        <w:t xml:space="preserve"> </w:t>
      </w:r>
      <w:r w:rsidR="005D40D3" w:rsidRPr="00FF3A76">
        <w:rPr>
          <w:rFonts w:eastAsia="Calibri" w:cs="Calibri"/>
          <w:color w:val="000000"/>
          <w:lang w:eastAsia="it-IT"/>
        </w:rPr>
        <w:t xml:space="preserve">è disponibile in </w:t>
      </w:r>
      <w:r w:rsidR="00FF3A76" w:rsidRPr="00FF3A76">
        <w:rPr>
          <w:rFonts w:eastAsia="Calibri" w:cs="Calibri"/>
          <w:color w:val="000000"/>
          <w:lang w:eastAsia="it-IT"/>
        </w:rPr>
        <w:t>compresse</w:t>
      </w:r>
      <w:r w:rsidR="005D40D3" w:rsidRPr="00FF3A76">
        <w:rPr>
          <w:rFonts w:eastAsia="Calibri" w:cs="Calibri"/>
          <w:color w:val="000000"/>
          <w:lang w:eastAsia="it-IT"/>
        </w:rPr>
        <w:t xml:space="preserve"> </w:t>
      </w:r>
      <w:r w:rsidR="00FE0038" w:rsidRPr="00FF3A76">
        <w:rPr>
          <w:rFonts w:eastAsia="Calibri" w:cs="Calibri"/>
          <w:color w:val="000000"/>
          <w:lang w:eastAsia="it-IT"/>
        </w:rPr>
        <w:t xml:space="preserve">gastroresistenti </w:t>
      </w:r>
      <w:r w:rsidR="005D40D3" w:rsidRPr="00FF3A76">
        <w:rPr>
          <w:rFonts w:eastAsia="Calibri" w:cs="Calibri"/>
          <w:color w:val="000000"/>
          <w:lang w:eastAsia="it-IT"/>
        </w:rPr>
        <w:t xml:space="preserve">contenenti </w:t>
      </w:r>
      <w:r w:rsidR="00FE0038" w:rsidRPr="00FF3A76">
        <w:rPr>
          <w:rFonts w:eastAsia="Calibri" w:cs="Calibri"/>
          <w:color w:val="000000"/>
          <w:lang w:eastAsia="it-IT"/>
        </w:rPr>
        <w:t>20 mg</w:t>
      </w:r>
      <w:r w:rsidR="00C17EFD" w:rsidRPr="00FF3A76">
        <w:rPr>
          <w:rFonts w:eastAsia="Calibri" w:cs="Calibri"/>
          <w:color w:val="000000"/>
          <w:lang w:eastAsia="it-IT"/>
        </w:rPr>
        <w:t xml:space="preserve"> </w:t>
      </w:r>
      <w:r w:rsidR="006E45EF" w:rsidRPr="00FF3A76">
        <w:rPr>
          <w:rFonts w:eastAsia="Calibri" w:cs="Calibri"/>
          <w:color w:val="000000"/>
          <w:lang w:eastAsia="it-IT"/>
        </w:rPr>
        <w:t xml:space="preserve">di </w:t>
      </w:r>
      <w:r w:rsidR="00F730DA" w:rsidRPr="00FF3A76">
        <w:rPr>
          <w:rFonts w:eastAsia="Calibri" w:cs="Calibri"/>
          <w:color w:val="000000"/>
          <w:lang w:eastAsia="it-IT"/>
        </w:rPr>
        <w:t>pantoprazolo</w:t>
      </w:r>
      <w:r w:rsidR="005D40D3" w:rsidRPr="00FF3A76">
        <w:rPr>
          <w:rFonts w:eastAsia="Calibri" w:cs="Calibri"/>
          <w:color w:val="000000"/>
          <w:lang w:eastAsia="it-IT"/>
        </w:rPr>
        <w:t>.</w:t>
      </w:r>
    </w:p>
    <w:p w:rsidR="00FB35EE" w:rsidRPr="00FF3A76" w:rsidRDefault="00FB35EE" w:rsidP="00452241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FF3A76">
        <w:rPr>
          <w:rFonts w:asciiTheme="minorHAnsi" w:hAnsiTheme="minorHAnsi"/>
          <w:sz w:val="22"/>
          <w:szCs w:val="22"/>
          <w:lang w:val="it-IT"/>
        </w:rPr>
        <w:t xml:space="preserve">Le </w:t>
      </w:r>
      <w:r w:rsidR="00FF3A76" w:rsidRPr="00FF3A76">
        <w:rPr>
          <w:rFonts w:asciiTheme="minorHAnsi" w:hAnsiTheme="minorHAnsi"/>
          <w:sz w:val="22"/>
          <w:szCs w:val="22"/>
          <w:lang w:val="it-IT"/>
        </w:rPr>
        <w:t>compresse sono</w:t>
      </w:r>
      <w:r w:rsidRPr="00FF3A76">
        <w:rPr>
          <w:rFonts w:asciiTheme="minorHAnsi" w:hAnsiTheme="minorHAnsi"/>
          <w:sz w:val="22"/>
          <w:szCs w:val="22"/>
          <w:lang w:val="it-IT"/>
        </w:rPr>
        <w:t xml:space="preserve"> </w:t>
      </w:r>
      <w:r w:rsidR="00DC2C55">
        <w:rPr>
          <w:rFonts w:asciiTheme="minorHAnsi" w:hAnsiTheme="minorHAnsi"/>
          <w:sz w:val="22"/>
          <w:szCs w:val="22"/>
          <w:lang w:val="it-IT"/>
        </w:rPr>
        <w:t xml:space="preserve">colore da giallo a ocra </w:t>
      </w:r>
      <w:r w:rsidR="00DC2C55" w:rsidRPr="00FF3A76">
        <w:rPr>
          <w:rFonts w:asciiTheme="minorHAnsi" w:hAnsiTheme="minorHAnsi"/>
          <w:sz w:val="22"/>
          <w:szCs w:val="22"/>
          <w:lang w:val="it-IT"/>
        </w:rPr>
        <w:t xml:space="preserve">e </w:t>
      </w:r>
      <w:r w:rsidR="00DC2C55">
        <w:rPr>
          <w:rFonts w:asciiTheme="minorHAnsi" w:hAnsiTheme="minorHAnsi"/>
          <w:sz w:val="22"/>
          <w:szCs w:val="22"/>
          <w:lang w:val="it-IT"/>
        </w:rPr>
        <w:t xml:space="preserve">presentano una </w:t>
      </w:r>
      <w:r w:rsidR="00DC2C55" w:rsidRPr="00FF3A76">
        <w:rPr>
          <w:rFonts w:asciiTheme="minorHAnsi" w:hAnsiTheme="minorHAnsi"/>
          <w:sz w:val="22"/>
          <w:szCs w:val="22"/>
          <w:lang w:val="it-IT"/>
        </w:rPr>
        <w:t>forma ovale</w:t>
      </w:r>
      <w:r w:rsidR="00DC2C55">
        <w:rPr>
          <w:rFonts w:asciiTheme="minorHAnsi" w:hAnsiTheme="minorHAnsi"/>
          <w:sz w:val="22"/>
          <w:szCs w:val="22"/>
          <w:lang w:val="it-IT"/>
        </w:rPr>
        <w:t>.</w:t>
      </w:r>
    </w:p>
    <w:p w:rsidR="00DC2C55" w:rsidRPr="00FF3A76" w:rsidRDefault="00DC2C55" w:rsidP="00DC2C55">
      <w:pPr>
        <w:spacing w:after="0" w:line="240" w:lineRule="auto"/>
        <w:jc w:val="both"/>
      </w:pPr>
      <w:r w:rsidRPr="00FF3A76">
        <w:t>Gli eccipienti sono i seguenti:</w:t>
      </w:r>
    </w:p>
    <w:p w:rsidR="00DC2C55" w:rsidRPr="00FF3A76" w:rsidRDefault="00DC2C55" w:rsidP="00DC2C55">
      <w:pPr>
        <w:tabs>
          <w:tab w:val="left" w:pos="0"/>
        </w:tabs>
        <w:spacing w:after="0" w:line="240" w:lineRule="auto"/>
        <w:jc w:val="both"/>
        <w:rPr>
          <w:iCs/>
          <w:lang w:eastAsia="ar-SA"/>
        </w:rPr>
      </w:pPr>
      <w:r>
        <w:rPr>
          <w:i/>
          <w:iCs/>
          <w:u w:val="single"/>
          <w:lang w:eastAsia="ar-SA"/>
        </w:rPr>
        <w:t>Nucleo della compressa</w:t>
      </w:r>
      <w:r w:rsidRPr="00FF3A76">
        <w:rPr>
          <w:iCs/>
          <w:lang w:eastAsia="ar-SA"/>
        </w:rPr>
        <w:t xml:space="preserve">: </w:t>
      </w:r>
      <w:r>
        <w:rPr>
          <w:iCs/>
          <w:lang w:eastAsia="ar-SA"/>
        </w:rPr>
        <w:t>Cellulosa microcristallina (E460i), Lattosio monoidrato, Croscarmellosa sodica, Silice colloidale anidra, Magnesio stearato.</w:t>
      </w:r>
    </w:p>
    <w:p w:rsidR="00DC2C55" w:rsidRDefault="00DC2C55" w:rsidP="00DC2C55">
      <w:pPr>
        <w:tabs>
          <w:tab w:val="left" w:pos="0"/>
        </w:tabs>
        <w:spacing w:after="0" w:line="240" w:lineRule="auto"/>
        <w:jc w:val="both"/>
        <w:rPr>
          <w:lang w:eastAsia="ar-SA"/>
        </w:rPr>
      </w:pPr>
      <w:r w:rsidRPr="00FF3A76">
        <w:rPr>
          <w:i/>
          <w:iCs/>
          <w:u w:val="single"/>
          <w:lang w:eastAsia="ar-SA"/>
        </w:rPr>
        <w:t>Rivestimento della compressa</w:t>
      </w:r>
      <w:r w:rsidRPr="00FF3A76">
        <w:rPr>
          <w:iCs/>
          <w:lang w:eastAsia="ar-SA"/>
        </w:rPr>
        <w:t xml:space="preserve">: </w:t>
      </w:r>
      <w:r>
        <w:rPr>
          <w:lang w:eastAsia="ar-SA"/>
        </w:rPr>
        <w:t>Polivinil alcool, Macrogol 3350, Titanio diossido (E171), Talco (E553b), Ferro ossido giallo (E172), Giallo di chinolina lacca di alluminio (E104), Copolimero acido metacrilico-etilacrilato 1:1, Sodio lauril solfato, Polisorbato 80, Trietilcitrato (E1505).</w:t>
      </w:r>
    </w:p>
    <w:p w:rsidR="00DC2C55" w:rsidRPr="00FF3A76" w:rsidRDefault="00FB35EE" w:rsidP="00DC2C55">
      <w:pPr>
        <w:tabs>
          <w:tab w:val="left" w:pos="0"/>
        </w:tabs>
        <w:spacing w:after="0" w:line="240" w:lineRule="auto"/>
        <w:ind w:hanging="567"/>
        <w:jc w:val="both"/>
        <w:rPr>
          <w:noProof/>
        </w:rPr>
      </w:pPr>
      <w:r w:rsidRPr="00FF3A76">
        <w:rPr>
          <w:noProof/>
        </w:rPr>
        <w:tab/>
      </w:r>
      <w:r w:rsidR="00DC2C55" w:rsidRPr="00FF3A76">
        <w:t xml:space="preserve">Tutti gli eccipienti sono conformi alla relativa monografia di Farmacopea Europea, ad eccezione </w:t>
      </w:r>
      <w:r w:rsidR="00DC2C55">
        <w:t>dei</w:t>
      </w:r>
      <w:r w:rsidR="00DC2C55" w:rsidRPr="00FF3A76">
        <w:rPr>
          <w:noProof/>
        </w:rPr>
        <w:t xml:space="preserve"> colorant</w:t>
      </w:r>
      <w:r w:rsidR="00DC2C55">
        <w:rPr>
          <w:noProof/>
        </w:rPr>
        <w:t>i</w:t>
      </w:r>
      <w:r w:rsidR="00DC2C55" w:rsidRPr="00FF3A76">
        <w:rPr>
          <w:noProof/>
        </w:rPr>
        <w:t xml:space="preserve"> ferro ossido giallo</w:t>
      </w:r>
      <w:r w:rsidR="00DC2C55">
        <w:rPr>
          <w:noProof/>
        </w:rPr>
        <w:t xml:space="preserve"> e giallo di chinolina lacca di alluminio</w:t>
      </w:r>
      <w:r w:rsidR="00DC2C55" w:rsidRPr="00FF3A76">
        <w:rPr>
          <w:noProof/>
        </w:rPr>
        <w:t>, per i qual</w:t>
      </w:r>
      <w:r w:rsidR="00DC2C55">
        <w:rPr>
          <w:noProof/>
        </w:rPr>
        <w:t>i</w:t>
      </w:r>
      <w:r w:rsidR="00DC2C55" w:rsidRPr="00FF3A76">
        <w:rPr>
          <w:noProof/>
        </w:rPr>
        <w:t xml:space="preserve"> il produttore ha definito adeguatamente le specifiche di qualità.</w:t>
      </w:r>
    </w:p>
    <w:p w:rsidR="00DC2C55" w:rsidRPr="00FF3A76" w:rsidRDefault="00DC2C55" w:rsidP="00DC2C55">
      <w:pPr>
        <w:spacing w:after="0" w:line="240" w:lineRule="auto"/>
        <w:jc w:val="both"/>
        <w:rPr>
          <w:noProof/>
        </w:rPr>
      </w:pPr>
      <w:r w:rsidRPr="00FF3A76">
        <w:t xml:space="preserve">Il solo eccipiente di originale animale è </w:t>
      </w:r>
      <w:r>
        <w:t>il lattosio monoidrato</w:t>
      </w:r>
      <w:r w:rsidRPr="00FF3A76">
        <w:t xml:space="preserve">; </w:t>
      </w:r>
      <w:r>
        <w:t>tuttavia esso è ricavato da animali sani nelle stesse condizioni adottate per l’ottenimento del latte destinato al consumo da parte dell’uomo ed in accordo alla relativa Direttiva europea</w:t>
      </w:r>
      <w:r w:rsidRPr="00FF3A76">
        <w:t>.</w:t>
      </w:r>
      <w:r w:rsidRPr="00FF3A76">
        <w:rPr>
          <w:noProof/>
        </w:rPr>
        <w:t xml:space="preserve"> </w:t>
      </w:r>
    </w:p>
    <w:p w:rsidR="00DC2C55" w:rsidRPr="00FF3A76" w:rsidRDefault="00DC2C55" w:rsidP="00DC2C55">
      <w:pPr>
        <w:spacing w:after="0" w:line="240" w:lineRule="auto"/>
        <w:jc w:val="both"/>
      </w:pPr>
      <w:r w:rsidRPr="00FF3A76">
        <w:t>Nessun eccipiente è ottenuto da organismi geneticamente modificati; non sono presenti eccipienti mai utilizzati nell’uomo.</w:t>
      </w:r>
    </w:p>
    <w:p w:rsidR="001213EB" w:rsidRPr="00FF3A76" w:rsidRDefault="001213EB" w:rsidP="00DC2C55">
      <w:pPr>
        <w:tabs>
          <w:tab w:val="left" w:pos="0"/>
        </w:tabs>
        <w:spacing w:after="0" w:line="240" w:lineRule="auto"/>
        <w:ind w:hanging="567"/>
        <w:jc w:val="both"/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t>Sviluppo farmaceutico</w:t>
      </w:r>
    </w:p>
    <w:p w:rsidR="00746838" w:rsidRPr="00FF3A76" w:rsidRDefault="00746838" w:rsidP="00746838">
      <w:pPr>
        <w:spacing w:after="0" w:line="240" w:lineRule="auto"/>
        <w:jc w:val="both"/>
      </w:pPr>
      <w:r w:rsidRPr="00FF3A76">
        <w:t>Sono stati forniti dettagli dello sviluppo farmaceutico e questi sono stati ritenuti soddisfacenti.</w:t>
      </w:r>
    </w:p>
    <w:p w:rsidR="00746838" w:rsidRPr="00FF3A76" w:rsidRDefault="00746838" w:rsidP="00746838">
      <w:pPr>
        <w:spacing w:after="0" w:line="240" w:lineRule="auto"/>
        <w:jc w:val="both"/>
      </w:pPr>
      <w:r w:rsidRPr="0016085C">
        <w:t xml:space="preserve">Lo scopo era quello di ottenere un medicinale bioequivalente </w:t>
      </w:r>
      <w:r w:rsidRPr="0016085C">
        <w:rPr>
          <w:rFonts w:ascii="Calibri" w:hAnsi="Calibri" w:cs="Arial"/>
        </w:rPr>
        <w:t>al medicinale Eupantol (medicinale autorizzato in Francia corrispondente in Italia al medicinale di riferimento Pantecta)</w:t>
      </w:r>
      <w:r w:rsidRPr="0016085C">
        <w:rPr>
          <w:rFonts w:cs="Arial"/>
        </w:rPr>
        <w:t>.</w:t>
      </w:r>
    </w:p>
    <w:p w:rsidR="00746838" w:rsidRPr="00FF3A76" w:rsidRDefault="00746838" w:rsidP="00746838">
      <w:pPr>
        <w:spacing w:after="0" w:line="240" w:lineRule="auto"/>
        <w:jc w:val="both"/>
      </w:pPr>
      <w:r w:rsidRPr="00FF3A76">
        <w:t>Sono stati forniti dati comparativi relativi al profilo di dissoluzione e al profilo di impurezze rispetto al medicinale di riferimento. I dati sono soddisfacenti.</w:t>
      </w:r>
    </w:p>
    <w:p w:rsidR="005D40D3" w:rsidRPr="00FF3A76" w:rsidRDefault="005D40D3" w:rsidP="00452241">
      <w:pPr>
        <w:spacing w:after="0" w:line="240" w:lineRule="auto"/>
        <w:jc w:val="both"/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t xml:space="preserve">Produzione </w:t>
      </w:r>
    </w:p>
    <w:p w:rsidR="00746838" w:rsidRPr="00FF3A76" w:rsidRDefault="00746838" w:rsidP="00746838">
      <w:pPr>
        <w:spacing w:after="0" w:line="240" w:lineRule="auto"/>
        <w:jc w:val="both"/>
      </w:pPr>
      <w:r w:rsidRPr="00FF3A76">
        <w:t>Sono stati forniti una descrizione del metodo di produzione e la relativa flow-chart.</w:t>
      </w:r>
    </w:p>
    <w:p w:rsidR="00746838" w:rsidRPr="00FF3A76" w:rsidRDefault="00746838" w:rsidP="00746838">
      <w:pPr>
        <w:spacing w:after="0" w:line="240" w:lineRule="auto"/>
        <w:jc w:val="both"/>
      </w:pPr>
      <w:r w:rsidRPr="00FF3A7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46838" w:rsidRDefault="00746838" w:rsidP="00452241">
      <w:pPr>
        <w:spacing w:after="0" w:line="240" w:lineRule="auto"/>
        <w:jc w:val="both"/>
        <w:rPr>
          <w:b/>
        </w:rPr>
      </w:pPr>
    </w:p>
    <w:p w:rsidR="005D40D3" w:rsidRPr="00FF3A76" w:rsidRDefault="005D40D3" w:rsidP="00452241">
      <w:pPr>
        <w:spacing w:after="0" w:line="240" w:lineRule="auto"/>
        <w:jc w:val="both"/>
        <w:rPr>
          <w:b/>
        </w:rPr>
      </w:pPr>
      <w:r w:rsidRPr="00FF3A76">
        <w:rPr>
          <w:b/>
        </w:rPr>
        <w:lastRenderedPageBreak/>
        <w:t>Specifiche del prodotto finito</w:t>
      </w:r>
    </w:p>
    <w:p w:rsidR="00746838" w:rsidRPr="00FF3A76" w:rsidRDefault="00746838" w:rsidP="00746838">
      <w:pPr>
        <w:spacing w:after="0" w:line="240" w:lineRule="auto"/>
        <w:jc w:val="both"/>
      </w:pPr>
      <w:r w:rsidRPr="00FF3A76">
        <w:t>Sono state fornite adeguate specifiche di controllo per il prodotto finito al rilascio e alla fine della validità. I metodi analitici sono stati descritti e adeguatamente convalidati. Sono stati forniti, inoltre, dati analitici: questi dati dimostrano che i lotti prodotti sono in accordo alle specifiche proposte. Sono stati forniti, infine, certificati analitici per gli standard di riferimento utilizzati.</w:t>
      </w:r>
    </w:p>
    <w:p w:rsidR="009C69A7" w:rsidRPr="00FF3A76" w:rsidRDefault="009C69A7" w:rsidP="00452241">
      <w:pPr>
        <w:spacing w:after="0" w:line="240" w:lineRule="auto"/>
        <w:jc w:val="both"/>
        <w:rPr>
          <w:b/>
          <w:highlight w:val="yellow"/>
        </w:rPr>
      </w:pPr>
    </w:p>
    <w:p w:rsidR="005D40D3" w:rsidRPr="00EA6DE1" w:rsidRDefault="005D40D3" w:rsidP="00452241">
      <w:pPr>
        <w:spacing w:after="0" w:line="240" w:lineRule="auto"/>
        <w:jc w:val="both"/>
        <w:rPr>
          <w:b/>
        </w:rPr>
      </w:pPr>
      <w:r w:rsidRPr="00EA6DE1">
        <w:rPr>
          <w:b/>
        </w:rPr>
        <w:t>Contenitore</w:t>
      </w:r>
    </w:p>
    <w:p w:rsidR="00175D6E" w:rsidRPr="00EA6DE1" w:rsidRDefault="00175D6E" w:rsidP="00175D6E">
      <w:pPr>
        <w:spacing w:after="0" w:line="240" w:lineRule="auto"/>
        <w:jc w:val="both"/>
      </w:pPr>
      <w:r>
        <w:t>Pantoflux</w:t>
      </w:r>
      <w:r w:rsidRPr="00EA6DE1">
        <w:t xml:space="preserve"> è confezionato in blister di </w:t>
      </w:r>
      <w:r w:rsidRPr="00EA6DE1">
        <w:rPr>
          <w:noProof/>
        </w:rPr>
        <w:t>Alluminio/Alluminio</w:t>
      </w:r>
      <w:r w:rsidRPr="00EA6DE1">
        <w:t>. Sono state fornite specifiche e certificati analitici per tutti i componenti del confezionamento primario, che è adeguato per il medicinale.</w:t>
      </w:r>
    </w:p>
    <w:p w:rsidR="005D40D3" w:rsidRPr="00EA6DE1" w:rsidRDefault="005D40D3" w:rsidP="00452241">
      <w:pPr>
        <w:spacing w:after="0" w:line="240" w:lineRule="auto"/>
        <w:jc w:val="both"/>
      </w:pPr>
    </w:p>
    <w:p w:rsidR="005D40D3" w:rsidRPr="00EA6DE1" w:rsidRDefault="005D40D3" w:rsidP="00452241">
      <w:pPr>
        <w:spacing w:after="0" w:line="240" w:lineRule="auto"/>
        <w:jc w:val="both"/>
        <w:rPr>
          <w:b/>
        </w:rPr>
      </w:pPr>
      <w:r w:rsidRPr="00EA6DE1">
        <w:rPr>
          <w:b/>
        </w:rPr>
        <w:t>Stabilità</w:t>
      </w:r>
    </w:p>
    <w:p w:rsidR="005D40D3" w:rsidRPr="00EA6DE1" w:rsidRDefault="005D40D3" w:rsidP="00452241">
      <w:pPr>
        <w:spacing w:after="0" w:line="240" w:lineRule="auto"/>
        <w:jc w:val="both"/>
      </w:pPr>
      <w:r w:rsidRPr="00EA6DE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A6DE1" w:rsidRPr="00EA6DE1">
        <w:t>3</w:t>
      </w:r>
      <w:r w:rsidRPr="00EA6DE1">
        <w:t xml:space="preserve"> anni </w:t>
      </w:r>
      <w:r w:rsidR="00810599">
        <w:t>conservando a temperatura non superiore a 30°C</w:t>
      </w:r>
      <w:r w:rsidR="005D5D07" w:rsidRPr="00EA6DE1">
        <w:t>.</w:t>
      </w:r>
    </w:p>
    <w:p w:rsidR="009C69A7" w:rsidRDefault="00810599" w:rsidP="00452241">
      <w:pPr>
        <w:spacing w:after="0" w:line="240" w:lineRule="auto"/>
        <w:jc w:val="both"/>
        <w:rPr>
          <w:b/>
        </w:rPr>
      </w:pPr>
      <w:r>
        <w:t xml:space="preserve"> </w:t>
      </w:r>
    </w:p>
    <w:p w:rsidR="005D40D3" w:rsidRPr="00EA6DE1" w:rsidRDefault="005D40D3" w:rsidP="00452241">
      <w:pPr>
        <w:spacing w:after="0" w:line="240" w:lineRule="auto"/>
        <w:jc w:val="both"/>
        <w:rPr>
          <w:b/>
        </w:rPr>
      </w:pPr>
      <w:r w:rsidRPr="00EA6DE1">
        <w:rPr>
          <w:b/>
        </w:rPr>
        <w:t>II.3 Discussione sugli aspetti di qualità</w:t>
      </w:r>
    </w:p>
    <w:p w:rsidR="005D40D3" w:rsidRDefault="005D40D3" w:rsidP="00452241">
      <w:pPr>
        <w:spacing w:after="0" w:line="240" w:lineRule="auto"/>
        <w:jc w:val="both"/>
      </w:pPr>
      <w:r w:rsidRPr="00EA6DE1">
        <w:t xml:space="preserve">Tutte le criticità evidenziate nel corso della valutazione sono state risolte e la qualità di </w:t>
      </w:r>
      <w:r w:rsidR="00810599">
        <w:rPr>
          <w:rFonts w:eastAsia="Calibri" w:cs="Calibri"/>
          <w:color w:val="000000"/>
          <w:lang w:eastAsia="it-IT"/>
        </w:rPr>
        <w:t>Pantoflux</w:t>
      </w:r>
      <w:r w:rsidRPr="00EA6DE1">
        <w:t xml:space="preserve"> è considerata adeguata. Non ci sono obiezioni per l’approvazione di </w:t>
      </w:r>
      <w:r w:rsidR="00810599">
        <w:rPr>
          <w:rFonts w:eastAsia="Calibri" w:cs="Calibri"/>
          <w:color w:val="000000"/>
          <w:lang w:eastAsia="it-IT"/>
        </w:rPr>
        <w:t>Pantoflux</w:t>
      </w:r>
      <w:r w:rsidR="00EF351A" w:rsidRPr="00EA6DE1">
        <w:t xml:space="preserve"> </w:t>
      </w:r>
      <w:r w:rsidRPr="00EA6DE1">
        <w:t>dal punto di vista chimico-farmaceutico.</w:t>
      </w:r>
    </w:p>
    <w:p w:rsidR="005D40D3" w:rsidRDefault="005D40D3" w:rsidP="00452241">
      <w:pPr>
        <w:spacing w:after="0" w:line="240" w:lineRule="auto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Pr="00DF7B22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Default="005D40D3" w:rsidP="00452241">
      <w:pPr>
        <w:spacing w:after="0" w:line="240" w:lineRule="auto"/>
        <w:jc w:val="both"/>
      </w:pPr>
      <w:r>
        <w:t xml:space="preserve">Non sono stati condotti specifici studi non clinici, in quanto </w:t>
      </w:r>
      <w:r w:rsidR="00810599">
        <w:rPr>
          <w:rFonts w:eastAsia="Calibri" w:cs="Calibri"/>
          <w:color w:val="000000"/>
          <w:lang w:eastAsia="it-IT"/>
        </w:rPr>
        <w:t>Pantoflux</w:t>
      </w:r>
      <w:r w:rsidR="00EF351A">
        <w:t xml:space="preserve"> </w:t>
      </w:r>
      <w:r>
        <w:t xml:space="preserve">contiene un principio attivo noto: questo approccio è accettabile poiché il medicinale di riferimento </w:t>
      </w:r>
      <w:r w:rsidR="00F730DA">
        <w:t>Pant</w:t>
      </w:r>
      <w:r w:rsidR="00810599">
        <w:t>ecta</w:t>
      </w:r>
      <w:r>
        <w:t xml:space="preserve"> è autorizzato in Italia da oltre 10 anni.</w:t>
      </w:r>
    </w:p>
    <w:p w:rsidR="005D40D3" w:rsidRDefault="005D40D3" w:rsidP="00452241">
      <w:pPr>
        <w:spacing w:after="0" w:line="240" w:lineRule="auto"/>
        <w:jc w:val="both"/>
      </w:pPr>
      <w:r>
        <w:t>Non ci sono obiezioni per l’approvazione dal punto di vista non clinico.</w:t>
      </w:r>
    </w:p>
    <w:p w:rsidR="005D40D3" w:rsidRDefault="005D40D3" w:rsidP="00452241">
      <w:pPr>
        <w:spacing w:after="0" w:line="240" w:lineRule="auto"/>
        <w:jc w:val="both"/>
      </w:pPr>
    </w:p>
    <w:p w:rsidR="00F730DA" w:rsidRDefault="00F730DA" w:rsidP="00452241">
      <w:pPr>
        <w:spacing w:after="0" w:line="240" w:lineRule="auto"/>
        <w:jc w:val="both"/>
      </w:pPr>
    </w:p>
    <w:p w:rsidR="005D40D3" w:rsidRPr="005A38F5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BC3934" w:rsidRPr="00E92E3C" w:rsidRDefault="00810599" w:rsidP="00BC3934">
      <w:pPr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Pantoflux</w:t>
      </w:r>
      <w:r w:rsidR="00EF351A" w:rsidRPr="00A34141">
        <w:t xml:space="preserve"> </w:t>
      </w:r>
      <w:r w:rsidR="005D40D3" w:rsidRPr="00A34141">
        <w:t>è utilizzato</w:t>
      </w:r>
      <w:r w:rsidR="00BC3934" w:rsidRPr="00BC3934">
        <w:rPr>
          <w:rFonts w:eastAsia="Calibri" w:cs="Calibri"/>
          <w:color w:val="000000"/>
          <w:lang w:eastAsia="it-IT"/>
        </w:rPr>
        <w:t xml:space="preserve"> </w:t>
      </w:r>
      <w:r w:rsidR="00BC3934">
        <w:rPr>
          <w:rFonts w:eastAsia="Calibri" w:cs="Calibri"/>
          <w:color w:val="000000"/>
          <w:lang w:eastAsia="it-IT"/>
        </w:rPr>
        <w:t>per il</w:t>
      </w:r>
      <w:r w:rsidR="00BC3934" w:rsidRPr="00BF5ECD">
        <w:rPr>
          <w:szCs w:val="24"/>
        </w:rPr>
        <w:t xml:space="preserve"> </w:t>
      </w:r>
      <w:r w:rsidR="00BC3934">
        <w:rPr>
          <w:szCs w:val="24"/>
        </w:rPr>
        <w:t>t</w:t>
      </w:r>
      <w:r w:rsidR="00BC3934" w:rsidRPr="00E92E3C">
        <w:rPr>
          <w:szCs w:val="24"/>
        </w:rPr>
        <w:t>rattamento a breve termine dei sintomi da reflusso (ad es. pirosi, rigurgito acido) negli adulti.</w:t>
      </w:r>
    </w:p>
    <w:p w:rsidR="001213EB" w:rsidRDefault="001213EB" w:rsidP="00BC3934">
      <w:pPr>
        <w:spacing w:after="0" w:line="240" w:lineRule="auto"/>
        <w:rPr>
          <w:b/>
        </w:rPr>
      </w:pPr>
    </w:p>
    <w:p w:rsidR="005D40D3" w:rsidRPr="002B6D26" w:rsidRDefault="005D40D3" w:rsidP="00452241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</w:t>
      </w:r>
      <w:r w:rsidR="006842F2">
        <w:t xml:space="preserve">ia Italiana del Farmaco -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2B6D26" w:rsidRDefault="005D40D3" w:rsidP="0045224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r w:rsidR="00F730DA">
        <w:t>pantoprazolo</w:t>
      </w:r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5D40D3" w:rsidRDefault="005D40D3" w:rsidP="004522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6556D6" w:rsidRDefault="005D40D3" w:rsidP="0045224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5D40D3" w:rsidRDefault="005D40D3" w:rsidP="00452241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r w:rsidR="00F730DA">
        <w:t>pantoprazolo</w:t>
      </w:r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</w:t>
      </w:r>
      <w:r w:rsidR="00810599">
        <w:t>gli studi</w:t>
      </w:r>
      <w:r>
        <w:t xml:space="preserve">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r w:rsidR="00810599">
        <w:t>Pantoflux</w:t>
      </w:r>
      <w:r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r w:rsidR="00F730DA">
        <w:t>Pant</w:t>
      </w:r>
      <w:r w:rsidR="00810599">
        <w:t>ecta</w:t>
      </w:r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5D40D3" w:rsidRDefault="005D40D3" w:rsidP="00452241">
      <w:pPr>
        <w:spacing w:after="0" w:line="240" w:lineRule="auto"/>
        <w:jc w:val="both"/>
      </w:pPr>
    </w:p>
    <w:p w:rsidR="005C3D27" w:rsidRPr="005C3D27" w:rsidRDefault="00810599" w:rsidP="00452241">
      <w:pPr>
        <w:spacing w:after="0" w:line="240" w:lineRule="auto"/>
        <w:jc w:val="both"/>
        <w:rPr>
          <w:b/>
        </w:rPr>
      </w:pPr>
      <w:r>
        <w:rPr>
          <w:b/>
        </w:rPr>
        <w:t>Studi</w:t>
      </w:r>
      <w:r w:rsidR="005C3D27" w:rsidRPr="005C3D27">
        <w:rPr>
          <w:b/>
        </w:rPr>
        <w:t xml:space="preserve"> di bioequivalenza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 xml:space="preserve">La richiesta di AIC è supportata da tre studi di bioequivalenza, comparativi, controllati, randomizzati, a dose singola, 2-periodi, 2-sequenze, crossover. Tali studi hanno confrontato i profili farmacocinetici di </w:t>
      </w:r>
      <w:r w:rsidR="00810599">
        <w:rPr>
          <w:rFonts w:eastAsia="Calibri" w:cs="Calibri"/>
          <w:color w:val="000000"/>
          <w:lang w:eastAsia="it-IT"/>
        </w:rPr>
        <w:t>Pantoflux</w:t>
      </w:r>
      <w:r w:rsidR="00EF351A" w:rsidRPr="005C3D27">
        <w:t xml:space="preserve"> </w:t>
      </w:r>
      <w:r w:rsidRPr="005C3D27">
        <w:t>e quelli d</w:t>
      </w:r>
      <w:r w:rsidR="00EF351A">
        <w:t xml:space="preserve">el medicinale </w:t>
      </w:r>
      <w:r w:rsidR="00810599">
        <w:t>Eupantol</w:t>
      </w:r>
      <w:r w:rsidRPr="005C3D27">
        <w:t xml:space="preserve"> (medicinale autorizzato in </w:t>
      </w:r>
      <w:r w:rsidR="00810599">
        <w:t>Francia</w:t>
      </w:r>
      <w:r w:rsidRPr="005C3D27">
        <w:t xml:space="preserve"> corrispondente al medicinale di riferimento Pant</w:t>
      </w:r>
      <w:r w:rsidR="00AD4BF3">
        <w:t>ecta</w:t>
      </w:r>
      <w:r w:rsidRPr="005C3D27">
        <w:t xml:space="preserve"> autorizzato in Italia), in condizioni di digiuno e a stomaco pieno per le compresse da 40 mg</w:t>
      </w:r>
      <w:r w:rsidR="00BC3934">
        <w:t xml:space="preserve"> (dosaggio non previsto per il medicinale </w:t>
      </w:r>
      <w:r w:rsidR="00810599">
        <w:rPr>
          <w:rFonts w:eastAsia="Calibri" w:cs="Calibri"/>
          <w:color w:val="000000"/>
          <w:lang w:eastAsia="it-IT"/>
        </w:rPr>
        <w:t>Pantoflux</w:t>
      </w:r>
      <w:r w:rsidR="00BC3934">
        <w:t>, ma lo studio è stato effettuato per dimostrare la bioequivalenza a stomaco pieno)</w:t>
      </w:r>
      <w:r w:rsidRPr="005C3D27">
        <w:t xml:space="preserve"> e a digiuno per le compresse da 20 mg. 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 xml:space="preserve">Gli studi erano caratterizzati da un appropriato disegno e sono stati condotti in accordo ai principi GCP. </w:t>
      </w:r>
    </w:p>
    <w:p w:rsidR="005C3D27" w:rsidRPr="005C3D27" w:rsidRDefault="005C3D27" w:rsidP="00452241">
      <w:pPr>
        <w:spacing w:after="0" w:line="240" w:lineRule="auto"/>
        <w:jc w:val="both"/>
      </w:pPr>
      <w:r w:rsidRPr="005C3D27">
        <w:t>Sono stati forniti certificati analitici per medicinale test e medicinale di riferimento.</w:t>
      </w:r>
    </w:p>
    <w:p w:rsidR="005C3D27" w:rsidRPr="005C3D27" w:rsidRDefault="005C3D27" w:rsidP="00452241">
      <w:pPr>
        <w:spacing w:after="0" w:line="240" w:lineRule="auto"/>
        <w:jc w:val="both"/>
      </w:pPr>
    </w:p>
    <w:p w:rsidR="005C3D27" w:rsidRPr="005C3D27" w:rsidRDefault="005C3D27" w:rsidP="00452241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5C3D27">
        <w:t>STUDIO IN CONDIZIONI DI DIGIUNO – COMPRESSE DA 20 MG</w:t>
      </w:r>
    </w:p>
    <w:p w:rsidR="00810599" w:rsidRPr="00233AF5" w:rsidRDefault="00810599" w:rsidP="00810599">
      <w:pPr>
        <w:spacing w:after="0" w:line="240" w:lineRule="auto"/>
        <w:jc w:val="both"/>
        <w:rPr>
          <w:rFonts w:cs="Arial"/>
        </w:rPr>
      </w:pPr>
      <w:r w:rsidRPr="00233AF5">
        <w:t xml:space="preserve">Lo studio è stato condotto in 34 volontari sani di entrambi i sessi con somministrazione a digiuno. </w:t>
      </w:r>
      <w:r w:rsidRPr="00233AF5">
        <w:rPr>
          <w:rFonts w:cs="Arial"/>
        </w:rPr>
        <w:t xml:space="preserve">Dopo una notte di digiuno, il medicinale è stato somministrato con acqua. </w:t>
      </w:r>
      <w:r w:rsidRPr="00233AF5">
        <w:t xml:space="preserve">Un soddisfacente periodo di wash-out di </w:t>
      </w:r>
      <w:r w:rsidRPr="00233AF5">
        <w:rPr>
          <w:rFonts w:cs="Arial"/>
        </w:rPr>
        <w:t>7 giorni è stato previsto tra le somministrazioni in ogni gruppo.</w:t>
      </w:r>
    </w:p>
    <w:p w:rsidR="00810599" w:rsidRPr="00233AF5" w:rsidRDefault="00810599" w:rsidP="00810599">
      <w:pPr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>Campioni di sangue sono stati prelevati al tempo zero (pre-dose) e a specificati tempi fino a 12 ore dopo la somministrazione. I livelli plasmatici di pantoprazolo sono stati determinati mediante un metodo analitico HPLC-MS/MS opportunamente convalidato.</w:t>
      </w:r>
    </w:p>
    <w:p w:rsidR="00810599" w:rsidRPr="00233AF5" w:rsidRDefault="00810599" w:rsidP="00810599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>Per pantoprazolo sono state definite le seguenti variabili farmacocinetiche: C</w:t>
      </w:r>
      <w:r w:rsidRPr="00233AF5">
        <w:rPr>
          <w:rFonts w:cs="Arial"/>
          <w:vertAlign w:val="subscript"/>
        </w:rPr>
        <w:t>max</w:t>
      </w:r>
      <w:r w:rsidRPr="00233AF5">
        <w:rPr>
          <w:rFonts w:cs="Arial"/>
        </w:rPr>
        <w:t>,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>,, AUC</w:t>
      </w:r>
      <w:r w:rsidRPr="00233AF5">
        <w:rPr>
          <w:rFonts w:cs="Arial"/>
          <w:vertAlign w:val="subscript"/>
        </w:rPr>
        <w:t>0-</w:t>
      </w:r>
      <w:r w:rsidRPr="00233AF5">
        <w:rPr>
          <w:rFonts w:cs="Arial"/>
          <w:vertAlign w:val="subscript"/>
          <w:lang w:val="en-GB"/>
        </w:rPr>
        <w:sym w:font="Symbol" w:char="00A5"/>
      </w:r>
      <w:r w:rsidRPr="00233AF5">
        <w:rPr>
          <w:rFonts w:cs="Arial"/>
        </w:rPr>
        <w:t>, t</w:t>
      </w:r>
      <w:r w:rsidRPr="00233AF5">
        <w:rPr>
          <w:rFonts w:cs="Arial"/>
          <w:vertAlign w:val="subscript"/>
        </w:rPr>
        <w:t>max</w:t>
      </w:r>
      <w:r w:rsidRPr="00233AF5">
        <w:rPr>
          <w:rFonts w:cs="Arial"/>
        </w:rPr>
        <w:t xml:space="preserve">, t½ e AUC estrapolata. </w:t>
      </w:r>
    </w:p>
    <w:p w:rsidR="005C3D27" w:rsidRPr="005C3D27" w:rsidRDefault="00810599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>La bioequivalenza tra medicinale test e medicinale di riferimento è dimostrata se gli intervalli di confidenza al 90% cadono nel range di accettabilità di 0.80-1.25 (80%-125%) per la trasformata logaritmica di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>,, e nel range allargato 0.70-1.43 (70%-143%) per la trasformata logaritmica di C</w:t>
      </w:r>
      <w:r w:rsidRPr="00233AF5">
        <w:rPr>
          <w:rFonts w:cs="Arial"/>
          <w:vertAlign w:val="subscript"/>
        </w:rPr>
        <w:t>max</w:t>
      </w:r>
      <w:r w:rsidRPr="00233AF5">
        <w:rPr>
          <w:rFonts w:cs="Arial"/>
        </w:rPr>
        <w:t xml:space="preserve"> . 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C3D27">
        <w:rPr>
          <w:u w:val="single"/>
        </w:rPr>
        <w:t>Risultati</w:t>
      </w:r>
    </w:p>
    <w:p w:rsidR="005C3D27" w:rsidRPr="005C3D27" w:rsidRDefault="00810599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 xml:space="preserve">38 volontari sani sono stati arruolati nello studio. 34 soggetti </w:t>
      </w:r>
      <w:r w:rsidRPr="00233AF5">
        <w:t xml:space="preserve">hanno completato la fase clinica e </w:t>
      </w:r>
      <w:r w:rsidRPr="00233AF5">
        <w:rPr>
          <w:rFonts w:cs="Arial"/>
        </w:rPr>
        <w:t>sono stati inclusi nell’analisi farmacocinetica.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810599" w:rsidRPr="00233AF5" w:rsidRDefault="00810599" w:rsidP="00810599">
      <w:pPr>
        <w:autoSpaceDE w:val="0"/>
        <w:autoSpaceDN w:val="0"/>
        <w:adjustRightInd w:val="0"/>
        <w:spacing w:after="0" w:line="240" w:lineRule="auto"/>
        <w:jc w:val="both"/>
      </w:pPr>
      <w:r w:rsidRPr="00233AF5">
        <w:rPr>
          <w:rFonts w:cs="Arial"/>
        </w:rPr>
        <w:t>Sono stati riscontrati 9 eventi avversi direttamente correlati con la somministrazione della formulazione Test e 5 eventi avversi direttamente correlati con la somministrazione della formulazione Reference. Gli eventi avversi erano tutti di entità lieve e media.</w:t>
      </w:r>
      <w:r w:rsidRPr="00233AF5">
        <w:t xml:space="preserve"> Gli eventi avversi sono stati simili tra medicinale test e medicinali di riferimento. </w:t>
      </w:r>
    </w:p>
    <w:p w:rsidR="00810599" w:rsidRPr="00233AF5" w:rsidRDefault="00810599" w:rsidP="00810599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 xml:space="preserve">Non sono state riscontrate alterazioni significative dal punto di vista clinico tra i segni vitali prima, durante e dopo lo studio. </w:t>
      </w:r>
    </w:p>
    <w:p w:rsidR="005C3D27" w:rsidRPr="005C3D27" w:rsidRDefault="005C3D27" w:rsidP="00452241">
      <w:pPr>
        <w:spacing w:after="0" w:line="240" w:lineRule="auto"/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BC3934" w:rsidRDefault="00BC3934" w:rsidP="0045224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810599" w:rsidRPr="00233AF5" w:rsidTr="00940B75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233AF5">
              <w:rPr>
                <w:rFonts w:cs="Arial"/>
                <w:b/>
                <w:bCs/>
                <w:sz w:val="20"/>
              </w:rPr>
              <w:t>PANTOPRAZOLO</w:t>
            </w:r>
          </w:p>
        </w:tc>
      </w:tr>
      <w:tr w:rsidR="00810599" w:rsidRPr="00233AF5" w:rsidTr="00940B75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T/R Ratio %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90% C.I.</w:t>
            </w:r>
          </w:p>
        </w:tc>
      </w:tr>
      <w:tr w:rsidR="00810599" w:rsidRPr="00233AF5" w:rsidTr="00940B75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rPr>
                <w:lang w:eastAsia="it-IT"/>
              </w:rPr>
              <w:t>96.04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91.91-100.36</w:t>
            </w:r>
          </w:p>
        </w:tc>
      </w:tr>
      <w:tr w:rsidR="00810599" w:rsidRPr="00233AF5" w:rsidTr="00940B7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rPr>
                <w:lang w:eastAsia="it-IT"/>
              </w:rPr>
              <w:t>96.18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92.15-100.39</w:t>
            </w:r>
          </w:p>
        </w:tc>
      </w:tr>
      <w:tr w:rsidR="00810599" w:rsidRPr="00233AF5" w:rsidTr="00940B7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C</w:t>
            </w:r>
            <w:r w:rsidRPr="00233AF5">
              <w:rPr>
                <w:b/>
                <w:sz w:val="20"/>
                <w:vertAlign w:val="subscript"/>
              </w:rPr>
              <w:t>max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rPr>
                <w:lang w:eastAsia="it-IT"/>
              </w:rPr>
              <w:t>88.45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83.74-93.43</w:t>
            </w:r>
          </w:p>
        </w:tc>
      </w:tr>
    </w:tbl>
    <w:p w:rsidR="00BC3934" w:rsidRPr="005C3D27" w:rsidRDefault="00BC3934" w:rsidP="00452241">
      <w:pPr>
        <w:spacing w:after="0" w:line="240" w:lineRule="auto"/>
        <w:jc w:val="both"/>
        <w:rPr>
          <w:rFonts w:cs="Arial"/>
        </w:rPr>
      </w:pPr>
    </w:p>
    <w:p w:rsidR="005C3D27" w:rsidRPr="005C3D27" w:rsidRDefault="005C3D27" w:rsidP="00452241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5C3D27">
        <w:t>STUDIO IN CONDIZIONI DI DIGIUNO – COMPRESSE DA 40 MG</w:t>
      </w:r>
    </w:p>
    <w:p w:rsidR="00810599" w:rsidRPr="00233AF5" w:rsidRDefault="00810599" w:rsidP="00810599">
      <w:pPr>
        <w:spacing w:after="0" w:line="240" w:lineRule="auto"/>
        <w:jc w:val="both"/>
        <w:rPr>
          <w:rFonts w:cs="Arial"/>
        </w:rPr>
      </w:pPr>
      <w:r w:rsidRPr="00233AF5">
        <w:t xml:space="preserve">Lo studio è stato condotto in 30 volontari sani di entrambi i sessi con somministrazione a digiuno. </w:t>
      </w:r>
      <w:r w:rsidRPr="00233AF5">
        <w:rPr>
          <w:rFonts w:cs="Arial"/>
        </w:rPr>
        <w:t xml:space="preserve">Dopo una notte di digiuno, il medicinale è stato somministrato con acqua. </w:t>
      </w:r>
      <w:r w:rsidRPr="00233AF5">
        <w:t xml:space="preserve">Un soddisfacente periodo di wash-out di </w:t>
      </w:r>
      <w:r w:rsidRPr="00233AF5">
        <w:rPr>
          <w:rFonts w:cs="Arial"/>
        </w:rPr>
        <w:t>7 giorni è stato previsto tra le somministrazioni in ogni gruppo.</w:t>
      </w:r>
    </w:p>
    <w:p w:rsidR="00810599" w:rsidRPr="00233AF5" w:rsidRDefault="00810599" w:rsidP="00810599">
      <w:pPr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>Campioni di sangue sono stati prelevati al tempo zero (pre-dose) e a specificati tempi fino a 24 ore dopo la somministrazione. I livelli plasmatici di pantoprazolo sono stati determinati mediante un metodo analitico HPLC-MS/MS opportunamente convalidato.</w:t>
      </w:r>
    </w:p>
    <w:p w:rsidR="005C3D27" w:rsidRPr="00810599" w:rsidRDefault="00810599" w:rsidP="00452241">
      <w:pPr>
        <w:pStyle w:val="Paragrafoelenco"/>
        <w:spacing w:after="0" w:line="240" w:lineRule="auto"/>
        <w:ind w:left="0"/>
        <w:jc w:val="both"/>
      </w:pPr>
      <w:r w:rsidRPr="00233AF5">
        <w:rPr>
          <w:rFonts w:cs="Arial"/>
        </w:rPr>
        <w:t>Per pantoprazolo sono state definite le seguenti variabili farmacocinetiche: C</w:t>
      </w:r>
      <w:r w:rsidRPr="00233AF5">
        <w:rPr>
          <w:rFonts w:cs="Arial"/>
          <w:vertAlign w:val="subscript"/>
        </w:rPr>
        <w:t>max</w:t>
      </w:r>
      <w:r w:rsidRPr="00233AF5">
        <w:rPr>
          <w:rFonts w:cs="Arial"/>
        </w:rPr>
        <w:t>,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>,, AUC</w:t>
      </w:r>
      <w:r w:rsidRPr="00233AF5">
        <w:rPr>
          <w:rFonts w:cs="Arial"/>
          <w:vertAlign w:val="subscript"/>
        </w:rPr>
        <w:t>0-</w:t>
      </w:r>
      <w:r w:rsidRPr="00233AF5">
        <w:rPr>
          <w:rFonts w:cs="Arial"/>
          <w:vertAlign w:val="subscript"/>
          <w:lang w:val="en-GB"/>
        </w:rPr>
        <w:sym w:font="Symbol" w:char="00A5"/>
      </w:r>
      <w:r w:rsidRPr="00233AF5">
        <w:rPr>
          <w:rFonts w:cs="Arial"/>
        </w:rPr>
        <w:t>, t</w:t>
      </w:r>
      <w:r w:rsidRPr="00233AF5">
        <w:rPr>
          <w:rFonts w:cs="Arial"/>
          <w:vertAlign w:val="subscript"/>
        </w:rPr>
        <w:t>max</w:t>
      </w:r>
      <w:r w:rsidRPr="00233AF5">
        <w:rPr>
          <w:rFonts w:cs="Arial"/>
        </w:rPr>
        <w:t>, t½ e AUC estrapolata. La bioequivalenza tra medicinale test e medicinale di riferimento è dimostrata se gli intervalli di confidenza al 90% per la trasformata logaritmica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>,,  cadono nel range di accettabilità di 0.80-1.25 (80%-125%) e se per la trasformata logaritmica di C</w:t>
      </w:r>
      <w:r w:rsidRPr="00233AF5">
        <w:rPr>
          <w:rFonts w:cs="Arial"/>
          <w:vertAlign w:val="subscript"/>
        </w:rPr>
        <w:t>max</w:t>
      </w:r>
      <w:r w:rsidRPr="00233AF5">
        <w:rPr>
          <w:rFonts w:cs="Arial"/>
        </w:rPr>
        <w:t xml:space="preserve"> cadono nel range di accettabilità di 0.75-1.33 (75%-133%).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C3D27">
        <w:rPr>
          <w:u w:val="single"/>
        </w:rPr>
        <w:t>Risultati</w:t>
      </w:r>
    </w:p>
    <w:p w:rsidR="00810599" w:rsidRPr="00233AF5" w:rsidRDefault="00810599" w:rsidP="00810599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 xml:space="preserve">36 volontari sani sono stati arruolati nello studio. 30 soggetti </w:t>
      </w:r>
      <w:r w:rsidRPr="00233AF5">
        <w:t xml:space="preserve">hanno completato la fase clinica e </w:t>
      </w:r>
      <w:r w:rsidRPr="00233AF5">
        <w:rPr>
          <w:rFonts w:cs="Arial"/>
        </w:rPr>
        <w:t>sono stati inclusi nell’analisi farmacocinetica (29 per l’analisi dell’AUC).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810599" w:rsidRPr="00233AF5" w:rsidRDefault="00810599" w:rsidP="00810599">
      <w:pPr>
        <w:spacing w:after="0" w:line="240" w:lineRule="auto"/>
        <w:jc w:val="both"/>
      </w:pPr>
      <w:r w:rsidRPr="00233AF5">
        <w:t xml:space="preserve">Sono stati riscontrati 12 eventi avversi direttamente correlati con la somministrazione della formulazione Test e 9 eventi avversi direttamente correlati con la somministrazione della formulazione Reference.  </w:t>
      </w:r>
      <w:r w:rsidRPr="00233AF5">
        <w:rPr>
          <w:rFonts w:cs="Arial"/>
        </w:rPr>
        <w:t xml:space="preserve"> Gli eventi avversi erano tutti di entità lieve e media.</w:t>
      </w:r>
      <w:r w:rsidRPr="00233AF5">
        <w:t xml:space="preserve"> Gli eventi avversi sono stati simili tra medicinale test e medicinali di riferimento. </w:t>
      </w:r>
    </w:p>
    <w:p w:rsidR="005C3D27" w:rsidRPr="005C3D27" w:rsidRDefault="00810599" w:rsidP="00810599">
      <w:pPr>
        <w:spacing w:after="0" w:line="240" w:lineRule="auto"/>
      </w:pPr>
      <w:r w:rsidRPr="00233AF5">
        <w:rPr>
          <w:lang w:eastAsia="it-IT"/>
        </w:rPr>
        <w:t>Non sono state riscontrate alterazioni significative dal punto di vista clinico tra i segni vitali e gli esami fisici testati prima, durante e dopo lo studio.</w:t>
      </w:r>
    </w:p>
    <w:p w:rsidR="005C3D27" w:rsidRPr="005C3D27" w:rsidRDefault="005C3D27" w:rsidP="00452241">
      <w:pPr>
        <w:spacing w:after="0" w:line="240" w:lineRule="auto"/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BC3934" w:rsidRDefault="00BC3934" w:rsidP="0045224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810599" w:rsidRPr="00233AF5" w:rsidTr="00940B75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233AF5">
              <w:rPr>
                <w:rFonts w:cs="Arial"/>
                <w:b/>
                <w:bCs/>
                <w:sz w:val="20"/>
              </w:rPr>
              <w:t>PANTOPRAZOLO</w:t>
            </w:r>
          </w:p>
        </w:tc>
      </w:tr>
      <w:tr w:rsidR="00810599" w:rsidRPr="00233AF5" w:rsidTr="00940B75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T/R Ratio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90% C.I.</w:t>
            </w:r>
          </w:p>
        </w:tc>
      </w:tr>
      <w:tr w:rsidR="00810599" w:rsidRPr="00233AF5" w:rsidTr="00940B75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104.75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99.82-109.93</w:t>
            </w:r>
          </w:p>
        </w:tc>
      </w:tr>
      <w:tr w:rsidR="00810599" w:rsidRPr="00233AF5" w:rsidTr="00940B7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0-∞*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104.29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99.43-109.38</w:t>
            </w:r>
          </w:p>
        </w:tc>
      </w:tr>
      <w:tr w:rsidR="00810599" w:rsidRPr="00233AF5" w:rsidTr="00940B7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C</w:t>
            </w:r>
            <w:r w:rsidRPr="00233AF5">
              <w:rPr>
                <w:b/>
                <w:sz w:val="20"/>
                <w:vertAlign w:val="subscript"/>
              </w:rPr>
              <w:t>max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 xml:space="preserve">92.95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86.06-100.39</w:t>
            </w:r>
          </w:p>
        </w:tc>
      </w:tr>
    </w:tbl>
    <w:p w:rsidR="009C69A7" w:rsidRDefault="009C69A7" w:rsidP="00452241">
      <w:pPr>
        <w:pStyle w:val="Paragrafoelenco"/>
        <w:spacing w:after="0" w:line="240" w:lineRule="auto"/>
        <w:ind w:left="0"/>
        <w:jc w:val="both"/>
      </w:pPr>
    </w:p>
    <w:p w:rsidR="00BC3934" w:rsidRPr="005C3D27" w:rsidRDefault="00BC3934" w:rsidP="00452241">
      <w:pPr>
        <w:spacing w:after="0" w:line="240" w:lineRule="auto"/>
        <w:rPr>
          <w:rFonts w:cs="Arial"/>
        </w:rPr>
      </w:pPr>
    </w:p>
    <w:p w:rsidR="005C3D27" w:rsidRPr="005C3D27" w:rsidRDefault="005C3D27" w:rsidP="00452241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5C3D27">
        <w:t>STUDIO IN CONDIZIONI DI STOMACO PIENO – COMPRESSE DA 40 MG</w:t>
      </w:r>
    </w:p>
    <w:p w:rsidR="00810599" w:rsidRPr="00233AF5" w:rsidRDefault="00810599" w:rsidP="00810599">
      <w:pPr>
        <w:spacing w:after="0" w:line="240" w:lineRule="auto"/>
        <w:jc w:val="both"/>
      </w:pPr>
      <w:r w:rsidRPr="00233AF5">
        <w:t xml:space="preserve">Lo studio è stato condotto in 30 volontari sani di entrambi i sessi con somministrazione a stomaco pieno. Pasti standard ad alto contenuto di grassi e ad alto contenuto calorico sono stati serviti al mattino prima della somministrazione e consumati nel corso di 30 minuti. Un soddisfacente periodo di wash-out di </w:t>
      </w:r>
      <w:r w:rsidRPr="00233AF5">
        <w:rPr>
          <w:rFonts w:cs="Arial"/>
        </w:rPr>
        <w:t>7 giorni è stato previsto tra le somministrazioni in ogni gruppo.</w:t>
      </w:r>
    </w:p>
    <w:p w:rsidR="00810599" w:rsidRPr="00233AF5" w:rsidRDefault="00810599" w:rsidP="00810599">
      <w:pPr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>Campioni di sangue sono stati prelevati al tempo zero (pre-dose) e a specificati tempi fino a 28 ore dopo la somministrazione. I livelli plasmatici di pantoprazolo sono stati determinati mediante un metodo analitico HPLC-MS/MS opportunamente convalidato.</w:t>
      </w:r>
    </w:p>
    <w:p w:rsidR="00810599" w:rsidRPr="00233AF5" w:rsidRDefault="00810599" w:rsidP="00810599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>Per pantoprazolo sono state definite le seguenti variabili farmacocinetiche: C</w:t>
      </w:r>
      <w:r w:rsidRPr="00233AF5">
        <w:rPr>
          <w:rFonts w:cs="Arial"/>
          <w:vertAlign w:val="subscript"/>
        </w:rPr>
        <w:t>max</w:t>
      </w:r>
      <w:r w:rsidRPr="00233AF5">
        <w:rPr>
          <w:rFonts w:cs="Arial"/>
        </w:rPr>
        <w:t>,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>,, AUC</w:t>
      </w:r>
      <w:r w:rsidRPr="00233AF5">
        <w:rPr>
          <w:rFonts w:cs="Arial"/>
          <w:vertAlign w:val="subscript"/>
        </w:rPr>
        <w:t>0-</w:t>
      </w:r>
      <w:r w:rsidRPr="00233AF5">
        <w:rPr>
          <w:rFonts w:cs="Arial"/>
          <w:vertAlign w:val="subscript"/>
          <w:lang w:val="en-GB"/>
        </w:rPr>
        <w:sym w:font="Symbol" w:char="00A5"/>
      </w:r>
      <w:r w:rsidRPr="00233AF5">
        <w:rPr>
          <w:rFonts w:cs="Arial"/>
        </w:rPr>
        <w:t>, t</w:t>
      </w:r>
      <w:r w:rsidRPr="00233AF5">
        <w:rPr>
          <w:rFonts w:cs="Arial"/>
          <w:vertAlign w:val="subscript"/>
        </w:rPr>
        <w:t>max</w:t>
      </w:r>
      <w:r w:rsidRPr="00233AF5">
        <w:rPr>
          <w:rFonts w:cs="Arial"/>
        </w:rPr>
        <w:t>, t½ e AUC estrapolata. La bioequivalenza tra medicinale test e medicinale di riferimento è dimostrata se gli intervalli di confidenza al 90% per la trasformata logaritmica AUC</w:t>
      </w:r>
      <w:r w:rsidRPr="00233AF5">
        <w:rPr>
          <w:rFonts w:cs="Arial"/>
          <w:vertAlign w:val="subscript"/>
        </w:rPr>
        <w:t>0-t</w:t>
      </w:r>
      <w:r w:rsidRPr="00233AF5">
        <w:rPr>
          <w:rFonts w:cs="Arial"/>
        </w:rPr>
        <w:t xml:space="preserve">,,  cadono nel range di accettabilità di 0.80-1.25 (80%-125%) e </w:t>
      </w:r>
      <w:r w:rsidRPr="00233AF5">
        <w:rPr>
          <w:rFonts w:eastAsia="MS Mincho"/>
          <w:color w:val="000000"/>
        </w:rPr>
        <w:t xml:space="preserve"> se per</w:t>
      </w:r>
      <w:r w:rsidRPr="00233AF5">
        <w:rPr>
          <w:rFonts w:cs="Arial"/>
        </w:rPr>
        <w:t xml:space="preserve"> la trasformata logaritmica di</w:t>
      </w:r>
      <w:r w:rsidRPr="00233AF5">
        <w:rPr>
          <w:rFonts w:eastAsia="MS Mincho"/>
          <w:color w:val="000000"/>
        </w:rPr>
        <w:t xml:space="preserve"> C</w:t>
      </w:r>
      <w:r w:rsidRPr="00233AF5">
        <w:rPr>
          <w:rFonts w:eastAsia="MS Mincho"/>
          <w:color w:val="000000"/>
          <w:vertAlign w:val="subscript"/>
        </w:rPr>
        <w:t>max</w:t>
      </w:r>
      <w:r w:rsidRPr="00233AF5">
        <w:rPr>
          <w:rFonts w:cs="Arial"/>
        </w:rPr>
        <w:t xml:space="preserve"> cadono nel range di accettabilità di </w:t>
      </w:r>
      <w:r w:rsidRPr="00233AF5">
        <w:rPr>
          <w:rFonts w:eastAsia="MS Mincho"/>
          <w:color w:val="000000"/>
        </w:rPr>
        <w:t xml:space="preserve">0.75-1.33 </w:t>
      </w:r>
      <w:r w:rsidRPr="00233AF5">
        <w:rPr>
          <w:rFonts w:cs="Arial"/>
        </w:rPr>
        <w:t>(75%-133%).</w:t>
      </w: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</w:pPr>
    </w:p>
    <w:p w:rsidR="005C3D27" w:rsidRPr="005C3D27" w:rsidRDefault="005C3D27" w:rsidP="0045224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C3D27">
        <w:rPr>
          <w:u w:val="single"/>
        </w:rPr>
        <w:t>Risultati</w:t>
      </w:r>
    </w:p>
    <w:p w:rsidR="005C3D27" w:rsidRPr="005C3D27" w:rsidRDefault="00810599" w:rsidP="00452241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233AF5">
        <w:rPr>
          <w:rFonts w:cs="Arial"/>
        </w:rPr>
        <w:t xml:space="preserve">36 volontari sani sono stati arruolati nello studio. 30 soggetti </w:t>
      </w:r>
      <w:r w:rsidRPr="00233AF5">
        <w:t xml:space="preserve">hanno completato la fase clinica e </w:t>
      </w:r>
      <w:r w:rsidRPr="00233AF5">
        <w:rPr>
          <w:rFonts w:cs="Arial"/>
        </w:rPr>
        <w:t>sono stati inclusi nell’analisi farmacocinetica (28 per l’analisi dell’AUC).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810599" w:rsidRPr="00233AF5" w:rsidRDefault="00810599" w:rsidP="00810599">
      <w:pPr>
        <w:autoSpaceDE w:val="0"/>
        <w:autoSpaceDN w:val="0"/>
        <w:adjustRightInd w:val="0"/>
        <w:spacing w:after="0" w:line="240" w:lineRule="auto"/>
        <w:jc w:val="both"/>
      </w:pPr>
      <w:r w:rsidRPr="00233AF5">
        <w:rPr>
          <w:rFonts w:cs="Arial"/>
        </w:rPr>
        <w:t xml:space="preserve">Nel corso dello studio, </w:t>
      </w:r>
      <w:r w:rsidRPr="00233AF5">
        <w:t>sono stati riscontrati 12 AEs direttamente correlati con la somministrazione della formulazione Test e 18 AEs direttamente correlati con la somministrazione della formulazione Reference</w:t>
      </w:r>
      <w:r w:rsidRPr="00233AF5">
        <w:rPr>
          <w:rFonts w:cs="Arial"/>
        </w:rPr>
        <w:t xml:space="preserve"> Gli eventi avversi erano tutti di entità lieve e media.i.</w:t>
      </w:r>
      <w:r w:rsidRPr="00233AF5">
        <w:t xml:space="preserve">Gli eventi avversi sono stati simili tra medicinale test e medicinali di riferimento. </w:t>
      </w:r>
    </w:p>
    <w:p w:rsidR="005C3D27" w:rsidRPr="005C3D27" w:rsidRDefault="00810599" w:rsidP="00810599">
      <w:pPr>
        <w:spacing w:after="0" w:line="240" w:lineRule="auto"/>
        <w:jc w:val="both"/>
      </w:pPr>
      <w:r w:rsidRPr="00233AF5">
        <w:rPr>
          <w:lang w:eastAsia="it-IT"/>
        </w:rPr>
        <w:t>Non sono state riscontrate alterazioni significative dal punto di vista clinico tra i segni vitali e gli esami fisici testati prima, durante e dopo lo studio.</w:t>
      </w:r>
    </w:p>
    <w:p w:rsidR="005C3D27" w:rsidRPr="005C3D27" w:rsidRDefault="005C3D27" w:rsidP="00452241">
      <w:pPr>
        <w:spacing w:after="0" w:line="240" w:lineRule="auto"/>
      </w:pP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C3D27" w:rsidRPr="005C3D27" w:rsidRDefault="005C3D27" w:rsidP="0045224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5C3D2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5C3D27" w:rsidRDefault="005C3D27" w:rsidP="0045224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810599" w:rsidRPr="00233AF5" w:rsidTr="00940B75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233AF5">
              <w:rPr>
                <w:rFonts w:cs="Arial"/>
                <w:b/>
                <w:bCs/>
                <w:sz w:val="20"/>
              </w:rPr>
              <w:t>PANTOPRAZOLO</w:t>
            </w:r>
          </w:p>
        </w:tc>
      </w:tr>
      <w:tr w:rsidR="00810599" w:rsidRPr="00233AF5" w:rsidTr="00940B75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T/R Ratio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233AF5">
              <w:rPr>
                <w:rFonts w:cs="Arial"/>
                <w:b/>
                <w:sz w:val="20"/>
              </w:rPr>
              <w:t>90% C.I.</w:t>
            </w:r>
          </w:p>
        </w:tc>
      </w:tr>
      <w:tr w:rsidR="00810599" w:rsidRPr="00233AF5" w:rsidTr="00940B75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98.02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92.40-103.98</w:t>
            </w:r>
          </w:p>
        </w:tc>
      </w:tr>
      <w:tr w:rsidR="00810599" w:rsidRPr="00233AF5" w:rsidTr="00940B7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t>AUC</w:t>
            </w:r>
            <w:r w:rsidRPr="00233AF5">
              <w:rPr>
                <w:b/>
                <w:sz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99.86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94.43-105.61</w:t>
            </w:r>
          </w:p>
        </w:tc>
      </w:tr>
      <w:tr w:rsidR="00810599" w:rsidRPr="00233AF5" w:rsidTr="00940B7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rPr>
                <w:b/>
                <w:sz w:val="20"/>
              </w:rPr>
            </w:pPr>
            <w:r w:rsidRPr="00233AF5">
              <w:rPr>
                <w:b/>
                <w:sz w:val="20"/>
              </w:rPr>
              <w:lastRenderedPageBreak/>
              <w:t>C</w:t>
            </w:r>
            <w:r w:rsidRPr="00233AF5">
              <w:rPr>
                <w:b/>
                <w:sz w:val="20"/>
                <w:vertAlign w:val="subscript"/>
              </w:rPr>
              <w:t>max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 xml:space="preserve">92.65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599" w:rsidRPr="00233AF5" w:rsidRDefault="00810599" w:rsidP="00940B75">
            <w:pPr>
              <w:spacing w:after="0" w:line="240" w:lineRule="auto"/>
              <w:jc w:val="center"/>
              <w:rPr>
                <w:sz w:val="20"/>
              </w:rPr>
            </w:pPr>
            <w:r w:rsidRPr="00233AF5">
              <w:t>82.61-103.92</w:t>
            </w:r>
          </w:p>
        </w:tc>
      </w:tr>
    </w:tbl>
    <w:p w:rsidR="009C69A7" w:rsidRDefault="009C69A7" w:rsidP="00452241">
      <w:pPr>
        <w:pStyle w:val="Paragrafoelenco"/>
        <w:spacing w:after="0" w:line="240" w:lineRule="auto"/>
        <w:ind w:left="0"/>
        <w:jc w:val="both"/>
      </w:pPr>
    </w:p>
    <w:p w:rsidR="009C69A7" w:rsidRDefault="009C69A7" w:rsidP="00452241">
      <w:pPr>
        <w:spacing w:after="0" w:line="240" w:lineRule="auto"/>
      </w:pPr>
    </w:p>
    <w:p w:rsidR="005C3D27" w:rsidRPr="005C3D27" w:rsidRDefault="005C3D27" w:rsidP="00452241">
      <w:pPr>
        <w:spacing w:after="0" w:line="240" w:lineRule="auto"/>
        <w:rPr>
          <w:rFonts w:cs="Arial"/>
        </w:rPr>
      </w:pPr>
      <w:r w:rsidRPr="005C3D27">
        <w:rPr>
          <w:rFonts w:cs="Arial"/>
          <w:i/>
        </w:rPr>
        <w:t>Conclusioni sulla bioequivalenza</w:t>
      </w:r>
      <w:r w:rsidRPr="005C3D27">
        <w:rPr>
          <w:rFonts w:cs="Arial"/>
        </w:rPr>
        <w:t>.</w:t>
      </w:r>
    </w:p>
    <w:p w:rsidR="00AD4BF3" w:rsidRPr="00233AF5" w:rsidRDefault="00AD4BF3" w:rsidP="00AD4BF3">
      <w:pPr>
        <w:spacing w:after="0" w:line="240" w:lineRule="auto"/>
        <w:jc w:val="both"/>
        <w:rPr>
          <w:rFonts w:cs="Arial"/>
        </w:rPr>
      </w:pPr>
      <w:r w:rsidRPr="00233AF5">
        <w:rPr>
          <w:rFonts w:cs="Arial"/>
        </w:rPr>
        <w:t xml:space="preserve">I risultati </w:t>
      </w:r>
      <w:r>
        <w:rPr>
          <w:rFonts w:cs="Arial"/>
        </w:rPr>
        <w:t>degli</w:t>
      </w:r>
      <w:r w:rsidRPr="00233AF5">
        <w:rPr>
          <w:rFonts w:cs="Arial"/>
        </w:rPr>
        <w:t xml:space="preserve"> studi di bioequivalenza mostrano che gli intervalli di confidenza dei parametri farmacocinetici studiati cadono nel range di accettabilità di 80-125%, in accordo con le linee guida correnti.</w:t>
      </w:r>
    </w:p>
    <w:p w:rsidR="005C3D27" w:rsidRPr="005C3D27" w:rsidRDefault="005C3D27" w:rsidP="00452241">
      <w:pPr>
        <w:spacing w:after="0" w:line="240" w:lineRule="auto"/>
        <w:jc w:val="both"/>
        <w:rPr>
          <w:rFonts w:cs="Arial"/>
        </w:rPr>
      </w:pPr>
    </w:p>
    <w:p w:rsidR="005D40D3" w:rsidRPr="005C3D27" w:rsidRDefault="005D40D3" w:rsidP="00452241">
      <w:pPr>
        <w:spacing w:after="0" w:line="240" w:lineRule="auto"/>
        <w:jc w:val="both"/>
        <w:rPr>
          <w:rFonts w:cs="Arial"/>
        </w:rPr>
      </w:pPr>
    </w:p>
    <w:p w:rsidR="005D40D3" w:rsidRPr="000B3C59" w:rsidRDefault="005D40D3" w:rsidP="00452241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5D40D3" w:rsidRPr="00D1324F" w:rsidRDefault="005D40D3" w:rsidP="0045224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AD4BF3">
        <w:rPr>
          <w:rFonts w:cs="Arial"/>
        </w:rPr>
        <w:t>Pantoflux</w:t>
      </w:r>
      <w:r w:rsidR="007E322A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9C69A7" w:rsidRDefault="009C69A7" w:rsidP="00452241">
      <w:pPr>
        <w:pStyle w:val="Paragrafoelenco"/>
        <w:spacing w:after="0" w:line="240" w:lineRule="auto"/>
        <w:ind w:left="0"/>
        <w:jc w:val="both"/>
      </w:pPr>
    </w:p>
    <w:p w:rsidR="009C69A7" w:rsidRDefault="009C69A7" w:rsidP="00452241">
      <w:pPr>
        <w:pStyle w:val="Paragrafoelenco"/>
        <w:spacing w:after="0" w:line="240" w:lineRule="auto"/>
        <w:ind w:left="0"/>
        <w:jc w:val="both"/>
      </w:pPr>
    </w:p>
    <w:p w:rsidR="005D40D3" w:rsidRPr="00D1324F" w:rsidRDefault="005D40D3" w:rsidP="00452241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5D40D3" w:rsidRPr="00D1324F" w:rsidRDefault="005D40D3" w:rsidP="00452241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AD4BF3">
        <w:t>Pantoflux</w:t>
      </w:r>
      <w:r w:rsidRPr="00D1324F">
        <w:t>.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995D3F" w:rsidRDefault="00995D3F" w:rsidP="00452241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452241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 w:rsidR="00AD4BF3">
        <w:rPr>
          <w:rFonts w:eastAsia="Calibri" w:cs="Calibri"/>
          <w:color w:val="000000"/>
          <w:lang w:eastAsia="it-IT"/>
        </w:rPr>
        <w:t>Pantoflux</w:t>
      </w:r>
      <w:r w:rsidR="00EF351A">
        <w:t xml:space="preserve"> </w:t>
      </w:r>
      <w:r>
        <w:t>sono state presentate sufficienti informazioni cliniche.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r w:rsidR="00AD4BF3">
        <w:rPr>
          <w:rFonts w:eastAsia="Calibri" w:cs="Calibri"/>
          <w:color w:val="000000"/>
          <w:lang w:eastAsia="it-IT"/>
        </w:rPr>
        <w:t>Pantoflux</w:t>
      </w:r>
      <w:r w:rsidR="00EF351A">
        <w:t xml:space="preserve"> </w:t>
      </w:r>
      <w:r>
        <w:t>è considerato favorevole dal punto di vista clinico.</w:t>
      </w:r>
    </w:p>
    <w:p w:rsidR="00EA5E1B" w:rsidRDefault="00EA5E1B" w:rsidP="00452241">
      <w:pPr>
        <w:pStyle w:val="Paragrafoelenco"/>
        <w:spacing w:after="0" w:line="240" w:lineRule="auto"/>
        <w:ind w:left="0"/>
        <w:jc w:val="both"/>
      </w:pP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452241">
      <w:pPr>
        <w:spacing w:after="0" w:line="240" w:lineRule="auto"/>
        <w:jc w:val="both"/>
      </w:pPr>
      <w: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5D40D3" w:rsidRDefault="005D40D3" w:rsidP="00452241">
      <w:pPr>
        <w:pStyle w:val="Paragrafoelenco"/>
        <w:spacing w:after="0" w:line="240" w:lineRule="auto"/>
        <w:ind w:left="0"/>
        <w:jc w:val="both"/>
      </w:pPr>
    </w:p>
    <w:p w:rsidR="005D40D3" w:rsidRDefault="005D40D3" w:rsidP="00452241">
      <w:pPr>
        <w:spacing w:after="0" w:line="240" w:lineRule="auto"/>
        <w:jc w:val="both"/>
      </w:pPr>
    </w:p>
    <w:p w:rsidR="005D40D3" w:rsidRPr="00BC23ED" w:rsidRDefault="005D40D3" w:rsidP="00452241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452241">
      <w:pPr>
        <w:spacing w:after="0" w:line="240" w:lineRule="auto"/>
        <w:jc w:val="both"/>
      </w:pPr>
      <w:r>
        <w:t xml:space="preserve">La qualità di </w:t>
      </w:r>
      <w:r w:rsidR="00AD4BF3">
        <w:rPr>
          <w:rFonts w:eastAsia="Calibri" w:cs="Calibri"/>
          <w:color w:val="000000"/>
          <w:lang w:eastAsia="it-IT"/>
        </w:rPr>
        <w:t>Pantoflux</w:t>
      </w:r>
      <w:r w:rsidR="00EF351A">
        <w:t xml:space="preserve"> </w:t>
      </w:r>
      <w:r>
        <w:t>è accettabile e non sono state rilevate criticità da un punto di vista non clinico e clinico.</w:t>
      </w:r>
    </w:p>
    <w:p w:rsidR="005D40D3" w:rsidRDefault="00AD4BF3" w:rsidP="00452241">
      <w:pPr>
        <w:spacing w:after="0" w:line="240" w:lineRule="auto"/>
        <w:jc w:val="both"/>
      </w:pPr>
      <w:r>
        <w:t>Gli studi</w:t>
      </w:r>
      <w:r w:rsidR="005D40D3">
        <w:t xml:space="preserve"> di bioequivalenza e le </w:t>
      </w:r>
      <w:r>
        <w:t>loro</w:t>
      </w:r>
      <w:r w:rsidR="005D40D3">
        <w:t xml:space="preserve"> conclusioni confermano che </w:t>
      </w:r>
      <w:r>
        <w:rPr>
          <w:rFonts w:eastAsia="Calibri" w:cs="Calibri"/>
          <w:color w:val="000000"/>
          <w:lang w:eastAsia="it-IT"/>
        </w:rPr>
        <w:t>Pantoflux</w:t>
      </w:r>
      <w:r w:rsidR="00EF351A">
        <w:t xml:space="preserve"> </w:t>
      </w:r>
      <w:r w:rsidR="005D40D3">
        <w:t xml:space="preserve">e il medicinale di riferimento </w:t>
      </w:r>
      <w:r w:rsidR="00F730DA">
        <w:t>Pant</w:t>
      </w:r>
      <w:r>
        <w:t>ecta</w:t>
      </w:r>
      <w:r w:rsidR="0045530D">
        <w:t xml:space="preserve"> </w:t>
      </w:r>
      <w:r w:rsidR="005D40D3">
        <w:t>sono bioequivalenti.</w:t>
      </w:r>
    </w:p>
    <w:p w:rsidR="005D40D3" w:rsidRDefault="005D40D3" w:rsidP="00452241">
      <w:pPr>
        <w:spacing w:after="0" w:line="240" w:lineRule="auto"/>
        <w:jc w:val="both"/>
      </w:pPr>
      <w:r>
        <w:t>Il rapporto beneficio/rischio è considerato positivo.</w:t>
      </w:r>
    </w:p>
    <w:p w:rsidR="005D40D3" w:rsidRDefault="005D40D3" w:rsidP="00452241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2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5D40D3" w:rsidSect="005D40D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0F1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41609"/>
    <w:multiLevelType w:val="hybridMultilevel"/>
    <w:tmpl w:val="1E5AABE8"/>
    <w:lvl w:ilvl="0" w:tplc="B888CF3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82AF4"/>
    <w:multiLevelType w:val="hybridMultilevel"/>
    <w:tmpl w:val="FA509060"/>
    <w:lvl w:ilvl="0" w:tplc="2722B9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30948"/>
    <w:multiLevelType w:val="hybridMultilevel"/>
    <w:tmpl w:val="2DC8B83E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71626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EC4791"/>
    <w:multiLevelType w:val="hybridMultilevel"/>
    <w:tmpl w:val="A992D046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015A5"/>
    <w:multiLevelType w:val="hybridMultilevel"/>
    <w:tmpl w:val="3FE20F82"/>
    <w:lvl w:ilvl="0" w:tplc="BF165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FB02F78"/>
    <w:multiLevelType w:val="hybridMultilevel"/>
    <w:tmpl w:val="DDEA0328"/>
    <w:lvl w:ilvl="0" w:tplc="53D22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CC74F1"/>
    <w:multiLevelType w:val="hybridMultilevel"/>
    <w:tmpl w:val="51E2A7D4"/>
    <w:lvl w:ilvl="0" w:tplc="0CAA3114">
      <w:start w:val="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44B0D"/>
    <w:multiLevelType w:val="hybridMultilevel"/>
    <w:tmpl w:val="7CB82574"/>
    <w:lvl w:ilvl="0" w:tplc="2AB48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17399E"/>
    <w:multiLevelType w:val="hybridMultilevel"/>
    <w:tmpl w:val="04B60E32"/>
    <w:lvl w:ilvl="0" w:tplc="6D5C04D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2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13"/>
  </w:num>
  <w:num w:numId="12">
    <w:abstractNumId w:val="9"/>
  </w:num>
  <w:num w:numId="13">
    <w:abstractNumId w:val="8"/>
  </w:num>
  <w:num w:numId="14">
    <w:abstractNumId w:val="15"/>
  </w:num>
  <w:num w:numId="15">
    <w:abstractNumId w:val="7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hyphenationZone w:val="283"/>
  <w:characterSpacingControl w:val="doNotCompress"/>
  <w:compat/>
  <w:rsids>
    <w:rsidRoot w:val="004241AC"/>
    <w:rsid w:val="00013020"/>
    <w:rsid w:val="00033D45"/>
    <w:rsid w:val="00037F9B"/>
    <w:rsid w:val="00062636"/>
    <w:rsid w:val="00063F73"/>
    <w:rsid w:val="00076ADA"/>
    <w:rsid w:val="00077016"/>
    <w:rsid w:val="000A4FD2"/>
    <w:rsid w:val="000C1599"/>
    <w:rsid w:val="000D2743"/>
    <w:rsid w:val="000F68AA"/>
    <w:rsid w:val="0010050E"/>
    <w:rsid w:val="00111E9E"/>
    <w:rsid w:val="0011250C"/>
    <w:rsid w:val="00120AB2"/>
    <w:rsid w:val="001213EB"/>
    <w:rsid w:val="00175D6E"/>
    <w:rsid w:val="0018012E"/>
    <w:rsid w:val="00180C71"/>
    <w:rsid w:val="001B63CC"/>
    <w:rsid w:val="001D3B18"/>
    <w:rsid w:val="001F6B4A"/>
    <w:rsid w:val="00216A47"/>
    <w:rsid w:val="00226F04"/>
    <w:rsid w:val="00227B21"/>
    <w:rsid w:val="00234A08"/>
    <w:rsid w:val="002457BF"/>
    <w:rsid w:val="00246D26"/>
    <w:rsid w:val="00265222"/>
    <w:rsid w:val="002665E1"/>
    <w:rsid w:val="00266832"/>
    <w:rsid w:val="0029231F"/>
    <w:rsid w:val="002D14D6"/>
    <w:rsid w:val="002D28AC"/>
    <w:rsid w:val="002D7181"/>
    <w:rsid w:val="002E21C3"/>
    <w:rsid w:val="002E485B"/>
    <w:rsid w:val="002F7159"/>
    <w:rsid w:val="00302FF6"/>
    <w:rsid w:val="00307743"/>
    <w:rsid w:val="00353C2D"/>
    <w:rsid w:val="0036027A"/>
    <w:rsid w:val="0036414C"/>
    <w:rsid w:val="00364274"/>
    <w:rsid w:val="00387657"/>
    <w:rsid w:val="00392554"/>
    <w:rsid w:val="00412D3F"/>
    <w:rsid w:val="00417711"/>
    <w:rsid w:val="00423C21"/>
    <w:rsid w:val="004241AC"/>
    <w:rsid w:val="0043573D"/>
    <w:rsid w:val="00452241"/>
    <w:rsid w:val="00452364"/>
    <w:rsid w:val="0045530D"/>
    <w:rsid w:val="004638D9"/>
    <w:rsid w:val="00492B4C"/>
    <w:rsid w:val="00493A55"/>
    <w:rsid w:val="00494C07"/>
    <w:rsid w:val="004A1685"/>
    <w:rsid w:val="004B20A8"/>
    <w:rsid w:val="004C0190"/>
    <w:rsid w:val="00505579"/>
    <w:rsid w:val="00532645"/>
    <w:rsid w:val="005345E1"/>
    <w:rsid w:val="00591978"/>
    <w:rsid w:val="005C3D27"/>
    <w:rsid w:val="005C4E37"/>
    <w:rsid w:val="005D40D3"/>
    <w:rsid w:val="005D5D07"/>
    <w:rsid w:val="005E37A9"/>
    <w:rsid w:val="005E7072"/>
    <w:rsid w:val="005F0934"/>
    <w:rsid w:val="005F461F"/>
    <w:rsid w:val="006124C0"/>
    <w:rsid w:val="00615C10"/>
    <w:rsid w:val="00647052"/>
    <w:rsid w:val="00667E02"/>
    <w:rsid w:val="00676B8A"/>
    <w:rsid w:val="006842F2"/>
    <w:rsid w:val="00690EF7"/>
    <w:rsid w:val="0069320E"/>
    <w:rsid w:val="006B7CBD"/>
    <w:rsid w:val="006E1520"/>
    <w:rsid w:val="006E45EF"/>
    <w:rsid w:val="0070121F"/>
    <w:rsid w:val="00716B36"/>
    <w:rsid w:val="00745B3B"/>
    <w:rsid w:val="00746838"/>
    <w:rsid w:val="007537BE"/>
    <w:rsid w:val="00763EA7"/>
    <w:rsid w:val="007E322A"/>
    <w:rsid w:val="008023C2"/>
    <w:rsid w:val="00802A3C"/>
    <w:rsid w:val="00810599"/>
    <w:rsid w:val="00824AE8"/>
    <w:rsid w:val="00824B90"/>
    <w:rsid w:val="00826703"/>
    <w:rsid w:val="008444AB"/>
    <w:rsid w:val="00853293"/>
    <w:rsid w:val="00874733"/>
    <w:rsid w:val="00874CF7"/>
    <w:rsid w:val="008838B7"/>
    <w:rsid w:val="00896A9B"/>
    <w:rsid w:val="00897AB7"/>
    <w:rsid w:val="008C0569"/>
    <w:rsid w:val="008E42D4"/>
    <w:rsid w:val="008E5353"/>
    <w:rsid w:val="008E77F3"/>
    <w:rsid w:val="00900667"/>
    <w:rsid w:val="00902ADE"/>
    <w:rsid w:val="009147B4"/>
    <w:rsid w:val="009229DB"/>
    <w:rsid w:val="00930722"/>
    <w:rsid w:val="0096052D"/>
    <w:rsid w:val="00966167"/>
    <w:rsid w:val="00984E3F"/>
    <w:rsid w:val="00995D3F"/>
    <w:rsid w:val="009A260F"/>
    <w:rsid w:val="009A4B52"/>
    <w:rsid w:val="009B03DB"/>
    <w:rsid w:val="009B4C3D"/>
    <w:rsid w:val="009C69A7"/>
    <w:rsid w:val="00A05212"/>
    <w:rsid w:val="00A074BE"/>
    <w:rsid w:val="00A1005E"/>
    <w:rsid w:val="00A2546E"/>
    <w:rsid w:val="00A32BC9"/>
    <w:rsid w:val="00A40FF3"/>
    <w:rsid w:val="00A444AF"/>
    <w:rsid w:val="00A512BC"/>
    <w:rsid w:val="00A539E9"/>
    <w:rsid w:val="00A810A3"/>
    <w:rsid w:val="00A95D6A"/>
    <w:rsid w:val="00AB7D5C"/>
    <w:rsid w:val="00AD03DF"/>
    <w:rsid w:val="00AD4493"/>
    <w:rsid w:val="00AD4BF3"/>
    <w:rsid w:val="00AD6E05"/>
    <w:rsid w:val="00AE4351"/>
    <w:rsid w:val="00B178DE"/>
    <w:rsid w:val="00B2045A"/>
    <w:rsid w:val="00B440A5"/>
    <w:rsid w:val="00B50EC0"/>
    <w:rsid w:val="00B61EA6"/>
    <w:rsid w:val="00B67AD3"/>
    <w:rsid w:val="00B9627D"/>
    <w:rsid w:val="00BA7D67"/>
    <w:rsid w:val="00BB2C5A"/>
    <w:rsid w:val="00BB7C7D"/>
    <w:rsid w:val="00BC3934"/>
    <w:rsid w:val="00BC6F1B"/>
    <w:rsid w:val="00BC73E1"/>
    <w:rsid w:val="00BC74C2"/>
    <w:rsid w:val="00BE0B11"/>
    <w:rsid w:val="00BE2992"/>
    <w:rsid w:val="00BE585E"/>
    <w:rsid w:val="00BF5ECD"/>
    <w:rsid w:val="00C17EFD"/>
    <w:rsid w:val="00C348C5"/>
    <w:rsid w:val="00C40523"/>
    <w:rsid w:val="00C66F6E"/>
    <w:rsid w:val="00CA56D1"/>
    <w:rsid w:val="00CC7AFF"/>
    <w:rsid w:val="00CD103F"/>
    <w:rsid w:val="00CD1A01"/>
    <w:rsid w:val="00CD6DFD"/>
    <w:rsid w:val="00CD7E91"/>
    <w:rsid w:val="00CE3D91"/>
    <w:rsid w:val="00CF3FA3"/>
    <w:rsid w:val="00D14DCB"/>
    <w:rsid w:val="00D20170"/>
    <w:rsid w:val="00D53871"/>
    <w:rsid w:val="00D65D56"/>
    <w:rsid w:val="00DA2434"/>
    <w:rsid w:val="00DA2745"/>
    <w:rsid w:val="00DC2C55"/>
    <w:rsid w:val="00E31665"/>
    <w:rsid w:val="00E32F64"/>
    <w:rsid w:val="00E410CD"/>
    <w:rsid w:val="00E43089"/>
    <w:rsid w:val="00E45DC9"/>
    <w:rsid w:val="00E63D48"/>
    <w:rsid w:val="00E6728C"/>
    <w:rsid w:val="00E812E0"/>
    <w:rsid w:val="00E8264F"/>
    <w:rsid w:val="00E82B1F"/>
    <w:rsid w:val="00E83104"/>
    <w:rsid w:val="00E83F8D"/>
    <w:rsid w:val="00E92E3C"/>
    <w:rsid w:val="00EA5E1B"/>
    <w:rsid w:val="00EA6DE1"/>
    <w:rsid w:val="00EB7D1C"/>
    <w:rsid w:val="00EC51D4"/>
    <w:rsid w:val="00EF062E"/>
    <w:rsid w:val="00EF351A"/>
    <w:rsid w:val="00EF4889"/>
    <w:rsid w:val="00F03BDB"/>
    <w:rsid w:val="00F15D64"/>
    <w:rsid w:val="00F44547"/>
    <w:rsid w:val="00F66767"/>
    <w:rsid w:val="00F730DA"/>
    <w:rsid w:val="00F97B34"/>
    <w:rsid w:val="00FA2702"/>
    <w:rsid w:val="00FB35EE"/>
    <w:rsid w:val="00FD7CE5"/>
    <w:rsid w:val="00FE0038"/>
    <w:rsid w:val="00FE129E"/>
    <w:rsid w:val="00FE7BCD"/>
    <w:rsid w:val="00FF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5D4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65D5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5D56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40D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5D40D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5D40D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rsid w:val="005D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FE0038"/>
  </w:style>
  <w:style w:type="paragraph" w:customStyle="1" w:styleId="TabletextrowsAgency">
    <w:name w:val="Table text rows (Agency)"/>
    <w:basedOn w:val="Normale"/>
    <w:semiHidden/>
    <w:rsid w:val="009A4B5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5F46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ytextAgency">
    <w:name w:val="Body text (Agency)"/>
    <w:basedOn w:val="Normale"/>
    <w:link w:val="BodytextAgencyChar"/>
    <w:qFormat/>
    <w:rsid w:val="00FB35EE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FB35EE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Paragrafoelenco1">
    <w:name w:val="Paragrafo elenco1"/>
    <w:basedOn w:val="Normale"/>
    <w:rsid w:val="00F730D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xt">
    <w:name w:val="Text"/>
    <w:basedOn w:val="Normale"/>
    <w:rsid w:val="0036414C"/>
    <w:pPr>
      <w:spacing w:after="0" w:line="240" w:lineRule="atLeast"/>
    </w:pPr>
    <w:rPr>
      <w:rFonts w:ascii="Arial" w:eastAsia="Times New Roman" w:hAnsi="Arial" w:cs="Arial"/>
      <w:sz w:val="20"/>
      <w:szCs w:val="20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a.europa.eu/ema/index.jsp?curl=pages/medicines/landing/epar_search.jsp&amp;mi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3542</Words>
  <Characters>20193</Characters>
  <Application>Microsoft Office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cp:lastPrinted>2015-09-18T07:25:00Z</cp:lastPrinted>
  <dcterms:created xsi:type="dcterms:W3CDTF">2019-11-15T14:14:00Z</dcterms:created>
  <dcterms:modified xsi:type="dcterms:W3CDTF">2019-11-15T14:33:00Z</dcterms:modified>
</cp:coreProperties>
</file>